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w:t>
      </w:r>
    </w:p>
    <w:p>
      <w:r>
        <w:t>Les simulations d'intégration sur l’année 2025 démontrent des performances remarquables sur la base des paramètres et données suivantes :</w:t>
      </w:r>
    </w:p>
    <w:p>
      <w:pPr>
        <w:pStyle w:val="ListBullet"/>
        <w:spacing w:after="80"/>
      </w:pPr>
      <w:r>
        <w:rPr>
          <w:b/>
        </w:rPr>
        <w:t xml:space="preserve">Données d'entrée : </w:t>
      </w:r>
      <w:r>
        <w:t>Données de consommation réelles mesurées par nos capteurs IoT sur site depuis 1 an et prix réels du marché Spot de l'année 2025.</w:t>
      </w:r>
    </w:p>
    <w:p>
      <w:pPr>
        <w:pStyle w:val="ListBullet"/>
        <w:spacing w:after="80"/>
      </w:pPr>
      <w:r>
        <w:rPr>
          <w:b/>
        </w:rPr>
        <w:t xml:space="preserve">Paramètres physiques : </w:t>
      </w:r>
      <w:r>
        <w:t>Délestage programmé de 5 heures par jour sur les heures les plus chères, respect des contraintes d'activité commerciale, bonus de COP thermique nocturne de 10 % et rattrapage de 10 %.</w:t>
      </w:r>
    </w:p>
    <w:p>
      <w:pPr>
        <w:pStyle w:val="ListBullet"/>
        <w:spacing w:after="80"/>
      </w:pPr>
      <w:r>
        <w:rPr>
          <w:b/>
        </w:rPr>
        <w:t xml:space="preserve">Économie en délestage HP/HC classique : </w:t>
      </w:r>
      <w:r>
        <w:t>La chambre pilote réalise une économie nette de 20 % sur sa facture d'électricité réglementée actuelle.</w:t>
      </w:r>
    </w:p>
    <w:p>
      <w:pPr>
        <w:pStyle w:val="ListBullet"/>
        <w:spacing w:after="80"/>
      </w:pPr>
      <w:r>
        <w:rPr>
          <w:b/>
        </w:rPr>
        <w:t xml:space="preserve">Économie en délestage Spot dynamique : </w:t>
      </w:r>
      <w:r>
        <w:t>L'économie nette s'élève jusqu'à 30 % sur la facture si le client bascule sur un abonnement de fourniture Spot piloté activement par la solution Altileo.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