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 (Scénarios de délestage)</w:t>
      </w:r>
    </w:p>
    <w:p>
      <w:r>
        <w:t>L'impact financier de l'Altileo Box a été simulé sur la base des profils de charge réels mesurés sur l'installation pilote de Rungis et des conditions tarifaires 2025. Les résultats ci-dessous sont présentés par chambre froide (base de 1 unité) puis extrapolés à l'ensemble du site (4 chambres froides) :</w:t>
      </w:r>
    </w:p>
    <w:p>
      <w:pPr>
        <w:spacing w:before="160" w:after="80"/>
      </w:pPr>
      <w:r>
        <w:rPr>
          <w:b/>
          <w:color w:val="0E8E9B"/>
        </w:rPr>
        <w:t>Scénario A : Délestage réglementé classique (Contrat HP/HC)</w:t>
      </w:r>
    </w:p>
    <w:p>
      <w:pPr>
        <w:pStyle w:val="ListBullet"/>
        <w:spacing w:after="80"/>
      </w:pPr>
      <w:r>
        <w:rPr>
          <w:b/>
        </w:rPr>
        <w:t xml:space="preserve">Principe : </w:t>
      </w:r>
      <w:r>
        <w:t>Déplacement de la consommation des Heures Pleines vers les Heures Creuses régulées.</w:t>
      </w:r>
    </w:p>
    <w:p>
      <w:pPr>
        <w:pStyle w:val="ListBullet"/>
        <w:spacing w:after="80"/>
      </w:pPr>
      <w:r>
        <w:rPr>
          <w:b/>
        </w:rPr>
        <w:t xml:space="preserve">Facture de référence actuelle (Sans Altileo) : </w:t>
      </w:r>
      <w:r>
        <w:t>448 EUR HT / an (par chambre) | 1 791 EUR HT / an (total site 4 ch)</w:t>
      </w:r>
    </w:p>
    <w:p>
      <w:pPr>
        <w:pStyle w:val="ListBullet"/>
        <w:spacing w:after="80"/>
      </w:pPr>
      <w:r>
        <w:rPr>
          <w:b/>
        </w:rPr>
        <w:t xml:space="preserve">Facture simulée avec Altileo (SaaS inclus) : </w:t>
      </w:r>
      <w:r>
        <w:t>357 EUR HT / an (par chambre) | 1 426 EUR HT / an (total site 4 ch)</w:t>
      </w:r>
    </w:p>
    <w:p>
      <w:pPr>
        <w:pStyle w:val="ListBullet"/>
        <w:spacing w:after="80"/>
      </w:pPr>
      <w:r>
        <w:rPr>
          <w:b/>
        </w:rPr>
        <w:t xml:space="preserve">Économie nette annuelle : </w:t>
      </w:r>
      <w:r>
        <w:t>91 EUR HT / an par chambre (soit 20,4 % d'économie nette)</w:t>
      </w:r>
    </w:p>
    <w:p>
      <w:pPr>
        <w:pStyle w:val="ListBullet"/>
        <w:spacing w:after="80"/>
      </w:pPr>
      <w:r>
        <w:rPr>
          <w:b/>
        </w:rPr>
        <w:t xml:space="preserve">Impact global site (4 chambres froides) : </w:t>
      </w:r>
      <w:r>
        <w:t>364 EUR HT / an d'économie nette cumulée.</w:t>
      </w:r>
    </w:p>
    <w:p>
      <w:pPr>
        <w:spacing w:before="160" w:after="80"/>
      </w:pPr>
      <w:r>
        <w:rPr>
          <w:b/>
          <w:color w:val="0E8E9B"/>
        </w:rPr>
        <w:t>Scénario B : Délestage dynamique Spot (Contrat Sobry)</w:t>
      </w:r>
    </w:p>
    <w:p>
      <w:pPr>
        <w:pStyle w:val="ListBullet"/>
        <w:spacing w:after="80"/>
      </w:pPr>
      <w:r>
        <w:rPr>
          <w:b/>
        </w:rPr>
        <w:t xml:space="preserve">Principe : </w:t>
      </w:r>
      <w:r>
        <w:t>Bascule sur une offre Spot indexée marché avec évitement prédictif des heures de pointes de prix (marge fournisseur incluse).</w:t>
      </w:r>
    </w:p>
    <w:p>
      <w:pPr>
        <w:pStyle w:val="ListBullet"/>
        <w:spacing w:after="80"/>
      </w:pPr>
      <w:r>
        <w:rPr>
          <w:b/>
        </w:rPr>
        <w:t xml:space="preserve">Facture de référence réglementée (Sans Altileo) : </w:t>
      </w:r>
      <w:r>
        <w:t>5 848 EUR HT / an (par chambre) | 23 392 EUR HT / an (total site 4 ch)</w:t>
      </w:r>
    </w:p>
    <w:p>
      <w:pPr>
        <w:pStyle w:val="ListBullet"/>
        <w:spacing w:after="80"/>
      </w:pPr>
      <w:r>
        <w:rPr>
          <w:b/>
        </w:rPr>
        <w:t xml:space="preserve">Facture Spot brute (Sans Altileo, sans délestage) : </w:t>
      </w:r>
      <w:r>
        <w:t>4 556 EUR HT / an (par chambre) | 18 224 EUR HT / an (total site 4 ch)</w:t>
      </w:r>
    </w:p>
    <w:p>
      <w:pPr>
        <w:pStyle w:val="ListBullet"/>
        <w:spacing w:after="80"/>
      </w:pPr>
      <w:r>
        <w:rPr>
          <w:b/>
        </w:rPr>
        <w:t xml:space="preserve">Facture Spot pilotée avec Altileo (SaaS et marge inclus) : </w:t>
      </w:r>
      <w:r>
        <w:t>3 454 EUR HT / an (par chambre) | 13 814 EUR HT / an (total site 4 ch)</w:t>
      </w:r>
    </w:p>
    <w:p>
      <w:pPr>
        <w:pStyle w:val="ListBullet"/>
        <w:spacing w:after="80"/>
      </w:pPr>
      <w:r>
        <w:rPr>
          <w:b/>
        </w:rPr>
        <w:t xml:space="preserve">Économie nette vs tarif réglementé HP/HC : </w:t>
      </w:r>
      <w:r>
        <w:t>2 394 EUR HT / an par chambre (soit 40,9 % d'économie nette vs contrat actuel)</w:t>
      </w:r>
    </w:p>
    <w:p>
      <w:pPr>
        <w:pStyle w:val="ListBullet"/>
        <w:spacing w:after="80"/>
      </w:pPr>
      <w:r>
        <w:rPr>
          <w:b/>
        </w:rPr>
        <w:t xml:space="preserve">Économie nette vs Spot brut sans délestage : </w:t>
      </w:r>
      <w:r>
        <w:t>1 102 EUR HT / an par chambre (soit 24,2 % d'économie supplémentaire)</w:t>
      </w:r>
    </w:p>
    <w:p>
      <w:pPr>
        <w:pStyle w:val="ListBullet"/>
        <w:spacing w:after="80"/>
      </w:pPr>
      <w:r>
        <w:rPr>
          <w:b/>
        </w:rPr>
        <w:t xml:space="preserve">Impact global site (4 chambres froides) : </w:t>
      </w:r>
      <w:r>
        <w:t>9 578 EUR HT / an d'économie nette cumulée vs contrat actuel.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