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w:t>
      </w:r>
    </w:p>
    <w:p>
      <w:pPr>
        <w:spacing w:before="120" w:after="240"/>
      </w:pPr>
      <w:r>
        <w:t xml:space="preserve">En programmant 5 heures de délestage sur les heures les plus chères de la journée tout en respectant les contraintes d'activité commerciale du site, et sur la base d'un bonus de COP de 10 % combiné à un rattrapage thermique de 10 %, les simulations d'intégration montrent des performances remarquables. La chambre pilote réalise ainsi une économie nette de </w:t>
      </w:r>
      <w:r>
        <w:rPr>
          <w:b/>
        </w:rPr>
        <w:t>20 %</w:t>
      </w:r>
      <w:r>
        <w:t xml:space="preserve"> sur sa facture sous un scénario de délestage réglementé HP/HC classique, et jusqu'à </w:t>
      </w:r>
      <w:r>
        <w:rPr>
          <w:b/>
        </w:rPr>
        <w:t>30 %</w:t>
      </w:r>
      <w:r>
        <w:t xml:space="preserve"> d'économie nette si l'installation bascule sur un abonnement Spot piloté par Altileo.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