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A4F8B"/>
          <w:sz w:val="34"/>
          <w:szCs w:val="34"/>
        </w:rPr>
        <w:t xml:space="preserve">TRUSTPAY ESCROW</w:t>
      </w:r>
    </w:p>
    <w:p>
      <w:pPr>
        <w:spacing w:after="60"/>
      </w:pPr>
      <w:r>
        <w:rPr>
          <w:b/>
          <w:bCs/>
          <w:color w:val="0F3460"/>
          <w:sz w:val="20"/>
          <w:szCs w:val="20"/>
        </w:rPr>
        <w:t xml:space="preserve">A Stablecoin Smart-Contract Escrow for Cross-Border Freelance Work — Short White Paper</w:t>
      </w:r>
    </w:p>
    <w:p>
      <w:pPr>
        <w:pBdr>
          <w:bottom w:val="single" w:color="1A4F8B" w:sz="6" w:space="4"/>
        </w:pBdr>
        <w:spacing w:after="120"/>
      </w:pPr>
      <w:r>
        <w:rPr>
          <w:color w:val="5A6B7B"/>
          <w:sz w:val="15"/>
          <w:szCs w:val="15"/>
        </w:rPr>
        <w:t xml:space="preserve">A. de Hollanda Vieira Guerner · E. Gwoszdz De Lazari · J. P. Schmidt Cordeiro · M. A. Sabadin Presotto   |   INE5458, UFSC   |   v1.0</w:t>
      </w:r>
    </w:p>
    <w:p>
      <w:pPr>
        <w:pBdr>
          <w:bottom w:val="single" w:color="C2CCD6" w:sz="3" w:space="2"/>
        </w:pBdr>
        <w:spacing w:after="70" w:before="140"/>
      </w:pPr>
      <w:r>
        <w:rPr>
          <w:b/>
          <w:bCs/>
          <w:color w:val="1A4F8B"/>
          <w:sz w:val="21"/>
          <w:szCs w:val="21"/>
        </w:rPr>
        <w:t xml:space="preserve">The Problem</w:t>
      </w:r>
    </w:p>
    <w:p>
      <w:pPr>
        <w:spacing w:after="80" w:line="250"/>
        <w:jc w:val="both"/>
      </w:pPr>
      <w:r>
        <w:rPr>
          <w:sz w:val="18"/>
          <w:szCs w:val="18"/>
        </w:rPr>
        <w:t xml:space="preserve">Freelance work is global, but its payment layer is not. Two strangers in different countries and legal systems must agree to pay each other, and </w:t>
      </w:r>
      <w:r>
        <w:rPr>
          <w:b/>
          <w:bCs/>
          <w:sz w:val="18"/>
          <w:szCs w:val="18"/>
        </w:rPr>
        <w:t xml:space="preserve">someone always has to go first</w:t>
      </w:r>
      <w:r>
        <w:rPr>
          <w:sz w:val="18"/>
          <w:szCs w:val="18"/>
        </w:rPr>
        <w:t xml:space="preserve">. If the client pays in advance, the work may never arrive; if the freelancer delivers first, payment may never come — or be reversed later as a chargeback. Cross-border transfers are slow and costly. Centralized freelance platforms hold the money, but this only </w:t>
      </w:r>
      <w:r>
        <w:rPr>
          <w:b/>
          <w:bCs/>
          <w:sz w:val="18"/>
          <w:szCs w:val="18"/>
        </w:rPr>
        <w:t xml:space="preserve">relocates trust</w:t>
      </w:r>
      <w:r>
        <w:rPr>
          <w:sz w:val="18"/>
          <w:szCs w:val="18"/>
        </w:rPr>
        <w:t xml:space="preserve">: users must trust a private company as the sole, opaque keeper of their funds and judge of their disputes. They cannot verify the money is there, and fees and withdrawals are set unilaterally.</w:t>
      </w:r>
    </w:p>
    <w:p>
      <w:pPr>
        <w:pBdr>
          <w:bottom w:val="single" w:color="C2CCD6" w:sz="3" w:space="2"/>
        </w:pBdr>
        <w:spacing w:after="70" w:before="140"/>
      </w:pPr>
      <w:r>
        <w:rPr>
          <w:b/>
          <w:bCs/>
          <w:color w:val="1A4F8B"/>
          <w:sz w:val="21"/>
          <w:szCs w:val="21"/>
        </w:rPr>
        <w:t xml:space="preserve">The Solution</w:t>
      </w:r>
    </w:p>
    <w:p>
      <w:pPr>
        <w:spacing w:after="80" w:line="250"/>
        <w:jc w:val="both"/>
      </w:pPr>
      <w:r>
        <w:rPr>
          <w:sz w:val="18"/>
          <w:szCs w:val="18"/>
        </w:rPr>
        <w:t xml:space="preserve">TrustPay Escrow is a web platform that locks payment in a </w:t>
      </w:r>
      <w:r>
        <w:rPr>
          <w:b/>
          <w:bCs/>
          <w:sz w:val="18"/>
          <w:szCs w:val="18"/>
        </w:rPr>
        <w:t xml:space="preserve">smart-contract escrow</w:t>
      </w:r>
      <w:r>
        <w:rPr>
          <w:sz w:val="18"/>
          <w:szCs w:val="18"/>
        </w:rPr>
        <w:t xml:space="preserve"> until work is delivered. The client deposits the funds up front, but they are locked: the freelancer can verify on-chain that the money exists before starting, and release happens only on milestone approval — so neither side goes first, and no private party secretly controls the funds. Payments settle in </w:t>
      </w:r>
      <w:r>
        <w:rPr>
          <w:b/>
          <w:bCs/>
          <w:sz w:val="18"/>
          <w:szCs w:val="18"/>
        </w:rPr>
        <w:t xml:space="preserve">stablecoins</w:t>
      </w:r>
      <w:r>
        <w:rPr>
          <w:sz w:val="18"/>
          <w:szCs w:val="18"/>
        </w:rPr>
        <w:t xml:space="preserve"> (USDC/USDT, pegged 1:1 to the US dollar), giving fast, transparent, programmable payments with no exposure to crypto volatility. The platform hides blockchain complexity behind guided wallet setup and plain-language statuses, and runs on existing low-cost networks — no new blockchain is needed.</w:t>
      </w:r>
    </w:p>
    <w:p>
      <w:pPr>
        <w:spacing w:after="80" w:before="160"/>
        <w:jc w:val="center"/>
      </w:pPr>
      <w:r>
        <w:drawing>
          <wp:inline distT="0" distB="0" distL="0" distR="0">
            <wp:extent cx="4381500" cy="1190625"/>
            <wp:effectExtent t="0" r="0" b="0" l="0"/>
            <wp:docPr id="1" name="How it works in three steps" descr="How it works in three steps" title="How it works in three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/>
        <w:jc w:val="center"/>
      </w:pPr>
      <w:r>
        <w:rPr>
          <w:i/>
          <w:iCs/>
          <w:color w:val="5A6B7B"/>
          <w:sz w:val="15"/>
          <w:szCs w:val="15"/>
        </w:rPr>
        <w:t xml:space="preserve">Figure 1. Lock funds → deliver milestone → release payment.</w:t>
      </w:r>
    </w:p>
    <w:p>
      <w:pPr>
        <w:spacing w:after="80" w:line="250"/>
        <w:jc w:val="both"/>
      </w:pPr>
      <w:r>
        <w:rPr>
          <w:b/>
          <w:bCs/>
          <w:sz w:val="18"/>
          <w:szCs w:val="18"/>
        </w:rPr>
        <w:t xml:space="preserve">Key differences: </w:t>
      </w:r>
      <w:r>
        <w:rPr>
          <w:sz w:val="18"/>
          <w:szCs w:val="18"/>
        </w:rPr>
        <w:t xml:space="preserve">the locked money is publicly verifiable by both parties; release rules are fixed before work starts and executed automatically; long projects are split into independently funded milestones; and once a payment is released on-chain it cannot be silently reversed.</w:t>
      </w:r>
    </w:p>
    <w:p>
      <w:pPr>
        <w:pBdr>
          <w:bottom w:val="single" w:color="C2CCD6" w:sz="3" w:space="2"/>
        </w:pBdr>
        <w:spacing w:after="70" w:before="140"/>
      </w:pPr>
      <w:r>
        <w:rPr>
          <w:b/>
          <w:bCs/>
          <w:color w:val="1A4F8B"/>
          <w:sz w:val="21"/>
          <w:szCs w:val="21"/>
        </w:rPr>
        <w:t xml:space="preserve">Why Blockchain — and Only Here</w:t>
      </w:r>
    </w:p>
    <w:p>
      <w:pPr>
        <w:spacing w:after="80" w:line="250"/>
        <w:jc w:val="both"/>
      </w:pPr>
      <w:r>
        <w:rPr>
          <w:sz w:val="18"/>
          <w:szCs w:val="18"/>
        </w:rPr>
        <w:t xml:space="preserve">An ordinary database could record milestones, but it cannot remove the need to trust the company controlling it. A smart contract changes the </w:t>
      </w:r>
      <w:r>
        <w:rPr>
          <w:b/>
          <w:bCs/>
          <w:sz w:val="18"/>
          <w:szCs w:val="18"/>
        </w:rPr>
        <w:t xml:space="preserve">trust model</w:t>
      </w:r>
      <w:r>
        <w:rPr>
          <w:sz w:val="18"/>
          <w:szCs w:val="18"/>
        </w:rPr>
        <w:t xml:space="preserve">: once funds are deposited, the release rules are public and network-enforced, and the platform cannot take or redirect locked money. We are honest about the limits — blockchain does </w:t>
      </w:r>
      <w:r>
        <w:rPr>
          <w:b/>
          <w:bCs/>
          <w:sz w:val="18"/>
          <w:szCs w:val="18"/>
        </w:rPr>
        <w:t xml:space="preserve">not</w:t>
      </w:r>
      <w:r>
        <w:rPr>
          <w:sz w:val="18"/>
          <w:szCs w:val="18"/>
        </w:rPr>
        <w:t xml:space="preserve"> verify real identities, enforce court judgments, or judge whether work is good; those stay with KYC, terms of service, and human dispute review. Blockchain is used precisely where it adds value, and nowhere else.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700"/>
        <w:gridCol w:w="2300"/>
        <w:gridCol w:w="2360"/>
      </w:tblGrid>
      <w:tr>
        <w:trPr>
          <w:tblHeader/>
        </w:trPr>
        <w:tc>
          <w:tcPr>
            <w:tcW w:type="dxa" w:w="276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1A4F8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 it do this?</w:t>
            </w:r>
          </w:p>
        </w:tc>
        <w:tc>
          <w:tcPr>
            <w:tcW w:type="dxa" w:w="170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1A4F8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Bank / card</w:t>
            </w:r>
          </w:p>
        </w:tc>
        <w:tc>
          <w:tcPr>
            <w:tcW w:type="dxa" w:w="230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1A4F8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Centralized platform</w:t>
            </w:r>
          </w:p>
        </w:tc>
        <w:tc>
          <w:tcPr>
            <w:tcW w:type="dxa" w:w="236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1A4F8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TrustPay Escrow</w:t>
            </w:r>
          </w:p>
        </w:tc>
      </w:tr>
      <w:tr>
        <w:tc>
          <w:tcPr>
            <w:tcW w:type="dxa" w:w="276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EEF3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Funds held conditionally</w:t>
            </w:r>
          </w:p>
        </w:tc>
        <w:tc>
          <w:tcPr>
            <w:tcW w:type="dxa" w:w="170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EEF3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Both parties verify the money</w:t>
            </w:r>
          </w:p>
        </w:tc>
        <w:tc>
          <w:tcPr>
            <w:tcW w:type="dxa" w:w="170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EEF3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Trust in a private custodian</w:t>
            </w:r>
          </w:p>
        </w:tc>
        <w:tc>
          <w:tcPr>
            <w:tcW w:type="dxa" w:w="170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</w:t>
            </w:r>
          </w:p>
        </w:tc>
        <w:tc>
          <w:tcPr>
            <w:tcW w:type="dxa" w:w="230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</w:t>
            </w:r>
          </w:p>
        </w:tc>
        <w:tc>
          <w:tcPr>
            <w:tcW w:type="dxa" w:w="2360"/>
            <w:tcBorders>
              <w:top w:val="single" w:color="C2CCD6" w:sz="2"/>
              <w:left w:val="single" w:color="C2CCD6" w:sz="2"/>
              <w:bottom w:val="single" w:color="C2CCD6" w:sz="2"/>
              <w:right w:val="single" w:color="C2CCD6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6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 for custody</w:t>
            </w:r>
          </w:p>
        </w:tc>
      </w:tr>
    </w:tbl>
    <w:p>
      <w:pPr>
        <w:spacing w:after="90" w:before="40"/>
        <w:jc w:val="center"/>
      </w:pPr>
      <w:r>
        <w:rPr>
          <w:i/>
          <w:iCs/>
          <w:color w:val="5A6B7B"/>
          <w:sz w:val="15"/>
          <w:szCs w:val="15"/>
        </w:rPr>
        <w:t xml:space="preserve">Table 1. The protocol is justified by verifiable, conditional custody — not by novelty.</w:t>
      </w:r>
    </w:p>
    <w:p>
      <w:pPr>
        <w:pBdr>
          <w:bottom w:val="single" w:color="C2CCD6" w:sz="3" w:space="2"/>
        </w:pBdr>
        <w:spacing w:after="70" w:before="140"/>
      </w:pPr>
      <w:r>
        <w:rPr>
          <w:b/>
          <w:bCs/>
          <w:color w:val="1A4F8B"/>
          <w:sz w:val="21"/>
          <w:szCs w:val="21"/>
        </w:rPr>
        <w:t xml:space="preserve">Disputes</w:t>
      </w:r>
    </w:p>
    <w:p>
      <w:pPr>
        <w:spacing w:after="80" w:line="250"/>
        <w:jc w:val="both"/>
      </w:pPr>
      <w:r>
        <w:rPr>
          <w:sz w:val="18"/>
          <w:szCs w:val="18"/>
        </w:rPr>
        <w:t xml:space="preserve">Because a contract cannot judge work quality, disputes use a </w:t>
      </w:r>
      <w:r>
        <w:rPr>
          <w:b/>
          <w:bCs/>
          <w:sz w:val="18"/>
          <w:szCs w:val="18"/>
        </w:rPr>
        <w:t xml:space="preserve">hybrid model</w:t>
      </w:r>
      <w:r>
        <w:rPr>
          <w:sz w:val="18"/>
          <w:szCs w:val="18"/>
        </w:rPr>
        <w:t xml:space="preserve">: the contract keeps the disputed funds locked while a human or decentralized arbitrator decides. Either side can open a dispute with a small fee and evidence; the arbitrator rules to pay, refund, or split the funds, and the contract executes the verdict. The fee deters frivolous claims, and outcomes feed a reputation signal.</w:t>
      </w:r>
    </w:p>
    <w:p>
      <w:pPr>
        <w:pBdr>
          <w:bottom w:val="single" w:color="C2CCD6" w:sz="3" w:space="2"/>
        </w:pBdr>
        <w:spacing w:after="70" w:before="140"/>
      </w:pPr>
      <w:r>
        <w:rPr>
          <w:b/>
          <w:bCs/>
          <w:color w:val="1A4F8B"/>
          <w:sz w:val="21"/>
          <w:szCs w:val="21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40" w:line="245"/>
        <w:jc w:val="both"/>
      </w:pPr>
      <w:r>
        <w:rPr>
          <w:b/>
          <w:bCs/>
          <w:sz w:val="18"/>
          <w:szCs w:val="18"/>
        </w:rPr>
        <w:t xml:space="preserve">Transaction fee — </w:t>
      </w:r>
      <w:r>
        <w:rPr>
          <w:sz w:val="18"/>
          <w:szCs w:val="18"/>
        </w:rPr>
        <w:t xml:space="preserve">~0.5–1.5% per completed escrow, collected automatically in stablecoin at release.</w:t>
      </w:r>
    </w:p>
    <w:p>
      <w:pPr>
        <w:pStyle w:val="ListParagraph"/>
        <w:numPr>
          <w:ilvl w:val="0"/>
          <w:numId w:val="2"/>
        </w:numPr>
        <w:spacing w:after="40" w:line="245"/>
        <w:jc w:val="both"/>
      </w:pPr>
      <w:r>
        <w:rPr>
          <w:b/>
          <w:bCs/>
          <w:sz w:val="18"/>
          <w:szCs w:val="18"/>
        </w:rPr>
        <w:t xml:space="preserve">Business subscription — </w:t>
      </w:r>
      <w:r>
        <w:rPr>
          <w:sz w:val="18"/>
          <w:szCs w:val="18"/>
        </w:rPr>
        <w:t xml:space="preserve">a paid tier with team accounts, reporting, and priority support.</w:t>
      </w:r>
    </w:p>
    <w:p>
      <w:pPr>
        <w:pStyle w:val="ListParagraph"/>
        <w:numPr>
          <w:ilvl w:val="0"/>
          <w:numId w:val="2"/>
        </w:numPr>
        <w:spacing w:after="40" w:line="245"/>
        <w:jc w:val="both"/>
      </w:pPr>
      <w:r>
        <w:rPr>
          <w:b/>
          <w:bCs/>
          <w:sz w:val="18"/>
          <w:szCs w:val="18"/>
        </w:rPr>
        <w:t xml:space="preserve">Dispute resolution fees — </w:t>
      </w:r>
      <w:r>
        <w:rPr>
          <w:sz w:val="18"/>
          <w:szCs w:val="18"/>
        </w:rPr>
        <w:t xml:space="preserve">premium arbitration fees shared with arbitrators.</w:t>
      </w:r>
    </w:p>
    <w:p>
      <w:pPr>
        <w:spacing w:after="80" w:line="250"/>
        <w:jc w:val="both"/>
      </w:pPr>
      <w:r>
        <w:rPr>
          <w:sz w:val="18"/>
          <w:szCs w:val="18"/>
        </w:rPr>
        <w:t xml:space="preserve">Customers are international freelancers, startups and small businesses hiring globally, and small agencies. The model is sound because the fee is a few lines inside a contract that already exists for custody — no extra billing infrastructure. Security audits and compliance are treated as non-negotiable costs.</w:t>
      </w:r>
    </w:p>
    <w:p>
      <w:pPr>
        <w:pBdr>
          <w:bottom w:val="single" w:color="C2CCD6" w:sz="3" w:space="2"/>
        </w:pBdr>
        <w:spacing w:after="70" w:before="140"/>
      </w:pPr>
      <w:r>
        <w:rPr>
          <w:b/>
          <w:bCs/>
          <w:color w:val="1A4F8B"/>
          <w:sz w:val="21"/>
          <w:szCs w:val="21"/>
        </w:rPr>
        <w:t xml:space="preserve">Roadmap</w:t>
      </w:r>
    </w:p>
    <w:p>
      <w:pPr>
        <w:spacing w:after="80" w:line="250"/>
        <w:jc w:val="both"/>
      </w:pPr>
      <w:r>
        <w:rPr>
          <w:sz w:val="18"/>
          <w:szCs w:val="18"/>
        </w:rPr>
        <w:t xml:space="preserve">Each phase depends on the proven success of the previous one: </w:t>
      </w:r>
      <w:r>
        <w:rPr>
          <w:b/>
          <w:bCs/>
          <w:sz w:val="18"/>
          <w:szCs w:val="18"/>
        </w:rPr>
        <w:t xml:space="preserve">(1)</w:t>
      </w:r>
      <w:r>
        <w:rPr>
          <w:sz w:val="18"/>
          <w:szCs w:val="18"/>
        </w:rPr>
        <w:t xml:space="preserve"> proof of concept on a testnet; </w:t>
      </w:r>
      <w:r>
        <w:rPr>
          <w:b/>
          <w:bCs/>
          <w:sz w:val="18"/>
          <w:szCs w:val="18"/>
        </w:rPr>
        <w:t xml:space="preserve">(2)</w:t>
      </w:r>
      <w:r>
        <w:rPr>
          <w:sz w:val="18"/>
          <w:szCs w:val="18"/>
        </w:rPr>
        <w:t xml:space="preserve"> a pilot on a low-cost network with stablecoins and managed disputes; </w:t>
      </w:r>
      <w:r>
        <w:rPr>
          <w:b/>
          <w:bCs/>
          <w:sz w:val="18"/>
          <w:szCs w:val="18"/>
        </w:rPr>
        <w:t xml:space="preserve">(3)</w:t>
      </w:r>
      <w:r>
        <w:rPr>
          <w:sz w:val="18"/>
          <w:szCs w:val="18"/>
        </w:rPr>
        <w:t xml:space="preserve"> business accounts and fiat on/off-ramps; </w:t>
      </w:r>
      <w:r>
        <w:rPr>
          <w:b/>
          <w:bCs/>
          <w:sz w:val="18"/>
          <w:szCs w:val="18"/>
        </w:rPr>
        <w:t xml:space="preserve">(4)</w:t>
      </w:r>
      <w:r>
        <w:rPr>
          <w:sz w:val="18"/>
          <w:szCs w:val="18"/>
        </w:rPr>
        <w:t xml:space="preserve"> decentralized arbitration; </w:t>
      </w:r>
      <w:r>
        <w:rPr>
          <w:b/>
          <w:bCs/>
          <w:sz w:val="18"/>
          <w:szCs w:val="18"/>
        </w:rPr>
        <w:t xml:space="preserve">(5)</w:t>
      </w:r>
      <w:r>
        <w:rPr>
          <w:sz w:val="18"/>
          <w:szCs w:val="18"/>
        </w:rPr>
        <w:t xml:space="preserve"> multi-chain scale. TrustPay Escrow locks money transparently, releases it on delivery, and lets no private party stand between the two sides — buildable today with proven infrastructure. A full technical white paper is available as a companion document.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4"/>
        <w:szCs w:val="14"/>
      </w:rPr>
      <w:t xml:space="preserve">TrustPay Escrow — Short White Paper   ·   Page </w:t>
    </w:r>
    <w:r>
      <w:rPr>
        <w:color w:val="5A6B7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A6B7B"/>
        <w:sz w:val="14"/>
        <w:szCs w:val="14"/>
      </w:rPr>
      <w:t xml:space="preserve"> of </w:t>
    </w:r>
    <w:r>
      <w:rPr>
        <w:color w:val="5A6B7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6c91cffecb83cb584f2edbc9150c2165de2cf3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TrustPay Escrow - Short White Paper</dc:title>
  <dc:creator>TrustPay Escrow Team</dc:creator>
  <dc:description>Two-page business overview of the TrustPay Escrow stablecoin escrow protocol</dc:description>
  <cp:lastModifiedBy>Un-named</cp:lastModifiedBy>
  <cp:revision>1</cp:revision>
  <dcterms:created xsi:type="dcterms:W3CDTF">2026-05-19T02:11:04.877Z</dcterms:created>
  <dcterms:modified xsi:type="dcterms:W3CDTF">2026-05-19T02:11:04.878Z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