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left w:val="none"/>
              <w:bottom w:val="none"/>
              <w:right w:val="none"/>
            </w:tcBorders>
            <w:shd w:fill="2B579A" w:val="clear"/>
            <w:tcMar>
              <w:top w:type="dxa" w:w="0"/>
              <w:left w:type="dxa" w:w="1200"/>
              <w:bottom w:type="dxa" w:w="0"/>
              <w:right w:type="dxa" w:w="1200"/>
            </w:tcMar>
            <w:vAlign w:val="top"/>
          </w:tcPr>
          <w:p>
            <w:pPr>
              <w:spacing w:before="3200"/>
            </w:pPr>
          </w:p>
          <w:p>
            <w:pPr>
              <w:spacing w:after="400"/>
            </w:pPr>
            <w:r>
              <w:rPr>
                <w:rFonts w:ascii="Calibri"/>
                <w:color w:val="E8913A"/>
                <w:sz w:val="16"/>
                <w:szCs w:val="16"/>
              </w:rPr>
              <w:t xml:space="preserve">───────────────</w:t>
            </w:r>
          </w:p>
          <w:p>
            <w:pPr>
              <w:spacing w:after="200"/>
            </w:pPr>
            <w:r>
              <w:rPr>
                <w:rFonts w:ascii="Calibri" w:eastAsia="Microsoft YaHei"/>
                <w:b/>
                <w:bCs/>
                <w:color w:val="FFFFFF"/>
                <w:sz w:val="52"/>
                <w:szCs w:val="52"/>
              </w:rPr>
              <w:t xml:space="preserve">Estructura y Diseño</w:t>
            </w:r>
          </w:p>
          <w:p>
            <w:pPr>
              <w:spacing w:after="300"/>
            </w:pPr>
            <w:r>
              <w:rPr>
                <w:rFonts w:ascii="Calibri" w:eastAsia="Microsoft YaHei"/>
                <w:b/>
                <w:bCs/>
                <w:color w:val="FFFFFF"/>
                <w:sz w:val="52"/>
                <w:szCs w:val="52"/>
              </w:rPr>
              <w:t xml:space="preserve">de una Plataforma</w:t>
            </w:r>
          </w:p>
          <w:p>
            <w:pPr>
              <w:spacing w:after="400"/>
            </w:pPr>
            <w:r>
              <w:rPr>
                <w:rFonts w:ascii="Calibri" w:eastAsia="Microsoft YaHei"/>
                <w:b/>
                <w:bCs/>
                <w:color w:val="FFFFFF"/>
                <w:sz w:val="52"/>
                <w:szCs w:val="52"/>
              </w:rPr>
              <w:t xml:space="preserve">para Aprender Inglés</w:t>
            </w:r>
          </w:p>
          <w:p>
            <w:pPr>
              <w:spacing w:after="600"/>
            </w:pPr>
            <w:r>
              <w:rPr>
                <w:rFonts w:ascii="Calibri"/>
                <w:color w:val="E8913A"/>
                <w:sz w:val="16"/>
                <w:szCs w:val="16"/>
              </w:rPr>
              <w:t xml:space="preserve">───────────────</w:t>
            </w:r>
          </w:p>
          <w:p>
            <w:pPr>
              <w:spacing w:after="120"/>
            </w:pPr>
            <w:r>
              <w:rPr>
                <w:rFonts w:ascii="Calibri"/>
                <w:color w:val="D4E0F7"/>
                <w:sz w:val="24"/>
                <w:szCs w:val="24"/>
              </w:rPr>
              <w:t xml:space="preserve">Análisis comparativo con Duolingo, Rosetta Stone,</w:t>
            </w:r>
          </w:p>
          <w:p>
            <w:pPr>
              <w:spacing w:after="600"/>
            </w:pPr>
            <w:r>
              <w:rPr>
                <w:rFonts w:ascii="Calibri"/>
                <w:color w:val="D4E0F7"/>
                <w:sz w:val="24"/>
                <w:szCs w:val="24"/>
              </w:rPr>
              <w:t xml:space="preserve">Open English, Políglota y Lingokids</w:t>
            </w:r>
          </w:p>
          <w:p>
            <w:pPr>
              <w:spacing w:after="80"/>
            </w:pPr>
            <w:r>
              <w:rPr>
                <w:rFonts w:ascii="Calibri"/>
                <w:color w:val="B8CCE8"/>
                <w:sz w:val="22"/>
                <w:szCs w:val="22"/>
              </w:rPr>
              <w:t xml:space="preserve">Propuesta pedagógica orientada a niñas</w:t>
            </w:r>
          </w:p>
          <w:p>
            <w:pPr>
              <w:spacing w:after="80"/>
            </w:pPr>
            <w:r>
              <w:rPr>
                <w:rFonts w:ascii="Calibri"/>
                <w:color w:val="B8CCE8"/>
                <w:sz w:val="22"/>
                <w:szCs w:val="22"/>
              </w:rPr>
              <w:t xml:space="preserve">Mayo 2025</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2B579A"/>
          <w:sz w:val="32"/>
          <w:szCs w:val="32"/>
        </w:rPr>
        <w:t xml:space="preserve">Índice</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Introducción y Contexto</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Marco de Referencia: El Sistema CEFR</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Estructura Recomendada de la Plataforma</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Módulo de Vocabulario</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4.1.1 Subtemas por nivel</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4.1.2 Ejercicios y herramientas</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4.2 Módulo de Gramática</w:t>
            </w:r>
            <w:r>
              <w:tab/>
            </w:r>
            <w:r>
              <w:fldChar w:fldCharType="begin"/>
            </w:r>
            <w:r>
              <w:instrText xml:space="preserve"> PAGEREF _Toc100007 \h </w:instrText>
            </w:r>
            <w:r>
              <w:fldChar w:fldCharType="separate"/>
            </w:r>
            <w:r>
              <w:t>7</w:t>
            </w:r>
            <w:r>
              <w:fldChar w:fldCharType="end"/>
            </w:r>
          </w:hyperlink>
        </w:p>
        <w:p>
          <w:pPr>
            <w:pStyle w:val="12"/>
            <w:ind w:left="720"/>
            <w:tabs>
              <w:tab w:val="right" w:leader="dot" w:pos="9026"/>
            </w:tabs>
            <w:spacing w:before="120" w:after="60"/>
          </w:pPr>
          <w:hyperlink w:anchor="_Toc100008" w:history="1">
            <w:r>
              <w:rPr>
                <w:rStyle w:val="Hyperlink"/>
              </w:rPr>
              <w:t>4.2.1 Subtemas por nivel</w:t>
            </w:r>
            <w:r>
              <w:tab/>
            </w:r>
            <w:r>
              <w:fldChar w:fldCharType="begin"/>
            </w:r>
            <w:r>
              <w:instrText xml:space="preserve"> PAGEREF _Toc100008 \h </w:instrText>
            </w:r>
            <w:r>
              <w:fldChar w:fldCharType="separate"/>
            </w:r>
            <w:r>
              <w:t>7</w:t>
            </w:r>
            <w:r>
              <w:fldChar w:fldCharType="end"/>
            </w:r>
          </w:hyperlink>
        </w:p>
        <w:p>
          <w:pPr>
            <w:pStyle w:val="12"/>
            <w:ind w:left="720"/>
            <w:tabs>
              <w:tab w:val="right" w:leader="dot" w:pos="9026"/>
            </w:tabs>
            <w:spacing w:before="120" w:after="60"/>
          </w:pPr>
          <w:hyperlink w:anchor="_Toc100009" w:history="1">
            <w:r>
              <w:rPr>
                <w:rStyle w:val="Hyperlink"/>
              </w:rPr>
              <w:t>4.2.2 Ejercicios y herramientas</w:t>
            </w:r>
            <w:r>
              <w:tab/>
            </w:r>
            <w:r>
              <w:fldChar w:fldCharType="begin"/>
            </w:r>
            <w:r>
              <w:instrText xml:space="preserve"> PAGEREF _Toc100009 \h </w:instrText>
            </w:r>
            <w:r>
              <w:fldChar w:fldCharType="separate"/>
            </w:r>
            <w:r>
              <w:t>11</w:t>
            </w:r>
            <w:r>
              <w:fldChar w:fldCharType="end"/>
            </w:r>
          </w:hyperlink>
        </w:p>
        <w:p>
          <w:pPr>
            <w:pStyle w:val="11"/>
            <w:ind w:left="360"/>
            <w:tabs>
              <w:tab w:val="right" w:leader="dot" w:pos="9026"/>
            </w:tabs>
            <w:spacing w:before="120" w:after="60"/>
          </w:pPr>
          <w:hyperlink w:anchor="_Toc100010" w:history="1">
            <w:r>
              <w:rPr>
                <w:rStyle w:val="Hyperlink"/>
              </w:rPr>
              <w:t>4.3 Módulo de Comprensión Auditiva (Listening)</w:t>
            </w:r>
            <w:r>
              <w:tab/>
            </w:r>
            <w:r>
              <w:fldChar w:fldCharType="begin"/>
            </w:r>
            <w:r>
              <w:instrText xml:space="preserve"> PAGEREF _Toc100010 \h </w:instrText>
            </w:r>
            <w:r>
              <w:fldChar w:fldCharType="separate"/>
            </w:r>
            <w:r>
              <w:t>11</w:t>
            </w:r>
            <w:r>
              <w:fldChar w:fldCharType="end"/>
            </w:r>
          </w:hyperlink>
        </w:p>
        <w:p>
          <w:pPr>
            <w:pStyle w:val="12"/>
            <w:ind w:left="720"/>
            <w:tabs>
              <w:tab w:val="right" w:leader="dot" w:pos="9026"/>
            </w:tabs>
            <w:spacing w:before="120" w:after="60"/>
          </w:pPr>
          <w:hyperlink w:anchor="_Toc100011" w:history="1">
            <w:r>
              <w:rPr>
                <w:rStyle w:val="Hyperlink"/>
              </w:rPr>
              <w:t>4.3.1 Ejercicios y herramientas</w:t>
            </w:r>
            <w:r>
              <w:tab/>
            </w:r>
            <w:r>
              <w:fldChar w:fldCharType="begin"/>
            </w:r>
            <w:r>
              <w:instrText xml:space="preserve"> PAGEREF _Toc100011 \h </w:instrText>
            </w:r>
            <w:r>
              <w:fldChar w:fldCharType="separate"/>
            </w:r>
            <w:r>
              <w:t>12</w:t>
            </w:r>
            <w:r>
              <w:fldChar w:fldCharType="end"/>
            </w:r>
          </w:hyperlink>
        </w:p>
        <w:p>
          <w:pPr>
            <w:pStyle w:val="11"/>
            <w:ind w:left="360"/>
            <w:tabs>
              <w:tab w:val="right" w:leader="dot" w:pos="9026"/>
            </w:tabs>
            <w:spacing w:before="120" w:after="60"/>
          </w:pPr>
          <w:hyperlink w:anchor="_Toc100012" w:history="1">
            <w:r>
              <w:rPr>
                <w:rStyle w:val="Hyperlink"/>
              </w:rPr>
              <w:t>4.4 Módulo de Comprensión Lectora (Reading)</w:t>
            </w:r>
            <w:r>
              <w:tab/>
            </w:r>
            <w:r>
              <w:fldChar w:fldCharType="begin"/>
            </w:r>
            <w:r>
              <w:instrText xml:space="preserve"> PAGEREF _Toc100012 \h </w:instrText>
            </w:r>
            <w:r>
              <w:fldChar w:fldCharType="separate"/>
            </w:r>
            <w:r>
              <w:t>12</w:t>
            </w:r>
            <w:r>
              <w:fldChar w:fldCharType="end"/>
            </w:r>
          </w:hyperlink>
        </w:p>
        <w:p>
          <w:pPr>
            <w:pStyle w:val="12"/>
            <w:ind w:left="720"/>
            <w:tabs>
              <w:tab w:val="right" w:leader="dot" w:pos="9026"/>
            </w:tabs>
            <w:spacing w:before="120" w:after="60"/>
          </w:pPr>
          <w:hyperlink w:anchor="_Toc100013" w:history="1">
            <w:r>
              <w:rPr>
                <w:rStyle w:val="Hyperlink"/>
              </w:rPr>
              <w:t>4.4.1 Ejercicios y herramientas</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4.5 Módulo de Conversación (Speaking)</w:t>
            </w:r>
            <w:r>
              <w:tab/>
            </w:r>
            <w:r>
              <w:fldChar w:fldCharType="begin"/>
            </w:r>
            <w:r>
              <w:instrText xml:space="preserve"> PAGEREF _Toc100014 \h </w:instrText>
            </w:r>
            <w:r>
              <w:fldChar w:fldCharType="separate"/>
            </w:r>
            <w:r>
              <w:t>13</w:t>
            </w:r>
            <w:r>
              <w:fldChar w:fldCharType="end"/>
            </w:r>
          </w:hyperlink>
        </w:p>
        <w:p>
          <w:pPr>
            <w:pStyle w:val="12"/>
            <w:ind w:left="720"/>
            <w:tabs>
              <w:tab w:val="right" w:leader="dot" w:pos="9026"/>
            </w:tabs>
            <w:spacing w:before="120" w:after="60"/>
          </w:pPr>
          <w:hyperlink w:anchor="_Toc100015" w:history="1">
            <w:r>
              <w:rPr>
                <w:rStyle w:val="Hyperlink"/>
              </w:rPr>
              <w:t>4.5.1 Ejercicios y herramientas</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4.6 Módulo de Pronunciación</w:t>
            </w:r>
            <w:r>
              <w:tab/>
            </w:r>
            <w:r>
              <w:fldChar w:fldCharType="begin"/>
            </w:r>
            <w:r>
              <w:instrText xml:space="preserve"> PAGEREF _Toc100016 \h </w:instrText>
            </w:r>
            <w:r>
              <w:fldChar w:fldCharType="separate"/>
            </w:r>
            <w:r>
              <w:t>14</w:t>
            </w:r>
            <w:r>
              <w:fldChar w:fldCharType="end"/>
            </w:r>
          </w:hyperlink>
        </w:p>
        <w:p>
          <w:pPr>
            <w:pStyle w:val="12"/>
            <w:ind w:left="720"/>
            <w:tabs>
              <w:tab w:val="right" w:leader="dot" w:pos="9026"/>
            </w:tabs>
            <w:spacing w:before="120" w:after="60"/>
          </w:pPr>
          <w:hyperlink w:anchor="_Toc100017" w:history="1">
            <w:r>
              <w:rPr>
                <w:rStyle w:val="Hyperlink"/>
              </w:rPr>
              <w:t>4.6.1 Ejercicios y herramientas</w:t>
            </w:r>
            <w:r>
              <w:tab/>
            </w:r>
            <w:r>
              <w:fldChar w:fldCharType="begin"/>
            </w:r>
            <w:r>
              <w:instrText xml:space="preserve"> PAGEREF _Toc100017 \h </w:instrText>
            </w:r>
            <w:r>
              <w:fldChar w:fldCharType="separate"/>
            </w:r>
            <w:r>
              <w:t>15</w:t>
            </w:r>
            <w:r>
              <w:fldChar w:fldCharType="end"/>
            </w:r>
          </w:hyperlink>
        </w:p>
        <w:p>
          <w:pPr>
            <w:pStyle w:val="9"/>
            <w:tabs>
              <w:tab w:val="right" w:leader="dot" w:pos="9026"/>
            </w:tabs>
            <w:spacing w:before="120" w:after="60"/>
          </w:pPr>
          <w:hyperlink w:anchor="_Toc100018" w:history="1">
            <w:r>
              <w:rPr>
                <w:rStyle w:val="Hyperlink"/>
              </w:rPr>
              <w:t>5. Sistema de Gamificación</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5.1 Mecánicas recomendadas para niñas</w:t>
            </w:r>
            <w:r>
              <w:tab/>
            </w:r>
            <w:r>
              <w:fldChar w:fldCharType="begin"/>
            </w:r>
            <w:r>
              <w:instrText xml:space="preserve"> PAGEREF _Toc100019 \h </w:instrText>
            </w:r>
            <w:r>
              <w:fldChar w:fldCharType="separate"/>
            </w:r>
            <w:r>
              <w:t>16</w:t>
            </w:r>
            <w:r>
              <w:fldChar w:fldCharType="end"/>
            </w:r>
          </w:hyperlink>
        </w:p>
        <w:p>
          <w:pPr>
            <w:pStyle w:val="9"/>
            <w:tabs>
              <w:tab w:val="right" w:leader="dot" w:pos="9026"/>
            </w:tabs>
            <w:spacing w:before="120" w:after="60"/>
          </w:pPr>
          <w:hyperlink w:anchor="_Toc100020" w:history="1">
            <w:r>
              <w:rPr>
                <w:rStyle w:val="Hyperlink"/>
              </w:rPr>
              <w:t>6. Análisis Comparativo con Plataformas Líder</w:t>
            </w:r>
            <w:r>
              <w:tab/>
            </w:r>
            <w:r>
              <w:fldChar w:fldCharType="begin"/>
            </w:r>
            <w:r>
              <w:instrText xml:space="preserve"> PAGEREF _Toc100020 \h </w:instrText>
            </w:r>
            <w:r>
              <w:fldChar w:fldCharType="separate"/>
            </w:r>
            <w:r>
              <w:t>16</w:t>
            </w:r>
            <w:r>
              <w:fldChar w:fldCharType="end"/>
            </w:r>
          </w:hyperlink>
        </w:p>
        <w:p>
          <w:pPr>
            <w:pStyle w:val="11"/>
            <w:ind w:left="360"/>
            <w:tabs>
              <w:tab w:val="right" w:leader="dot" w:pos="9026"/>
            </w:tabs>
            <w:spacing w:before="120" w:after="60"/>
          </w:pPr>
          <w:hyperlink w:anchor="_Toc100021" w:history="1">
            <w:r>
              <w:rPr>
                <w:rStyle w:val="Hyperlink"/>
              </w:rPr>
              <w:t>6.1 Duolingo</w:t>
            </w:r>
            <w:r>
              <w:tab/>
            </w:r>
            <w:r>
              <w:fldChar w:fldCharType="begin"/>
            </w:r>
            <w:r>
              <w:instrText xml:space="preserve"> PAGEREF _Toc100021 \h </w:instrText>
            </w:r>
            <w:r>
              <w:fldChar w:fldCharType="separate"/>
            </w:r>
            <w:r>
              <w:t>17</w:t>
            </w:r>
            <w:r>
              <w:fldChar w:fldCharType="end"/>
            </w:r>
          </w:hyperlink>
        </w:p>
        <w:p>
          <w:pPr>
            <w:pStyle w:val="12"/>
            <w:ind w:left="720"/>
            <w:tabs>
              <w:tab w:val="right" w:leader="dot" w:pos="9026"/>
            </w:tabs>
            <w:spacing w:before="120" w:after="60"/>
          </w:pPr>
          <w:hyperlink w:anchor="_Toc100022" w:history="1">
            <w:r>
              <w:rPr>
                <w:rStyle w:val="Hyperlink"/>
              </w:rPr>
              <w:t>Metodología y estructura</w:t>
            </w:r>
            <w:r>
              <w:tab/>
            </w:r>
            <w:r>
              <w:fldChar w:fldCharType="begin"/>
            </w:r>
            <w:r>
              <w:instrText xml:space="preserve"> PAGEREF _Toc100022 \h </w:instrText>
            </w:r>
            <w:r>
              <w:fldChar w:fldCharType="separate"/>
            </w:r>
            <w:r>
              <w:t>17</w:t>
            </w:r>
            <w:r>
              <w:fldChar w:fldCharType="end"/>
            </w:r>
          </w:hyperlink>
        </w:p>
        <w:p>
          <w:pPr>
            <w:pStyle w:val="12"/>
            <w:ind w:left="720"/>
            <w:tabs>
              <w:tab w:val="right" w:leader="dot" w:pos="9026"/>
            </w:tabs>
            <w:spacing w:before="120" w:after="60"/>
          </w:pPr>
          <w:hyperlink w:anchor="_Toc100023" w:history="1">
            <w:r>
              <w:rPr>
                <w:rStyle w:val="Hyperlink"/>
              </w:rPr>
              <w:t>Fortalezas</w:t>
            </w:r>
            <w:r>
              <w:tab/>
            </w:r>
            <w:r>
              <w:fldChar w:fldCharType="begin"/>
            </w:r>
            <w:r>
              <w:instrText xml:space="preserve"> PAGEREF _Toc100023 \h </w:instrText>
            </w:r>
            <w:r>
              <w:fldChar w:fldCharType="separate"/>
            </w:r>
            <w:r>
              <w:t>17</w:t>
            </w:r>
            <w:r>
              <w:fldChar w:fldCharType="end"/>
            </w:r>
          </w:hyperlink>
        </w:p>
        <w:p>
          <w:pPr>
            <w:pStyle w:val="12"/>
            <w:ind w:left="720"/>
            <w:tabs>
              <w:tab w:val="right" w:leader="dot" w:pos="9026"/>
            </w:tabs>
            <w:spacing w:before="120" w:after="60"/>
          </w:pPr>
          <w:hyperlink w:anchor="_Toc100024" w:history="1">
            <w:r>
              <w:rPr>
                <w:rStyle w:val="Hyperlink"/>
              </w:rPr>
              <w:t>Debilidades</w:t>
            </w:r>
            <w:r>
              <w:tab/>
            </w:r>
            <w:r>
              <w:fldChar w:fldCharType="begin"/>
            </w:r>
            <w:r>
              <w:instrText xml:space="preserve"> PAGEREF _Toc100024 \h </w:instrText>
            </w:r>
            <w:r>
              <w:fldChar w:fldCharType="separate"/>
            </w:r>
            <w:r>
              <w:t>18</w:t>
            </w:r>
            <w:r>
              <w:fldChar w:fldCharType="end"/>
            </w:r>
          </w:hyperlink>
        </w:p>
        <w:p>
          <w:pPr>
            <w:pStyle w:val="11"/>
            <w:ind w:left="360"/>
            <w:tabs>
              <w:tab w:val="right" w:leader="dot" w:pos="9026"/>
            </w:tabs>
            <w:spacing w:before="120" w:after="60"/>
          </w:pPr>
          <w:hyperlink w:anchor="_Toc100025" w:history="1">
            <w:r>
              <w:rPr>
                <w:rStyle w:val="Hyperlink"/>
              </w:rPr>
              <w:t>6.2 Rosetta Stone</w:t>
            </w:r>
            <w:r>
              <w:tab/>
            </w:r>
            <w:r>
              <w:fldChar w:fldCharType="begin"/>
            </w:r>
            <w:r>
              <w:instrText xml:space="preserve"> PAGEREF _Toc100025 \h </w:instrText>
            </w:r>
            <w:r>
              <w:fldChar w:fldCharType="separate"/>
            </w:r>
            <w:r>
              <w:t>19</w:t>
            </w:r>
            <w:r>
              <w:fldChar w:fldCharType="end"/>
            </w:r>
          </w:hyperlink>
        </w:p>
        <w:p>
          <w:pPr>
            <w:pStyle w:val="12"/>
            <w:ind w:left="720"/>
            <w:tabs>
              <w:tab w:val="right" w:leader="dot" w:pos="9026"/>
            </w:tabs>
            <w:spacing w:before="120" w:after="60"/>
          </w:pPr>
          <w:hyperlink w:anchor="_Toc100026" w:history="1">
            <w:r>
              <w:rPr>
                <w:rStyle w:val="Hyperlink"/>
              </w:rPr>
              <w:t>Metodología y estructura</w:t>
            </w:r>
            <w:r>
              <w:tab/>
            </w:r>
            <w:r>
              <w:fldChar w:fldCharType="begin"/>
            </w:r>
            <w:r>
              <w:instrText xml:space="preserve"> PAGEREF _Toc100026 \h </w:instrText>
            </w:r>
            <w:r>
              <w:fldChar w:fldCharType="separate"/>
            </w:r>
            <w:r>
              <w:t>19</w:t>
            </w:r>
            <w:r>
              <w:fldChar w:fldCharType="end"/>
            </w:r>
          </w:hyperlink>
        </w:p>
        <w:p>
          <w:pPr>
            <w:pStyle w:val="12"/>
            <w:ind w:left="720"/>
            <w:tabs>
              <w:tab w:val="right" w:leader="dot" w:pos="9026"/>
            </w:tabs>
            <w:spacing w:before="120" w:after="60"/>
          </w:pPr>
          <w:hyperlink w:anchor="_Toc100027" w:history="1">
            <w:r>
              <w:rPr>
                <w:rStyle w:val="Hyperlink"/>
              </w:rPr>
              <w:t>Fortalezas</w:t>
            </w:r>
            <w:r>
              <w:tab/>
            </w:r>
            <w:r>
              <w:fldChar w:fldCharType="begin"/>
            </w:r>
            <w:r>
              <w:instrText xml:space="preserve"> PAGEREF _Toc100027 \h </w:instrText>
            </w:r>
            <w:r>
              <w:fldChar w:fldCharType="separate"/>
            </w:r>
            <w:r>
              <w:t>19</w:t>
            </w:r>
            <w:r>
              <w:fldChar w:fldCharType="end"/>
            </w:r>
          </w:hyperlink>
        </w:p>
        <w:p>
          <w:pPr>
            <w:pStyle w:val="12"/>
            <w:ind w:left="720"/>
            <w:tabs>
              <w:tab w:val="right" w:leader="dot" w:pos="9026"/>
            </w:tabs>
            <w:spacing w:before="120" w:after="60"/>
          </w:pPr>
          <w:hyperlink w:anchor="_Toc100028" w:history="1">
            <w:r>
              <w:rPr>
                <w:rStyle w:val="Hyperlink"/>
              </w:rPr>
              <w:t>Debilidades</w:t>
            </w:r>
            <w:r>
              <w:tab/>
            </w:r>
            <w:r>
              <w:fldChar w:fldCharType="begin"/>
            </w:r>
            <w:r>
              <w:instrText xml:space="preserve"> PAGEREF _Toc100028 \h </w:instrText>
            </w:r>
            <w:r>
              <w:fldChar w:fldCharType="separate"/>
            </w:r>
            <w:r>
              <w:t>20</w:t>
            </w:r>
            <w:r>
              <w:fldChar w:fldCharType="end"/>
            </w:r>
          </w:hyperlink>
        </w:p>
        <w:p>
          <w:pPr>
            <w:pStyle w:val="11"/>
            <w:ind w:left="360"/>
            <w:tabs>
              <w:tab w:val="right" w:leader="dot" w:pos="9026"/>
            </w:tabs>
            <w:spacing w:before="120" w:after="60"/>
          </w:pPr>
          <w:hyperlink w:anchor="_Toc100029" w:history="1">
            <w:r>
              <w:rPr>
                <w:rStyle w:val="Hyperlink"/>
              </w:rPr>
              <w:t>6.3 Open English</w:t>
            </w:r>
            <w:r>
              <w:tab/>
            </w:r>
            <w:r>
              <w:fldChar w:fldCharType="begin"/>
            </w:r>
            <w:r>
              <w:instrText xml:space="preserve"> PAGEREF _Toc100029 \h </w:instrText>
            </w:r>
            <w:r>
              <w:fldChar w:fldCharType="separate"/>
            </w:r>
            <w:r>
              <w:t>21</w:t>
            </w:r>
            <w:r>
              <w:fldChar w:fldCharType="end"/>
            </w:r>
          </w:hyperlink>
        </w:p>
        <w:p>
          <w:pPr>
            <w:pStyle w:val="12"/>
            <w:ind w:left="720"/>
            <w:tabs>
              <w:tab w:val="right" w:leader="dot" w:pos="9026"/>
            </w:tabs>
            <w:spacing w:before="120" w:after="60"/>
          </w:pPr>
          <w:hyperlink w:anchor="_Toc100030" w:history="1">
            <w:r>
              <w:rPr>
                <w:rStyle w:val="Hyperlink"/>
              </w:rPr>
              <w:t>Metodología y estructura</w:t>
            </w:r>
            <w:r>
              <w:tab/>
            </w:r>
            <w:r>
              <w:fldChar w:fldCharType="begin"/>
            </w:r>
            <w:r>
              <w:instrText xml:space="preserve"> PAGEREF _Toc100030 \h </w:instrText>
            </w:r>
            <w:r>
              <w:fldChar w:fldCharType="separate"/>
            </w:r>
            <w:r>
              <w:t>21</w:t>
            </w:r>
            <w:r>
              <w:fldChar w:fldCharType="end"/>
            </w:r>
          </w:hyperlink>
        </w:p>
        <w:p>
          <w:pPr>
            <w:pStyle w:val="12"/>
            <w:ind w:left="720"/>
            <w:tabs>
              <w:tab w:val="right" w:leader="dot" w:pos="9026"/>
            </w:tabs>
            <w:spacing w:before="120" w:after="60"/>
          </w:pPr>
          <w:hyperlink w:anchor="_Toc100031" w:history="1">
            <w:r>
              <w:rPr>
                <w:rStyle w:val="Hyperlink"/>
              </w:rPr>
              <w:t>Fortalezas</w:t>
            </w:r>
            <w:r>
              <w:tab/>
            </w:r>
            <w:r>
              <w:fldChar w:fldCharType="begin"/>
            </w:r>
            <w:r>
              <w:instrText xml:space="preserve"> PAGEREF _Toc100031 \h </w:instrText>
            </w:r>
            <w:r>
              <w:fldChar w:fldCharType="separate"/>
            </w:r>
            <w:r>
              <w:t>21</w:t>
            </w:r>
            <w:r>
              <w:fldChar w:fldCharType="end"/>
            </w:r>
          </w:hyperlink>
        </w:p>
        <w:p>
          <w:pPr>
            <w:pStyle w:val="12"/>
            <w:ind w:left="720"/>
            <w:tabs>
              <w:tab w:val="right" w:leader="dot" w:pos="9026"/>
            </w:tabs>
            <w:spacing w:before="120" w:after="60"/>
          </w:pPr>
          <w:hyperlink w:anchor="_Toc100032" w:history="1">
            <w:r>
              <w:rPr>
                <w:rStyle w:val="Hyperlink"/>
              </w:rPr>
              <w:t>Debilidades</w:t>
            </w:r>
            <w:r>
              <w:tab/>
            </w:r>
            <w:r>
              <w:fldChar w:fldCharType="begin"/>
            </w:r>
            <w:r>
              <w:instrText xml:space="preserve"> PAGEREF _Toc100032 \h </w:instrText>
            </w:r>
            <w:r>
              <w:fldChar w:fldCharType="separate"/>
            </w:r>
            <w:r>
              <w:t>22</w:t>
            </w:r>
            <w:r>
              <w:fldChar w:fldCharType="end"/>
            </w:r>
          </w:hyperlink>
        </w:p>
        <w:p>
          <w:pPr>
            <w:pStyle w:val="11"/>
            <w:ind w:left="360"/>
            <w:tabs>
              <w:tab w:val="right" w:leader="dot" w:pos="9026"/>
            </w:tabs>
            <w:spacing w:before="120" w:after="60"/>
          </w:pPr>
          <w:hyperlink w:anchor="_Toc100033" w:history="1">
            <w:r>
              <w:rPr>
                <w:rStyle w:val="Hyperlink"/>
              </w:rPr>
              <w:t>6.4 Políglota</w:t>
            </w:r>
            <w:r>
              <w:tab/>
            </w:r>
            <w:r>
              <w:fldChar w:fldCharType="begin"/>
            </w:r>
            <w:r>
              <w:instrText xml:space="preserve"> PAGEREF _Toc100033 \h </w:instrText>
            </w:r>
            <w:r>
              <w:fldChar w:fldCharType="separate"/>
            </w:r>
            <w:r>
              <w:t>23</w:t>
            </w:r>
            <w:r>
              <w:fldChar w:fldCharType="end"/>
            </w:r>
          </w:hyperlink>
        </w:p>
        <w:p>
          <w:pPr>
            <w:pStyle w:val="12"/>
            <w:ind w:left="720"/>
            <w:tabs>
              <w:tab w:val="right" w:leader="dot" w:pos="9026"/>
            </w:tabs>
            <w:spacing w:before="120" w:after="60"/>
          </w:pPr>
          <w:hyperlink w:anchor="_Toc100034" w:history="1">
            <w:r>
              <w:rPr>
                <w:rStyle w:val="Hyperlink"/>
              </w:rPr>
              <w:t>Metodología y estructura</w:t>
            </w:r>
            <w:r>
              <w:tab/>
            </w:r>
            <w:r>
              <w:fldChar w:fldCharType="begin"/>
            </w:r>
            <w:r>
              <w:instrText xml:space="preserve"> PAGEREF _Toc100034 \h </w:instrText>
            </w:r>
            <w:r>
              <w:fldChar w:fldCharType="separate"/>
            </w:r>
            <w:r>
              <w:t>23</w:t>
            </w:r>
            <w:r>
              <w:fldChar w:fldCharType="end"/>
            </w:r>
          </w:hyperlink>
        </w:p>
        <w:p>
          <w:pPr>
            <w:pStyle w:val="12"/>
            <w:ind w:left="720"/>
            <w:tabs>
              <w:tab w:val="right" w:leader="dot" w:pos="9026"/>
            </w:tabs>
            <w:spacing w:before="120" w:after="60"/>
          </w:pPr>
          <w:hyperlink w:anchor="_Toc100035" w:history="1">
            <w:r>
              <w:rPr>
                <w:rStyle w:val="Hyperlink"/>
              </w:rPr>
              <w:t>Fortalezas</w:t>
            </w:r>
            <w:r>
              <w:tab/>
            </w:r>
            <w:r>
              <w:fldChar w:fldCharType="begin"/>
            </w:r>
            <w:r>
              <w:instrText xml:space="preserve"> PAGEREF _Toc100035 \h </w:instrText>
            </w:r>
            <w:r>
              <w:fldChar w:fldCharType="separate"/>
            </w:r>
            <w:r>
              <w:t>23</w:t>
            </w:r>
            <w:r>
              <w:fldChar w:fldCharType="end"/>
            </w:r>
          </w:hyperlink>
        </w:p>
        <w:p>
          <w:pPr>
            <w:pStyle w:val="12"/>
            <w:ind w:left="720"/>
            <w:tabs>
              <w:tab w:val="right" w:leader="dot" w:pos="9026"/>
            </w:tabs>
            <w:spacing w:before="120" w:after="60"/>
          </w:pPr>
          <w:hyperlink w:anchor="_Toc100036" w:history="1">
            <w:r>
              <w:rPr>
                <w:rStyle w:val="Hyperlink"/>
              </w:rPr>
              <w:t>Debilidades</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6.5 Lingokids</w:t>
            </w:r>
            <w:r>
              <w:tab/>
            </w:r>
            <w:r>
              <w:fldChar w:fldCharType="begin"/>
            </w:r>
            <w:r>
              <w:instrText xml:space="preserve"> PAGEREF _Toc100037 \h </w:instrText>
            </w:r>
            <w:r>
              <w:fldChar w:fldCharType="separate"/>
            </w:r>
            <w:r>
              <w:t>25</w:t>
            </w:r>
            <w:r>
              <w:fldChar w:fldCharType="end"/>
            </w:r>
          </w:hyperlink>
        </w:p>
        <w:p>
          <w:pPr>
            <w:pStyle w:val="12"/>
            <w:ind w:left="720"/>
            <w:tabs>
              <w:tab w:val="right" w:leader="dot" w:pos="9026"/>
            </w:tabs>
            <w:spacing w:before="120" w:after="60"/>
          </w:pPr>
          <w:hyperlink w:anchor="_Toc100038" w:history="1">
            <w:r>
              <w:rPr>
                <w:rStyle w:val="Hyperlink"/>
              </w:rPr>
              <w:t>Metodología y estructura</w:t>
            </w:r>
            <w:r>
              <w:tab/>
            </w:r>
            <w:r>
              <w:fldChar w:fldCharType="begin"/>
            </w:r>
            <w:r>
              <w:instrText xml:space="preserve"> PAGEREF _Toc100038 \h </w:instrText>
            </w:r>
            <w:r>
              <w:fldChar w:fldCharType="separate"/>
            </w:r>
            <w:r>
              <w:t>25</w:t>
            </w:r>
            <w:r>
              <w:fldChar w:fldCharType="end"/>
            </w:r>
          </w:hyperlink>
        </w:p>
        <w:p>
          <w:pPr>
            <w:pStyle w:val="12"/>
            <w:ind w:left="720"/>
            <w:tabs>
              <w:tab w:val="right" w:leader="dot" w:pos="9026"/>
            </w:tabs>
            <w:spacing w:before="120" w:after="60"/>
          </w:pPr>
          <w:hyperlink w:anchor="_Toc100039" w:history="1">
            <w:r>
              <w:rPr>
                <w:rStyle w:val="Hyperlink"/>
              </w:rPr>
              <w:t>Fortalezas</w:t>
            </w:r>
            <w:r>
              <w:tab/>
            </w:r>
            <w:r>
              <w:fldChar w:fldCharType="begin"/>
            </w:r>
            <w:r>
              <w:instrText xml:space="preserve"> PAGEREF _Toc100039 \h </w:instrText>
            </w:r>
            <w:r>
              <w:fldChar w:fldCharType="separate"/>
            </w:r>
            <w:r>
              <w:t>25</w:t>
            </w:r>
            <w:r>
              <w:fldChar w:fldCharType="end"/>
            </w:r>
          </w:hyperlink>
        </w:p>
        <w:p>
          <w:pPr>
            <w:pStyle w:val="12"/>
            <w:ind w:left="720"/>
            <w:tabs>
              <w:tab w:val="right" w:leader="dot" w:pos="9026"/>
            </w:tabs>
            <w:spacing w:before="120" w:after="60"/>
          </w:pPr>
          <w:hyperlink w:anchor="_Toc100040" w:history="1">
            <w:r>
              <w:rPr>
                <w:rStyle w:val="Hyperlink"/>
              </w:rPr>
              <w:t>Debilidades</w:t>
            </w:r>
            <w:r>
              <w:tab/>
            </w:r>
            <w:r>
              <w:fldChar w:fldCharType="begin"/>
            </w:r>
            <w:r>
              <w:instrText xml:space="preserve"> PAGEREF _Toc100040 \h </w:instrText>
            </w:r>
            <w:r>
              <w:fldChar w:fldCharType="separate"/>
            </w:r>
            <w:r>
              <w:t>26</w:t>
            </w:r>
            <w:r>
              <w:fldChar w:fldCharType="end"/>
            </w:r>
          </w:hyperlink>
        </w:p>
        <w:p>
          <w:pPr>
            <w:pStyle w:val="11"/>
            <w:ind w:left="360"/>
            <w:tabs>
              <w:tab w:val="right" w:leader="dot" w:pos="9026"/>
            </w:tabs>
            <w:spacing w:before="120" w:after="60"/>
          </w:pPr>
          <w:hyperlink w:anchor="_Toc100041" w:history="1">
            <w:r>
              <w:rPr>
                <w:rStyle w:val="Hyperlink"/>
              </w:rPr>
              <w:t>6.6 Tabla Comparativa General</w:t>
            </w:r>
            <w:r>
              <w:tab/>
            </w:r>
            <w:r>
              <w:fldChar w:fldCharType="begin"/>
            </w:r>
            <w:r>
              <w:instrText xml:space="preserve"> PAGEREF _Toc100041 \h </w:instrText>
            </w:r>
            <w:r>
              <w:fldChar w:fldCharType="separate"/>
            </w:r>
            <w:r>
              <w:t>27</w:t>
            </w:r>
            <w:r>
              <w:fldChar w:fldCharType="end"/>
            </w:r>
          </w:hyperlink>
        </w:p>
        <w:p>
          <w:pPr>
            <w:pStyle w:val="9"/>
            <w:tabs>
              <w:tab w:val="right" w:leader="dot" w:pos="9026"/>
            </w:tabs>
            <w:spacing w:before="120" w:after="60"/>
          </w:pPr>
          <w:hyperlink w:anchor="_Toc100042" w:history="1">
            <w:r>
              <w:rPr>
                <w:rStyle w:val="Hyperlink"/>
              </w:rPr>
              <w:t>7. Recomendaciones Diferenciales para la Plataforma</w:t>
            </w:r>
            <w:r>
              <w:tab/>
            </w:r>
            <w:r>
              <w:fldChar w:fldCharType="begin"/>
            </w:r>
            <w:r>
              <w:instrText xml:space="preserve"> PAGEREF _Toc100042 \h </w:instrText>
            </w:r>
            <w:r>
              <w:fldChar w:fldCharType="separate"/>
            </w:r>
            <w:r>
              <w:t>28</w:t>
            </w:r>
            <w:r>
              <w:fldChar w:fldCharType="end"/>
            </w:r>
          </w:hyperlink>
        </w:p>
        <w:p>
          <w:pPr>
            <w:pStyle w:val="11"/>
            <w:ind w:left="360"/>
            <w:tabs>
              <w:tab w:val="right" w:leader="dot" w:pos="9026"/>
            </w:tabs>
            <w:spacing w:before="120" w:after="60"/>
          </w:pPr>
          <w:hyperlink w:anchor="_Toc100043" w:history="1">
            <w:r>
              <w:rPr>
                <w:rStyle w:val="Hyperlink"/>
              </w:rPr>
              <w:t>7.1 Arquitectura híbrida de aprendizaje</w:t>
            </w:r>
            <w:r>
              <w:tab/>
            </w:r>
            <w:r>
              <w:fldChar w:fldCharType="begin"/>
            </w:r>
            <w:r>
              <w:instrText xml:space="preserve"> PAGEREF _Toc100043 \h </w:instrText>
            </w:r>
            <w:r>
              <w:fldChar w:fldCharType="separate"/>
            </w:r>
            <w:r>
              <w:t>28</w:t>
            </w:r>
            <w:r>
              <w:fldChar w:fldCharType="end"/>
            </w:r>
          </w:hyperlink>
        </w:p>
        <w:p>
          <w:pPr>
            <w:pStyle w:val="11"/>
            <w:ind w:left="360"/>
            <w:tabs>
              <w:tab w:val="right" w:leader="dot" w:pos="9026"/>
            </w:tabs>
            <w:spacing w:before="120" w:after="60"/>
          </w:pPr>
          <w:hyperlink w:anchor="_Toc100044" w:history="1">
            <w:r>
              <w:rPr>
                <w:rStyle w:val="Hyperlink"/>
              </w:rPr>
              <w:t>7.2 Personalización adaptativa</w:t>
            </w:r>
            <w:r>
              <w:tab/>
            </w:r>
            <w:r>
              <w:fldChar w:fldCharType="begin"/>
            </w:r>
            <w:r>
              <w:instrText xml:space="preserve"> PAGEREF _Toc100044 \h </w:instrText>
            </w:r>
            <w:r>
              <w:fldChar w:fldCharType="separate"/>
            </w:r>
            <w:r>
              <w:t>28</w:t>
            </w:r>
            <w:r>
              <w:fldChar w:fldCharType="end"/>
            </w:r>
          </w:hyperlink>
        </w:p>
        <w:p>
          <w:pPr>
            <w:pStyle w:val="11"/>
            <w:ind w:left="360"/>
            <w:tabs>
              <w:tab w:val="right" w:leader="dot" w:pos="9026"/>
            </w:tabs>
            <w:spacing w:before="120" w:after="60"/>
          </w:pPr>
          <w:hyperlink w:anchor="_Toc100045" w:history="1">
            <w:r>
              <w:rPr>
                <w:rStyle w:val="Hyperlink"/>
              </w:rPr>
              <w:t>7.3 Seguridad y control parental</w:t>
            </w:r>
            <w:r>
              <w:tab/>
            </w:r>
            <w:r>
              <w:fldChar w:fldCharType="begin"/>
            </w:r>
            <w:r>
              <w:instrText xml:space="preserve"> PAGEREF _Toc100045 \h </w:instrText>
            </w:r>
            <w:r>
              <w:fldChar w:fldCharType="separate"/>
            </w:r>
            <w:r>
              <w:t>28</w:t>
            </w:r>
            <w:r>
              <w:fldChar w:fldCharType="end"/>
            </w:r>
          </w:hyperlink>
        </w:p>
        <w:p>
          <w:pPr>
            <w:pStyle w:val="11"/>
            <w:ind w:left="360"/>
            <w:tabs>
              <w:tab w:val="right" w:leader="dot" w:pos="9026"/>
            </w:tabs>
            <w:spacing w:before="120" w:after="60"/>
          </w:pPr>
          <w:hyperlink w:anchor="_Toc100046" w:history="1">
            <w:r>
              <w:rPr>
                <w:rStyle w:val="Hyperlink"/>
              </w:rPr>
              <w:t>7.4 Contenido culturalmente relevante</w:t>
            </w:r>
            <w:r>
              <w:tab/>
            </w:r>
            <w:r>
              <w:fldChar w:fldCharType="begin"/>
            </w:r>
            <w:r>
              <w:instrText xml:space="preserve"> PAGEREF _Toc100046 \h </w:instrText>
            </w:r>
            <w:r>
              <w:fldChar w:fldCharType="separate"/>
            </w:r>
            <w:r>
              <w:t>29</w:t>
            </w:r>
            <w:r>
              <w:fldChar w:fldCharType="end"/>
            </w:r>
          </w:hyperlink>
        </w:p>
        <w:p>
          <w:pPr>
            <w:pStyle w:val="11"/>
            <w:ind w:left="360"/>
            <w:tabs>
              <w:tab w:val="right" w:leader="dot" w:pos="9026"/>
            </w:tabs>
            <w:spacing w:before="120" w:after="60"/>
          </w:pPr>
          <w:hyperlink w:anchor="_Toc100047" w:history="1">
            <w:r>
              <w:rPr>
                <w:rStyle w:val="Hyperlink"/>
              </w:rPr>
              <w:t>7.5 Modelo de negocio accesible</w:t>
            </w:r>
            <w:r>
              <w:tab/>
            </w:r>
            <w:r>
              <w:fldChar w:fldCharType="begin"/>
            </w:r>
            <w:r>
              <w:instrText xml:space="preserve"> PAGEREF _Toc100047 \h </w:instrText>
            </w:r>
            <w:r>
              <w:fldChar w:fldCharType="separate"/>
            </w:r>
            <w:r>
              <w:t>29</w:t>
            </w:r>
            <w:r>
              <w:fldChar w:fldCharType="end"/>
            </w:r>
          </w:hyperlink>
        </w:p>
        <w:p>
          <w:pPr>
            <w:pStyle w:val="9"/>
            <w:tabs>
              <w:tab w:val="right" w:leader="dot" w:pos="9026"/>
            </w:tabs>
            <w:spacing w:before="120" w:after="60"/>
          </w:pPr>
          <w:hyperlink w:anchor="_Toc100048" w:history="1">
            <w:r>
              <w:rPr>
                <w:rStyle w:val="Hyperlink"/>
              </w:rPr>
              <w:t>8. Conclusiones y Próximos Pasos</w:t>
            </w:r>
            <w:r>
              <w:tab/>
            </w:r>
            <w:r>
              <w:fldChar w:fldCharType="begin"/>
            </w:r>
            <w:r>
              <w:instrText xml:space="preserve"> PAGEREF _Toc100048 \h </w:instrText>
            </w:r>
            <w:r>
              <w:fldChar w:fldCharType="separate"/>
            </w:r>
            <w:r>
              <w:t>29</w:t>
            </w:r>
            <w:r>
              <w:fldChar w:fldCharType="end"/>
            </w:r>
          </w:hyperlink>
        </w:p>
        <w:p>
          <w:r>
            <w:fldChar w:fldCharType="end"/>
          </w:r>
        </w:p>
      </w:sdtContent>
    </w:sdt>
    <w:p>
      <w:pPr>
        <w:spacing w:after="100" w:before="200"/>
      </w:pPr>
      <w:r>
        <w:rPr>
          <w:i/>
          <w:iCs/>
          <w:color w:val="888888"/>
          <w:sz w:val="18"/>
          <w:szCs w:val="18"/>
        </w:rPr>
        <w:t xml:space="preserve">Nota: Este índice se genera mediante códigos de campo. Para actualizar los números de página, haga clic derecho sobre el índice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Microsoft YaHei"/>
          <w:b/>
          <w:bCs/>
          <w:color w:val="2B579A"/>
          <w:sz w:val="32"/>
          <w:szCs w:val="32"/>
        </w:rPr>
        <w:t xml:space="preserve">1. Resumen Ejecutivo</w:t>
      </w:r>
      <w:bookmarkEnd w:id="100000"/>
    </w:p>
    <w:p>
      <w:pPr>
        <w:spacing w:after="120" w:line="312"/>
        <w:ind w:firstLine="480"/>
        <w:jc w:val="both"/>
      </w:pPr>
      <w:r>
        <w:rPr>
          <w:rFonts w:ascii="Calibri" w:eastAsia="Microsoft YaHei"/>
          <w:color w:val="333333"/>
          <w:sz w:val="24"/>
          <w:szCs w:val="24"/>
        </w:rPr>
        <w:t xml:space="preserve">Este documento presenta una propuesta completa para la estructura y diseño de una plataforma de aprendizaje de inglés orientada a niñas. El análisis se fundamenta en el estudio de las principales herramientas del mercado —Duolingo, Rosetta Stone, Open English, Políglota y Lingokids—, así como en el Marco Común Europeo de Referencia para las Lenguas (CEFR), que constituye el estándar internacional para la evaluación de competencias lingüísticas.</w:t>
      </w:r>
    </w:p>
    <w:p>
      <w:pPr>
        <w:spacing w:after="120" w:line="312"/>
        <w:ind w:firstLine="480"/>
        <w:jc w:val="both"/>
      </w:pPr>
      <w:r>
        <w:rPr>
          <w:rFonts w:ascii="Calibri" w:eastAsia="Microsoft YaHei"/>
          <w:color w:val="333333"/>
          <w:sz w:val="24"/>
          <w:szCs w:val="24"/>
        </w:rPr>
        <w:t xml:space="preserve">La plataforma propuesta integra seis módulos centrales: Vocabulario, Gramática, Comprensión Auditiva, Comprensión Lectora, Conversación y Pronunciación. Cada módulo incorpora ejercicios interactivos, mecánicas de gamificación adaptadas a públicos infantiles, y un sistema de progresión basado en niveles que permite a las estudiantes avanzar a su propio ritmo. Se recomienda incorporar elementos como recompensas visuales, avatares personalizables, desafíos diarios y un sistema de puntos que fomenten la motivación intrínseca y extrínseca.</w:t>
      </w:r>
    </w:p>
    <w:p>
      <w:pPr>
        <w:spacing w:after="120" w:line="312"/>
        <w:ind w:firstLine="480"/>
        <w:jc w:val="both"/>
      </w:pPr>
      <w:r>
        <w:rPr>
          <w:rFonts w:ascii="Calibri" w:eastAsia="Microsoft YaHei"/>
          <w:color w:val="333333"/>
          <w:sz w:val="24"/>
          <w:szCs w:val="24"/>
        </w:rPr>
        <w:t xml:space="preserve">El análisis comparativo revela que ninguna plataforma existente combina de manera óptima todos los elementos necesarios para un aprendizaje infantil efectivo: Duolingo destaca en gamificación pero carece de interacción conversacional real; Rosetta Stone ofrece inmersión profunda pero resulta costosa; Open English brinda clases en vivo con profesores nativos pero su enfoque es adulto; Políglota privilegia la conversación grupal pero no está diseñada para niños; y Lingokids, aunque está orientada a infantes, tiene un alcance limitado en niveles avanzados. La propuesta presentada busca sintetizar las mejores prácticas de cada una y superar sus limitaciones, creando una experiencia integral, segura y pedagógicamente sólida para niñas en edad escolar.</w:t>
      </w:r>
    </w:p>
    <w:p>
      <w:pPr>
        <w:pStyle w:val="Heading1"/>
        <w:spacing w:after="200" w:before="480" w:line="312"/>
      </w:pPr>
      <w:bookmarkStart w:id="100001" w:name="_Toc100001"/>
      <w:r>
        <w:rPr>
          <w:rFonts w:ascii="Calibri" w:eastAsia="Microsoft YaHei"/>
          <w:b/>
          <w:bCs/>
          <w:color w:val="2B579A"/>
          <w:sz w:val="32"/>
          <w:szCs w:val="32"/>
        </w:rPr>
        <w:t xml:space="preserve">2. Introducción y Contexto</w:t>
      </w:r>
      <w:bookmarkEnd w:id="100001"/>
    </w:p>
    <w:p>
      <w:pPr>
        <w:spacing w:after="120" w:line="312"/>
        <w:ind w:firstLine="480"/>
        <w:jc w:val="both"/>
      </w:pPr>
      <w:r>
        <w:rPr>
          <w:rFonts w:ascii="Calibri" w:eastAsia="Microsoft YaHei"/>
          <w:color w:val="333333"/>
          <w:sz w:val="24"/>
          <w:szCs w:val="24"/>
        </w:rPr>
        <w:t xml:space="preserve">El aprendizaje de inglés como segundo idioma se ha convertido en una necesidad fundamental en el mundo contemporáneo. Según datos de EF English Proficiency Index, los países de América Latina han incrementado significativamente su interés en el dominio del inglés durante la última década, impulsados por la globalización, las oportunidades laborales internacionales y el acceso a contenidos educativos y de entretenimiento en este idioma. En este contexto, las herramientas digitales han emergido como el canal principal de aprendizaje, especialmente después de la aceleración tecnológica provocada por la pandemia de 2020.</w:t>
      </w:r>
    </w:p>
    <w:p>
      <w:pPr>
        <w:spacing w:after="120" w:line="312"/>
        <w:ind w:firstLine="480"/>
        <w:jc w:val="both"/>
      </w:pPr>
      <w:r>
        <w:rPr>
          <w:rFonts w:ascii="Calibri" w:eastAsia="Microsoft YaHei"/>
          <w:color w:val="333333"/>
          <w:sz w:val="24"/>
          <w:szCs w:val="24"/>
        </w:rPr>
        <w:t xml:space="preserve">El mercado de aplicaciones de aprendizaje de idiomas alcanzó un valor estimado de 8.000 millones de dólares en 2024, con un crecimiento anual compuesto (CAGR) del 18,5% proyectado hasta 2030. Dentro de este mercado, el segmento infantil representa una de las áreas de mayor expansión, dado que los padres buscan herramientas que complementen la educación formal de sus hijos desde edades tempranas. Investigaciones en neurociencia educativa demuestran que los niños entre 5 y 12 años poseen una plasticidad cerebral que facilita la adquisición natural de nuevos idiomas, particularmente cuando el aprendizaje se presenta de forma lúdica, visual e interactiva.</w:t>
      </w:r>
    </w:p>
    <w:p>
      <w:pPr>
        <w:spacing w:after="120" w:line="312"/>
        <w:ind w:firstLine="480"/>
        <w:jc w:val="both"/>
      </w:pPr>
      <w:r>
        <w:rPr>
          <w:rFonts w:ascii="Calibri" w:eastAsia="Microsoft YaHei"/>
          <w:color w:val="333333"/>
          <w:sz w:val="24"/>
          <w:szCs w:val="24"/>
        </w:rPr>
        <w:t xml:space="preserve">El presente documento tiene como objetivo definir la estructura, módulos, subtemas y ejercicios que debería contemplar una plataforma de aprendizaje de inglés diseñada específicamente para niñas. Se realiza un análisis comparativo con cinco herramientas líder del mercado para identificar fortalezas, debilidades y oportunidades de diferenciación. La propuesta se alinea con el CEFR y adopta principios de gamificación, aprendizaje adaptativo y diseño centrado en el usuario infantil.</w:t>
      </w:r>
    </w:p>
    <w:p>
      <w:pPr>
        <w:pStyle w:val="Heading1"/>
        <w:spacing w:after="200" w:before="480" w:line="312"/>
      </w:pPr>
      <w:bookmarkStart w:id="100002" w:name="_Toc100002"/>
      <w:r>
        <w:rPr>
          <w:rFonts w:ascii="Calibri" w:eastAsia="Microsoft YaHei"/>
          <w:b/>
          <w:bCs/>
          <w:color w:val="2B579A"/>
          <w:sz w:val="32"/>
          <w:szCs w:val="32"/>
        </w:rPr>
        <w:t xml:space="preserve">3. Marco de Referencia: El Sistema CEFR</w:t>
      </w:r>
      <w:bookmarkEnd w:id="100002"/>
    </w:p>
    <w:p>
      <w:pPr>
        <w:spacing w:after="120" w:line="312"/>
        <w:ind w:firstLine="480"/>
        <w:jc w:val="both"/>
      </w:pPr>
      <w:r>
        <w:rPr>
          <w:rFonts w:ascii="Calibri" w:eastAsia="Microsoft YaHei"/>
          <w:color w:val="333333"/>
          <w:sz w:val="24"/>
          <w:szCs w:val="24"/>
        </w:rPr>
        <w:t xml:space="preserve">El Marco Común Europeo de Referencia para las Lenguas (CEFR, por sus siglas en inglés) es el estándar internacional más utilizado para definir niveles de competencia lingüística. Desarrollado por el Consejo de Europa, clasifica las habilidades comunicativas en seis niveles agrupados en tres categorías amplias. Este marco no solo orienta el diseño curricular de instituciones educativas en todo el mundo, sino que también sirve como base para la estructura de la mayoría de las plataformas de aprendizaje de idiomas del mercado, incluyendo Duolingo, Open English y Rosetta Stone.</w:t>
      </w:r>
    </w:p>
    <w:p>
      <w:pPr>
        <w:keepNext/>
        <w:spacing w:after="100" w:before="200"/>
      </w:pPr>
      <w:r>
        <w:rPr>
          <w:rFonts w:ascii="Calibri" w:eastAsia="Microsoft YaHei"/>
          <w:b/>
          <w:bCs/>
          <w:color w:val="2B579A"/>
          <w:sz w:val="21"/>
          <w:szCs w:val="21"/>
        </w:rPr>
        <w:t xml:space="preserve">Tabla 1: Niveles CEFR y su descripción</w:t>
      </w:r>
    </w:p>
    <w:tbl>
      <w:tblPr>
        <w:tblW w:type="pct" w:w="100%"/>
        <w:tblBorders>
          <w:top w:val="single" w:color="B0BEC5" w:sz="2"/>
          <w:left w:val="none"/>
          <w:bottom w:val="single" w:color="B0BEC5" w:sz="2"/>
          <w:right w:val="none"/>
          <w:insideH w:val="single" w:color="B0BEC5" w:sz="1"/>
          <w:insideV w:val="none"/>
        </w:tblBorders>
      </w:tblPr>
      <w:tblGrid>
        <w:gridCol w:w="100"/>
        <w:gridCol w:w="100"/>
        <w:gridCol w:w="100"/>
        <w:gridCol w:w="100"/>
      </w:tblGrid>
      <w:tr>
        <w:trPr>
          <w:cantSplit/>
          <w:tblHeader/>
        </w:trPr>
        <w:tc>
          <w:tcPr>
            <w:tcW w:type="pct" w:w="10%"/>
            <w:shd w:fill="2B579A" w:val="clear"/>
            <w:tcMar>
              <w:top w:type="dxa" w:w="80"/>
              <w:left w:type="dxa" w:w="120"/>
              <w:bottom w:type="dxa" w:w="80"/>
              <w:right w:type="dxa" w:w="120"/>
            </w:tcMar>
          </w:tcPr>
          <w:p>
            <w:pPr>
              <w:jc w:val="center"/>
            </w:pPr>
            <w:r>
              <w:rPr>
                <w:rFonts w:ascii="Calibri"/>
                <w:b/>
                <w:bCs/>
                <w:color w:val="FFFFFF"/>
                <w:sz w:val="21"/>
                <w:szCs w:val="21"/>
              </w:rPr>
              <w:t xml:space="preserve">Nivel</w:t>
            </w:r>
          </w:p>
        </w:tc>
        <w:tc>
          <w:tcPr>
            <w:tcW w:type="pct" w:w="18%"/>
            <w:shd w:fill="2B579A" w:val="clear"/>
            <w:tcMar>
              <w:top w:type="dxa" w:w="80"/>
              <w:left w:type="dxa" w:w="120"/>
              <w:bottom w:type="dxa" w:w="80"/>
              <w:right w:type="dxa" w:w="120"/>
            </w:tcMar>
          </w:tcPr>
          <w:p>
            <w:pPr>
              <w:jc w:val="center"/>
            </w:pPr>
            <w:r>
              <w:rPr>
                <w:rFonts w:ascii="Calibri"/>
                <w:b/>
                <w:bCs/>
                <w:color w:val="FFFFFF"/>
                <w:sz w:val="21"/>
                <w:szCs w:val="21"/>
              </w:rPr>
              <w:t xml:space="preserve">Nombre</w:t>
            </w:r>
          </w:p>
        </w:tc>
        <w:tc>
          <w:tcPr>
            <w:tcW w:type="pct" w:w="40%"/>
            <w:shd w:fill="2B579A" w:val="clear"/>
            <w:tcMar>
              <w:top w:type="dxa" w:w="80"/>
              <w:left w:type="dxa" w:w="120"/>
              <w:bottom w:type="dxa" w:w="80"/>
              <w:right w:type="dxa" w:w="120"/>
            </w:tcMar>
          </w:tcPr>
          <w:p>
            <w:pPr>
              <w:jc w:val="center"/>
            </w:pPr>
            <w:r>
              <w:rPr>
                <w:rFonts w:ascii="Calibri"/>
                <w:b/>
                <w:bCs/>
                <w:color w:val="FFFFFF"/>
                <w:sz w:val="21"/>
                <w:szCs w:val="21"/>
              </w:rPr>
              <w:t xml:space="preserve">Descripción</w:t>
            </w:r>
          </w:p>
        </w:tc>
        <w:tc>
          <w:tcPr>
            <w:tcW w:type="pct" w:w="32%"/>
            <w:shd w:fill="2B579A" w:val="clear"/>
            <w:tcMar>
              <w:top w:type="dxa" w:w="80"/>
              <w:left w:type="dxa" w:w="120"/>
              <w:bottom w:type="dxa" w:w="80"/>
              <w:right w:type="dxa" w:w="120"/>
            </w:tcMar>
          </w:tcPr>
          <w:p>
            <w:pPr>
              <w:jc w:val="center"/>
            </w:pPr>
            <w:r>
              <w:rPr>
                <w:rFonts w:ascii="Calibri"/>
                <w:b/>
                <w:bCs/>
                <w:color w:val="FFFFFF"/>
                <w:sz w:val="21"/>
                <w:szCs w:val="21"/>
              </w:rPr>
              <w:t xml:space="preserve">Habilidades clave</w:t>
            </w:r>
          </w:p>
        </w:tc>
      </w:tr>
      <w:tr>
        <w:trPr>
          <w:cantSplit/>
        </w:trPr>
        <w:tc>
          <w:tcPr>
            <w:tcW w:type="pct" w:w="10%"/>
            <w:tcMar>
              <w:top w:type="dxa" w:w="60"/>
              <w:left w:type="dxa" w:w="120"/>
              <w:bottom w:type="dxa" w:w="60"/>
              <w:right w:type="dxa" w:w="120"/>
            </w:tcMar>
          </w:tcPr>
          <w:p>
            <w:pPr>
              <w:spacing w:line="280"/>
            </w:pPr>
            <w:r>
              <w:rPr>
                <w:rFonts w:ascii="Calibri" w:eastAsia="Microsoft YaHei"/>
                <w:color w:val="333333"/>
                <w:sz w:val="20"/>
                <w:szCs w:val="20"/>
              </w:rPr>
              <w:t xml:space="preserve">A1</w:t>
            </w:r>
          </w:p>
        </w:tc>
        <w:tc>
          <w:tcPr>
            <w:tcW w:type="pct" w:w="18%"/>
            <w:tcMar>
              <w:top w:type="dxa" w:w="60"/>
              <w:left w:type="dxa" w:w="120"/>
              <w:bottom w:type="dxa" w:w="60"/>
              <w:right w:type="dxa" w:w="120"/>
            </w:tcMar>
          </w:tcPr>
          <w:p>
            <w:pPr>
              <w:spacing w:line="280"/>
            </w:pPr>
            <w:r>
              <w:rPr>
                <w:rFonts w:ascii="Calibri" w:eastAsia="Microsoft YaHei"/>
                <w:color w:val="333333"/>
                <w:sz w:val="20"/>
                <w:szCs w:val="20"/>
              </w:rPr>
              <w:t xml:space="preserve">Principiante</w:t>
            </w:r>
          </w:p>
        </w:tc>
        <w:tc>
          <w:tcPr>
            <w:tcW w:type="pct" w:w="40%"/>
            <w:tcMar>
              <w:top w:type="dxa" w:w="60"/>
              <w:left w:type="dxa" w:w="120"/>
              <w:bottom w:type="dxa" w:w="60"/>
              <w:right w:type="dxa" w:w="120"/>
            </w:tcMar>
          </w:tcPr>
          <w:p>
            <w:pPr>
              <w:spacing w:line="280"/>
            </w:pPr>
            <w:r>
              <w:rPr>
                <w:rFonts w:ascii="Calibri" w:eastAsia="Microsoft YaHei"/>
                <w:color w:val="333333"/>
                <w:sz w:val="20"/>
                <w:szCs w:val="20"/>
              </w:rPr>
              <w:t xml:space="preserve">Usuario básico que puede comprender expresiones familiares y frases básicas.</w:t>
            </w:r>
          </w:p>
        </w:tc>
        <w:tc>
          <w:tcPr>
            <w:tcW w:type="pct" w:w="32%"/>
            <w:tcMar>
              <w:top w:type="dxa" w:w="60"/>
              <w:left w:type="dxa" w:w="120"/>
              <w:bottom w:type="dxa" w:w="60"/>
              <w:right w:type="dxa" w:w="120"/>
            </w:tcMar>
          </w:tcPr>
          <w:p>
            <w:pPr>
              <w:spacing w:line="280"/>
            </w:pPr>
            <w:r>
              <w:rPr>
                <w:rFonts w:ascii="Calibri" w:eastAsia="Microsoft YaHei"/>
                <w:color w:val="333333"/>
                <w:sz w:val="20"/>
                <w:szCs w:val="20"/>
              </w:rPr>
              <w:t xml:space="preserve">Saludos, presentaciones, números, colores, rutinas diarias</w:t>
            </w:r>
          </w:p>
        </w:tc>
      </w:tr>
      <w:tr>
        <w:trPr>
          <w:cantSplit/>
        </w:trPr>
        <w:tc>
          <w:tcPr>
            <w:tcW w:type="pct" w:w="10%"/>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A2</w:t>
            </w:r>
          </w:p>
        </w:tc>
        <w:tc>
          <w:tcPr>
            <w:tcW w:type="pct" w:w="18%"/>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Elemental</w:t>
            </w:r>
          </w:p>
        </w:tc>
        <w:tc>
          <w:tcPr>
            <w:tcW w:type="pct" w:w="40%"/>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Puede comunicarse en tareas sencillas y rutinarias que requieren intercambio simple de información.</w:t>
            </w:r>
          </w:p>
        </w:tc>
        <w:tc>
          <w:tcPr>
            <w:tcW w:type="pct" w:w="32%"/>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Describir familia, compras, entorno inmediato, pasatiempos</w:t>
            </w:r>
          </w:p>
        </w:tc>
      </w:tr>
      <w:tr>
        <w:trPr>
          <w:cantSplit/>
        </w:trPr>
        <w:tc>
          <w:tcPr>
            <w:tcW w:type="pct" w:w="10%"/>
            <w:tcMar>
              <w:top w:type="dxa" w:w="60"/>
              <w:left w:type="dxa" w:w="120"/>
              <w:bottom w:type="dxa" w:w="60"/>
              <w:right w:type="dxa" w:w="120"/>
            </w:tcMar>
          </w:tcPr>
          <w:p>
            <w:pPr>
              <w:spacing w:line="280"/>
            </w:pPr>
            <w:r>
              <w:rPr>
                <w:rFonts w:ascii="Calibri" w:eastAsia="Microsoft YaHei"/>
                <w:color w:val="333333"/>
                <w:sz w:val="20"/>
                <w:szCs w:val="20"/>
              </w:rPr>
              <w:t xml:space="preserve">B1</w:t>
            </w:r>
          </w:p>
        </w:tc>
        <w:tc>
          <w:tcPr>
            <w:tcW w:type="pct" w:w="18%"/>
            <w:tcMar>
              <w:top w:type="dxa" w:w="60"/>
              <w:left w:type="dxa" w:w="120"/>
              <w:bottom w:type="dxa" w:w="60"/>
              <w:right w:type="dxa" w:w="120"/>
            </w:tcMar>
          </w:tcPr>
          <w:p>
            <w:pPr>
              <w:spacing w:line="280"/>
            </w:pPr>
            <w:r>
              <w:rPr>
                <w:rFonts w:ascii="Calibri" w:eastAsia="Microsoft YaHei"/>
                <w:color w:val="333333"/>
                <w:sz w:val="20"/>
                <w:szCs w:val="20"/>
              </w:rPr>
              <w:t xml:space="preserve">Intermedio</w:t>
            </w:r>
          </w:p>
        </w:tc>
        <w:tc>
          <w:tcPr>
            <w:tcW w:type="pct" w:w="40%"/>
            <w:tcMar>
              <w:top w:type="dxa" w:w="60"/>
              <w:left w:type="dxa" w:w="120"/>
              <w:bottom w:type="dxa" w:w="60"/>
              <w:right w:type="dxa" w:w="120"/>
            </w:tcMar>
          </w:tcPr>
          <w:p>
            <w:pPr>
              <w:spacing w:line="280"/>
            </w:pPr>
            <w:r>
              <w:rPr>
                <w:rFonts w:ascii="Calibri" w:eastAsia="Microsoft YaHei"/>
                <w:color w:val="333333"/>
                <w:sz w:val="20"/>
                <w:szCs w:val="20"/>
              </w:rPr>
              <w:t xml:space="preserve">Puede manejar la mayoría de situaciones de viaje y escribir textos sencillos.</w:t>
            </w:r>
          </w:p>
        </w:tc>
        <w:tc>
          <w:tcPr>
            <w:tcW w:type="pct" w:w="32%"/>
            <w:tcMar>
              <w:top w:type="dxa" w:w="60"/>
              <w:left w:type="dxa" w:w="120"/>
              <w:bottom w:type="dxa" w:w="60"/>
              <w:right w:type="dxa" w:w="120"/>
            </w:tcMar>
          </w:tcPr>
          <w:p>
            <w:pPr>
              <w:spacing w:line="280"/>
            </w:pPr>
            <w:r>
              <w:rPr>
                <w:rFonts w:ascii="Calibri" w:eastAsia="Microsoft YaHei"/>
                <w:color w:val="333333"/>
                <w:sz w:val="20"/>
                <w:szCs w:val="20"/>
              </w:rPr>
              <w:t xml:space="preserve">Opiniones, experiencias, planes futuros, narraciones</w:t>
            </w:r>
          </w:p>
        </w:tc>
      </w:tr>
      <w:tr>
        <w:trPr>
          <w:cantSplit/>
        </w:trPr>
        <w:tc>
          <w:tcPr>
            <w:tcW w:type="pct" w:w="10%"/>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B2</w:t>
            </w:r>
          </w:p>
        </w:tc>
        <w:tc>
          <w:tcPr>
            <w:tcW w:type="pct" w:w="18%"/>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Intermedio Alto</w:t>
            </w:r>
          </w:p>
        </w:tc>
        <w:tc>
          <w:tcPr>
            <w:tcW w:type="pct" w:w="40%"/>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Interactúa con fluidez y naturalidad con hablantes nativos.</w:t>
            </w:r>
          </w:p>
        </w:tc>
        <w:tc>
          <w:tcPr>
            <w:tcW w:type="pct" w:w="32%"/>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Debates, argumentos complejos, textos abstractos</w:t>
            </w:r>
          </w:p>
        </w:tc>
      </w:tr>
      <w:tr>
        <w:trPr>
          <w:cantSplit/>
        </w:trPr>
        <w:tc>
          <w:tcPr>
            <w:tcW w:type="pct" w:w="10%"/>
            <w:tcMar>
              <w:top w:type="dxa" w:w="60"/>
              <w:left w:type="dxa" w:w="120"/>
              <w:bottom w:type="dxa" w:w="60"/>
              <w:right w:type="dxa" w:w="120"/>
            </w:tcMar>
          </w:tcPr>
          <w:p>
            <w:pPr>
              <w:spacing w:line="280"/>
            </w:pPr>
            <w:r>
              <w:rPr>
                <w:rFonts w:ascii="Calibri" w:eastAsia="Microsoft YaHei"/>
                <w:color w:val="333333"/>
                <w:sz w:val="20"/>
                <w:szCs w:val="20"/>
              </w:rPr>
              <w:t xml:space="preserve">C1</w:t>
            </w:r>
          </w:p>
        </w:tc>
        <w:tc>
          <w:tcPr>
            <w:tcW w:type="pct" w:w="18%"/>
            <w:tcMar>
              <w:top w:type="dxa" w:w="60"/>
              <w:left w:type="dxa" w:w="120"/>
              <w:bottom w:type="dxa" w:w="60"/>
              <w:right w:type="dxa" w:w="120"/>
            </w:tcMar>
          </w:tcPr>
          <w:p>
            <w:pPr>
              <w:spacing w:line="280"/>
            </w:pPr>
            <w:r>
              <w:rPr>
                <w:rFonts w:ascii="Calibri" w:eastAsia="Microsoft YaHei"/>
                <w:color w:val="333333"/>
                <w:sz w:val="20"/>
                <w:szCs w:val="20"/>
              </w:rPr>
              <w:t xml:space="preserve">Avanzado</w:t>
            </w:r>
          </w:p>
        </w:tc>
        <w:tc>
          <w:tcPr>
            <w:tcW w:type="pct" w:w="40%"/>
            <w:tcMar>
              <w:top w:type="dxa" w:w="60"/>
              <w:left w:type="dxa" w:w="120"/>
              <w:bottom w:type="dxa" w:w="60"/>
              <w:right w:type="dxa" w:w="120"/>
            </w:tcMar>
          </w:tcPr>
          <w:p>
            <w:pPr>
              <w:spacing w:line="280"/>
            </w:pPr>
            <w:r>
              <w:rPr>
                <w:rFonts w:ascii="Calibri" w:eastAsia="Microsoft YaHei"/>
                <w:color w:val="333333"/>
                <w:sz w:val="20"/>
                <w:szCs w:val="20"/>
              </w:rPr>
              <w:t xml:space="preserve">Comprende textos largos y complejos y reconoce significado implícito.</w:t>
            </w:r>
          </w:p>
        </w:tc>
        <w:tc>
          <w:tcPr>
            <w:tcW w:type="pct" w:w="32%"/>
            <w:tcMar>
              <w:top w:type="dxa" w:w="60"/>
              <w:left w:type="dxa" w:w="120"/>
              <w:bottom w:type="dxa" w:w="60"/>
              <w:right w:type="dxa" w:w="120"/>
            </w:tcMar>
          </w:tcPr>
          <w:p>
            <w:pPr>
              <w:spacing w:line="280"/>
            </w:pPr>
            <w:r>
              <w:rPr>
                <w:rFonts w:ascii="Calibri" w:eastAsia="Microsoft YaHei"/>
                <w:color w:val="333333"/>
                <w:sz w:val="20"/>
                <w:szCs w:val="20"/>
              </w:rPr>
              <w:t xml:space="preserve">Expresión fluida, flexibilidad, uso académico</w:t>
            </w:r>
          </w:p>
        </w:tc>
      </w:tr>
      <w:tr>
        <w:trPr>
          <w:cantSplit/>
        </w:trPr>
        <w:tc>
          <w:tcPr>
            <w:tcW w:type="pct" w:w="10%"/>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C2</w:t>
            </w:r>
          </w:p>
        </w:tc>
        <w:tc>
          <w:tcPr>
            <w:tcW w:type="pct" w:w="18%"/>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Maestría</w:t>
            </w:r>
          </w:p>
        </w:tc>
        <w:tc>
          <w:tcPr>
            <w:tcW w:type="pct" w:w="40%"/>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Comprensión prácticamente total y dominio del idioma.</w:t>
            </w:r>
          </w:p>
        </w:tc>
        <w:tc>
          <w:tcPr>
            <w:tcW w:type="pct" w:w="32%"/>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Producción académica, creativa, profesional</w:t>
            </w:r>
          </w:p>
        </w:tc>
      </w:tr>
    </w:tbl>
    <w:p>
      <w:pPr>
        <w:spacing w:after="200" w:before="80"/>
        <w:jc w:val="center"/>
      </w:pPr>
      <w:r>
        <w:rPr>
          <w:rFonts w:ascii="Calibri"/>
          <w:i/>
          <w:iCs/>
          <w:color w:val="666666"/>
          <w:sz w:val="20"/>
          <w:szCs w:val="20"/>
        </w:rPr>
        <w:t xml:space="preserve">Tabla 1: Descripción de los seis niveles del CEFR</w:t>
      </w:r>
    </w:p>
    <w:p>
      <w:pPr>
        <w:spacing w:after="120" w:line="312"/>
        <w:ind w:firstLine="480"/>
        <w:jc w:val="both"/>
      </w:pPr>
      <w:r>
        <w:rPr>
          <w:rFonts w:ascii="Calibri" w:eastAsia="Microsoft YaHei"/>
          <w:color w:val="333333"/>
          <w:sz w:val="24"/>
          <w:szCs w:val="24"/>
        </w:rPr>
        <w:t xml:space="preserve">Para una plataforma orientada a niñas, se recomienda iniciar con los niveles A1 y A2 como base del programa, con la posibilidad de avanzar progresivamente hacia B1 según la edad y el ritmo de aprendizaje de cada estudiante. Los niveles C1 y C2 exceden el alcance típico de una aplicación infantil, pero es importante que la arquitectura de la plataforma permita una futura extensión si se desea evolucionar hacia un público adolescente o adulto joven.</w:t>
      </w:r>
    </w:p>
    <w:p>
      <w:pPr>
        <w:pStyle w:val="Heading1"/>
        <w:spacing w:after="200" w:before="480" w:line="312"/>
      </w:pPr>
      <w:bookmarkStart w:id="100003" w:name="_Toc100003"/>
      <w:r>
        <w:rPr>
          <w:rFonts w:ascii="Calibri" w:eastAsia="Microsoft YaHei"/>
          <w:b/>
          <w:bCs/>
          <w:color w:val="2B579A"/>
          <w:sz w:val="32"/>
          <w:szCs w:val="32"/>
        </w:rPr>
        <w:t xml:space="preserve">4. Estructura Recomendada de la Plataforma</w:t>
      </w:r>
      <w:bookmarkEnd w:id="100003"/>
    </w:p>
    <w:p>
      <w:pPr>
        <w:spacing w:after="120" w:line="312"/>
        <w:ind w:firstLine="480"/>
        <w:jc w:val="both"/>
      </w:pPr>
      <w:r>
        <w:rPr>
          <w:rFonts w:ascii="Calibri" w:eastAsia="Microsoft YaHei"/>
          <w:color w:val="333333"/>
          <w:sz w:val="24"/>
          <w:szCs w:val="24"/>
        </w:rPr>
        <w:t xml:space="preserve">La plataforma propuesta se organiza en seis módulos principales que abarcan todas las dimensiones del aprendizaje de un idioma: Vocabulario, Gramática, Comprensión Auditiva (Listening), Comprensión Lectora (Reading), Conversación (Speaking) y Pronunciación. Cada módulo se estructura por niveles CEFR (A1 a B1 inicialmente) y contiene subtemas, tipos de ejercicios y herramientas pedagógicas específicas. A continuación se detalla cada módulo con sus componentes.</w:t>
      </w:r>
    </w:p>
    <w:p>
      <w:pPr>
        <w:pStyle w:val="Heading2"/>
        <w:spacing w:after="160" w:before="360" w:line="312"/>
      </w:pPr>
      <w:bookmarkStart w:id="100004" w:name="_Toc100004"/>
      <w:r>
        <w:rPr>
          <w:rFonts w:ascii="Calibri" w:eastAsia="Microsoft YaHei"/>
          <w:b/>
          <w:bCs/>
          <w:color w:val="5A7DB5"/>
          <w:sz w:val="28"/>
          <w:szCs w:val="28"/>
        </w:rPr>
        <w:t xml:space="preserve">4.1 Módulo de Vocabulario</w:t>
      </w:r>
      <w:bookmarkEnd w:id="100004"/>
    </w:p>
    <w:p>
      <w:pPr>
        <w:spacing w:after="120" w:line="312"/>
        <w:ind w:firstLine="480"/>
        <w:jc w:val="both"/>
      </w:pPr>
      <w:r>
        <w:rPr>
          <w:rFonts w:ascii="Calibri" w:eastAsia="Microsoft YaHei"/>
          <w:color w:val="333333"/>
          <w:sz w:val="24"/>
          <w:szCs w:val="24"/>
        </w:rPr>
        <w:t xml:space="preserve">El vocabulario constituye el cimiento de cualquier idioma. Sin palabras, es imposible construir oraciones, expresar ideas o comprender lo que escuchamos. El módulo de vocabulario debe ser el primer punto de contacto de las estudiantes con la plataforma y debe presentarse de manera visual, contextualizada y repetitiva, ya que la investigación en adquisición de segundas lenguas demuestra que se necesitan entre 5 y 16 exposiciones a una palabra nueva para incorporarla al léxico mental a largo plazo.</w:t>
      </w:r>
    </w:p>
    <w:p>
      <w:pPr>
        <w:pStyle w:val="Heading3"/>
        <w:spacing w:after="120" w:before="240" w:line="312"/>
      </w:pPr>
      <w:bookmarkStart w:id="100005" w:name="_Toc100005"/>
      <w:r>
        <w:rPr>
          <w:rFonts w:ascii="Calibri" w:eastAsia="Microsoft YaHei"/>
          <w:b/>
          <w:bCs/>
          <w:color w:val="2B579A"/>
          <w:sz w:val="24"/>
          <w:szCs w:val="24"/>
        </w:rPr>
        <w:t xml:space="preserve">4.1.1 Subtemas por nivel</w:t>
      </w:r>
      <w:bookmarkEnd w:id="100005"/>
    </w:p>
    <w:p>
      <w:pPr>
        <w:spacing w:after="120" w:line="312"/>
        <w:jc w:val="both"/>
      </w:pPr>
      <w:r>
        <w:rPr>
          <w:rFonts w:ascii="Calibri" w:eastAsia="Microsoft YaHei"/>
          <w:color w:val="333333"/>
          <w:sz w:val="24"/>
          <w:szCs w:val="24"/>
        </w:rPr>
        <w:t xml:space="preserve">Nivel A1 — Principiante:</w:t>
      </w:r>
    </w:p>
    <w:p>
      <w:pPr>
        <w:spacing w:after="80" w:line="312"/>
        <w:ind w:left="720" w:hanging="260"/>
        <w:jc w:val="left"/>
      </w:pPr>
      <w:r>
        <w:rPr>
          <w:rFonts w:ascii="Calibri" w:eastAsia="Microsoft YaHei"/>
          <w:color w:val="333333"/>
          <w:sz w:val="24"/>
          <w:szCs w:val="24"/>
        </w:rPr>
        <w:t xml:space="preserve">• Saludos y presentaciones: Hello, Good morning, My name is..., How are you?</w:t>
      </w:r>
    </w:p>
    <w:p>
      <w:pPr>
        <w:spacing w:after="80" w:line="312"/>
        <w:ind w:left="720" w:hanging="260"/>
        <w:jc w:val="left"/>
      </w:pPr>
      <w:r>
        <w:rPr>
          <w:rFonts w:ascii="Calibri" w:eastAsia="Microsoft YaHei"/>
          <w:color w:val="333333"/>
          <w:sz w:val="24"/>
          <w:szCs w:val="24"/>
        </w:rPr>
        <w:t xml:space="preserve">• Números y colores: del 1 al 100, colores primarios y secundarios, formas básicas</w:t>
      </w:r>
    </w:p>
    <w:p>
      <w:pPr>
        <w:spacing w:after="80" w:line="312"/>
        <w:ind w:left="720" w:hanging="260"/>
        <w:jc w:val="left"/>
      </w:pPr>
      <w:r>
        <w:rPr>
          <w:rFonts w:ascii="Calibri" w:eastAsia="Microsoft YaHei"/>
          <w:color w:val="333333"/>
          <w:sz w:val="24"/>
          <w:szCs w:val="24"/>
        </w:rPr>
        <w:t xml:space="preserve">• La familia: mother, father, sister, brother, grandmother, grandfather</w:t>
      </w:r>
    </w:p>
    <w:p>
      <w:pPr>
        <w:spacing w:after="80" w:line="312"/>
        <w:ind w:left="720" w:hanging="260"/>
        <w:jc w:val="left"/>
      </w:pPr>
      <w:r>
        <w:rPr>
          <w:rFonts w:ascii="Calibri" w:eastAsia="Microsoft YaHei"/>
          <w:color w:val="333333"/>
          <w:sz w:val="24"/>
          <w:szCs w:val="24"/>
        </w:rPr>
        <w:t xml:space="preserve">• Animales domésticos y salvajes: cat, dog, lion, elephant, bird, fish</w:t>
      </w:r>
    </w:p>
    <w:p>
      <w:pPr>
        <w:spacing w:after="80" w:line="312"/>
        <w:ind w:left="720" w:hanging="260"/>
        <w:jc w:val="left"/>
      </w:pPr>
      <w:r>
        <w:rPr>
          <w:rFonts w:ascii="Calibri" w:eastAsia="Microsoft YaHei"/>
          <w:color w:val="333333"/>
          <w:sz w:val="24"/>
          <w:szCs w:val="24"/>
        </w:rPr>
        <w:t xml:space="preserve">• Comida y bebida: apple, bread, milk, water, rice, chicken</w:t>
      </w:r>
    </w:p>
    <w:p>
      <w:pPr>
        <w:spacing w:after="80" w:line="312"/>
        <w:ind w:left="720" w:hanging="260"/>
        <w:jc w:val="left"/>
      </w:pPr>
      <w:r>
        <w:rPr>
          <w:rFonts w:ascii="Calibri" w:eastAsia="Microsoft YaHei"/>
          <w:color w:val="333333"/>
          <w:sz w:val="24"/>
          <w:szCs w:val="24"/>
        </w:rPr>
        <w:t xml:space="preserve">• El cuerpo humano: head, arms, legs, eyes, mouth, ears</w:t>
      </w:r>
    </w:p>
    <w:p>
      <w:pPr>
        <w:spacing w:after="80" w:line="312"/>
        <w:ind w:left="720" w:hanging="260"/>
        <w:jc w:val="left"/>
      </w:pPr>
      <w:r>
        <w:rPr>
          <w:rFonts w:ascii="Calibri" w:eastAsia="Microsoft YaHei"/>
          <w:color w:val="333333"/>
          <w:sz w:val="24"/>
          <w:szCs w:val="24"/>
        </w:rPr>
        <w:t xml:space="preserve">• Ropa: shirt, pants, shoes, hat, dress, jacket</w:t>
      </w:r>
    </w:p>
    <w:p>
      <w:pPr>
        <w:spacing w:after="80" w:line="312"/>
        <w:ind w:left="720" w:hanging="260"/>
        <w:jc w:val="left"/>
      </w:pPr>
      <w:r>
        <w:rPr>
          <w:rFonts w:ascii="Calibri" w:eastAsia="Microsoft YaHei"/>
          <w:color w:val="333333"/>
          <w:sz w:val="24"/>
          <w:szCs w:val="24"/>
        </w:rPr>
        <w:t xml:space="preserve">• La escuela: pencil, book, teacher, classroom, desk, backpack</w:t>
      </w:r>
    </w:p>
    <w:p>
      <w:pPr>
        <w:spacing w:after="120" w:line="312"/>
        <w:jc w:val="both"/>
      </w:pPr>
      <w:r>
        <w:rPr>
          <w:rFonts w:ascii="Calibri" w:eastAsia="Microsoft YaHei"/>
          <w:color w:val="333333"/>
          <w:sz w:val="24"/>
          <w:szCs w:val="24"/>
        </w:rPr>
        <w:t xml:space="preserve">Nivel A2 — Elemental:</w:t>
      </w:r>
    </w:p>
    <w:p>
      <w:pPr>
        <w:spacing w:after="80" w:line="312"/>
        <w:ind w:left="720" w:hanging="260"/>
        <w:jc w:val="left"/>
      </w:pPr>
      <w:r>
        <w:rPr>
          <w:rFonts w:ascii="Calibri" w:eastAsia="Microsoft YaHei"/>
          <w:color w:val="333333"/>
          <w:sz w:val="24"/>
          <w:szCs w:val="24"/>
        </w:rPr>
        <w:t xml:space="preserve">• La casa y habitaciones: bedroom, kitchen, bathroom, living room, garden</w:t>
      </w:r>
    </w:p>
    <w:p>
      <w:pPr>
        <w:spacing w:after="80" w:line="312"/>
        <w:ind w:left="720" w:hanging="260"/>
        <w:jc w:val="left"/>
      </w:pPr>
      <w:r>
        <w:rPr>
          <w:rFonts w:ascii="Calibri" w:eastAsia="Microsoft YaHei"/>
          <w:color w:val="333333"/>
          <w:sz w:val="24"/>
          <w:szCs w:val="24"/>
        </w:rPr>
        <w:t xml:space="preserve">• Profesiones y oficios: doctor, teacher, firefighter, artist, chef</w:t>
      </w:r>
    </w:p>
    <w:p>
      <w:pPr>
        <w:spacing w:after="80" w:line="312"/>
        <w:ind w:left="720" w:hanging="260"/>
        <w:jc w:val="left"/>
      </w:pPr>
      <w:r>
        <w:rPr>
          <w:rFonts w:ascii="Calibri" w:eastAsia="Microsoft YaHei"/>
          <w:color w:val="333333"/>
          <w:sz w:val="24"/>
          <w:szCs w:val="24"/>
        </w:rPr>
        <w:t xml:space="preserve">• El clima y estaciones: sunny, rainy, cold, hot, spring, winter</w:t>
      </w:r>
    </w:p>
    <w:p>
      <w:pPr>
        <w:spacing w:after="80" w:line="312"/>
        <w:ind w:left="720" w:hanging="260"/>
        <w:jc w:val="left"/>
      </w:pPr>
      <w:r>
        <w:rPr>
          <w:rFonts w:ascii="Calibri" w:eastAsia="Microsoft YaHei"/>
          <w:color w:val="333333"/>
          <w:sz w:val="24"/>
          <w:szCs w:val="24"/>
        </w:rPr>
        <w:t xml:space="preserve">• Medios de transporte: car, bus, train, airplane, bicycle, boat</w:t>
      </w:r>
    </w:p>
    <w:p>
      <w:pPr>
        <w:spacing w:after="80" w:line="312"/>
        <w:ind w:left="720" w:hanging="260"/>
        <w:jc w:val="left"/>
      </w:pPr>
      <w:r>
        <w:rPr>
          <w:rFonts w:ascii="Calibri" w:eastAsia="Microsoft YaHei"/>
          <w:color w:val="333333"/>
          <w:sz w:val="24"/>
          <w:szCs w:val="24"/>
        </w:rPr>
        <w:t xml:space="preserve">• Tiempo y fechas: days of the week, months, telling time</w:t>
      </w:r>
    </w:p>
    <w:p>
      <w:pPr>
        <w:spacing w:after="80" w:line="312"/>
        <w:ind w:left="720" w:hanging="260"/>
        <w:jc w:val="left"/>
      </w:pPr>
      <w:r>
        <w:rPr>
          <w:rFonts w:ascii="Calibri" w:eastAsia="Microsoft YaHei"/>
          <w:color w:val="333333"/>
          <w:sz w:val="24"/>
          <w:szCs w:val="24"/>
        </w:rPr>
        <w:t xml:space="preserve">• Deportes y actividades: soccer, swimming, dancing, reading, painting</w:t>
      </w:r>
    </w:p>
    <w:p>
      <w:pPr>
        <w:spacing w:after="80" w:line="312"/>
        <w:ind w:left="720" w:hanging="260"/>
        <w:jc w:val="left"/>
      </w:pPr>
      <w:r>
        <w:rPr>
          <w:rFonts w:ascii="Calibri" w:eastAsia="Microsoft YaHei"/>
          <w:color w:val="333333"/>
          <w:sz w:val="24"/>
          <w:szCs w:val="24"/>
        </w:rPr>
        <w:t xml:space="preserve">• Emociones y sentimientos: happy, sad, angry, scared, excited, tired</w:t>
      </w:r>
    </w:p>
    <w:p>
      <w:pPr>
        <w:spacing w:after="120" w:line="312"/>
        <w:jc w:val="both"/>
      </w:pPr>
      <w:r>
        <w:rPr>
          <w:rFonts w:ascii="Calibri" w:eastAsia="Microsoft YaHei"/>
          <w:color w:val="333333"/>
          <w:sz w:val="24"/>
          <w:szCs w:val="24"/>
        </w:rPr>
        <w:t xml:space="preserve">Nivel B1 — Intermedio:</w:t>
      </w:r>
    </w:p>
    <w:p>
      <w:pPr>
        <w:spacing w:after="80" w:line="312"/>
        <w:ind w:left="720" w:hanging="260"/>
        <w:jc w:val="left"/>
      </w:pPr>
      <w:r>
        <w:rPr>
          <w:rFonts w:ascii="Calibri" w:eastAsia="Microsoft YaHei"/>
          <w:color w:val="333333"/>
          <w:sz w:val="24"/>
          <w:szCs w:val="24"/>
        </w:rPr>
        <w:t xml:space="preserve">• Medio ambiente y naturaleza: environment, pollution, recycling, animals in danger</w:t>
      </w:r>
    </w:p>
    <w:p>
      <w:pPr>
        <w:spacing w:after="80" w:line="312"/>
        <w:ind w:left="720" w:hanging="260"/>
        <w:jc w:val="left"/>
      </w:pPr>
      <w:r>
        <w:rPr>
          <w:rFonts w:ascii="Calibri" w:eastAsia="Microsoft YaHei"/>
          <w:color w:val="333333"/>
          <w:sz w:val="24"/>
          <w:szCs w:val="24"/>
        </w:rPr>
        <w:t xml:space="preserve">• Tecnología y comunicaciones: computer, internet, social media, email, smartphone</w:t>
      </w:r>
    </w:p>
    <w:p>
      <w:pPr>
        <w:spacing w:after="80" w:line="312"/>
        <w:ind w:left="720" w:hanging="260"/>
        <w:jc w:val="left"/>
      </w:pPr>
      <w:r>
        <w:rPr>
          <w:rFonts w:ascii="Calibri" w:eastAsia="Microsoft YaHei"/>
          <w:color w:val="333333"/>
          <w:sz w:val="24"/>
          <w:szCs w:val="24"/>
        </w:rPr>
        <w:t xml:space="preserve">• Salud y bienestar: symptoms, medicine, hospital, healthy habits</w:t>
      </w:r>
    </w:p>
    <w:p>
      <w:pPr>
        <w:spacing w:after="80" w:line="312"/>
        <w:ind w:left="720" w:hanging="260"/>
        <w:jc w:val="left"/>
      </w:pPr>
      <w:r>
        <w:rPr>
          <w:rFonts w:ascii="Calibri" w:eastAsia="Microsoft YaHei"/>
          <w:color w:val="333333"/>
          <w:sz w:val="24"/>
          <w:szCs w:val="24"/>
        </w:rPr>
        <w:t xml:space="preserve">• Viajes y cultura: airport, passport, museum, traditions, currency</w:t>
      </w:r>
    </w:p>
    <w:p>
      <w:pPr>
        <w:spacing w:after="80" w:line="312"/>
        <w:ind w:left="720" w:hanging="260"/>
        <w:jc w:val="left"/>
      </w:pPr>
      <w:r>
        <w:rPr>
          <w:rFonts w:ascii="Calibri" w:eastAsia="Microsoft YaHei"/>
          <w:color w:val="333333"/>
          <w:sz w:val="24"/>
          <w:szCs w:val="24"/>
        </w:rPr>
        <w:t xml:space="preserve">• Educación y futuro: subjects, grades, university, career, dreams</w:t>
      </w:r>
    </w:p>
    <w:p>
      <w:pPr>
        <w:pStyle w:val="Heading3"/>
        <w:spacing w:after="120" w:before="240" w:line="312"/>
      </w:pPr>
      <w:bookmarkStart w:id="100006" w:name="_Toc100006"/>
      <w:r>
        <w:rPr>
          <w:rFonts w:ascii="Calibri" w:eastAsia="Microsoft YaHei"/>
          <w:b/>
          <w:bCs/>
          <w:color w:val="2B579A"/>
          <w:sz w:val="24"/>
          <w:szCs w:val="24"/>
        </w:rPr>
        <w:t xml:space="preserve">4.1.2 Ejercicios y herramientas</w:t>
      </w:r>
      <w:bookmarkEnd w:id="100006"/>
    </w:p>
    <w:p>
      <w:pPr>
        <w:spacing w:after="120" w:line="312"/>
        <w:ind w:firstLine="480"/>
        <w:jc w:val="both"/>
      </w:pPr>
      <w:r>
        <w:rPr>
          <w:rFonts w:ascii="Calibri" w:eastAsia="Microsoft YaHei"/>
          <w:b/>
          <w:bCs/>
          <w:color w:val="333333"/>
          <w:sz w:val="24"/>
          <w:szCs w:val="24"/>
        </w:rPr>
        <w:t xml:space="preserve">Tarjetas de vocabulario (Flashcards): </w:t>
      </w:r>
      <w:r>
        <w:rPr>
          <w:rFonts w:ascii="Calibri" w:eastAsia="Microsoft YaHei"/>
          <w:color w:val="333333"/>
          <w:sz w:val="24"/>
          <w:szCs w:val="24"/>
        </w:rPr>
        <w:t xml:space="preserve">Tarjetas interactivas con imagen, palabra en inglés y traducción opcional. La estudiante ve la imagen, intenta recordar la palabra y luego gira la tarjeta para verificar. Se utiliza un algoritmo de repetición espaciada (similar al de Duolingo y Anki) que repite las palabras que la estudiante falla con mayor frecuencia, optimizando la retención a largo plazo.</w:t>
      </w:r>
    </w:p>
    <w:p>
      <w:pPr>
        <w:spacing w:after="120" w:line="312"/>
        <w:ind w:firstLine="480"/>
        <w:jc w:val="both"/>
      </w:pPr>
      <w:r>
        <w:rPr>
          <w:rFonts w:ascii="Calibri" w:eastAsia="Microsoft YaHei"/>
          <w:b/>
          <w:bCs/>
          <w:color w:val="333333"/>
          <w:sz w:val="24"/>
          <w:szCs w:val="24"/>
        </w:rPr>
        <w:t xml:space="preserve">Emparejamiento visual: </w:t>
      </w:r>
      <w:r>
        <w:rPr>
          <w:rFonts w:ascii="Calibri" w:eastAsia="Microsoft YaHei"/>
          <w:color w:val="333333"/>
          <w:sz w:val="24"/>
          <w:szCs w:val="24"/>
        </w:rPr>
        <w:t xml:space="preserve">Ejercicio donde la estudiante debe arrastrar la palabra en inglés a la imagen correspondiente, o conectar dos columnas. Este formato es especialmente efectivo para niñas porque estimula la memoria visual-espacial y reduce la dependencia de la traducción literal.</w:t>
      </w:r>
    </w:p>
    <w:p>
      <w:pPr>
        <w:spacing w:after="120" w:line="312"/>
        <w:ind w:firstLine="480"/>
        <w:jc w:val="both"/>
      </w:pPr>
      <w:r>
        <w:rPr>
          <w:rFonts w:ascii="Calibri" w:eastAsia="Microsoft YaHei"/>
          <w:b/>
          <w:bCs/>
          <w:color w:val="333333"/>
          <w:sz w:val="24"/>
          <w:szCs w:val="24"/>
        </w:rPr>
        <w:t xml:space="preserve">Completar la palabra: </w:t>
      </w:r>
      <w:r>
        <w:rPr>
          <w:rFonts w:ascii="Calibri" w:eastAsia="Microsoft YaHei"/>
          <w:color w:val="333333"/>
          <w:sz w:val="24"/>
          <w:szCs w:val="24"/>
        </w:rPr>
        <w:t xml:space="preserve">Se muestra una imagen y una palabra con letras faltantes. La estudiante debe completarla seleccionando las letras correctas. Este ejercicio refuerza la ortografía y la relación fonema-grafema.</w:t>
      </w:r>
    </w:p>
    <w:p>
      <w:pPr>
        <w:spacing w:after="120" w:line="312"/>
        <w:ind w:firstLine="480"/>
        <w:jc w:val="both"/>
      </w:pPr>
      <w:r>
        <w:rPr>
          <w:rFonts w:ascii="Calibri" w:eastAsia="Microsoft YaHei"/>
          <w:b/>
          <w:bCs/>
          <w:color w:val="333333"/>
          <w:sz w:val="24"/>
          <w:szCs w:val="24"/>
        </w:rPr>
        <w:t xml:space="preserve">Historietas ilustradas: </w:t>
      </w:r>
      <w:r>
        <w:rPr>
          <w:rFonts w:ascii="Calibri" w:eastAsia="Microsoft YaHei"/>
          <w:color w:val="333333"/>
          <w:sz w:val="24"/>
          <w:szCs w:val="24"/>
        </w:rPr>
        <w:t xml:space="preserve">Cortas historietas en las que el vocabulario nuevo se presenta en contexto. Después de la lectura, se plantean preguntas de comprensión que refuerzan tanto el vocabulario como la comprensión lectora.</w:t>
      </w:r>
    </w:p>
    <w:p>
      <w:pPr>
        <w:spacing w:after="120" w:line="312"/>
        <w:ind w:firstLine="480"/>
        <w:jc w:val="both"/>
      </w:pPr>
      <w:r>
        <w:rPr>
          <w:rFonts w:ascii="Calibri" w:eastAsia="Microsoft YaHei"/>
          <w:b/>
          <w:bCs/>
          <w:color w:val="333333"/>
          <w:sz w:val="24"/>
          <w:szCs w:val="24"/>
        </w:rPr>
        <w:t xml:space="preserve">Juego de categorías: </w:t>
      </w:r>
      <w:r>
        <w:rPr>
          <w:rFonts w:ascii="Calibri" w:eastAsia="Microsoft YaHei"/>
          <w:color w:val="333333"/>
          <w:sz w:val="24"/>
          <w:szCs w:val="24"/>
        </w:rPr>
        <w:t xml:space="preserve">Las palabras se agrupan por temas y la estudiante debe clasificarlas correctamente. Por ejemplo, separar alimentos de animales, o colores de prendas de vestir. Este ejercicio desarrolla el pensamiento categorizador y fortalece las redes semánticas.</w:t>
      </w:r>
    </w:p>
    <w:p>
      <w:pPr>
        <w:pStyle w:val="Heading2"/>
        <w:spacing w:after="160" w:before="360" w:line="312"/>
      </w:pPr>
      <w:bookmarkStart w:id="100007" w:name="_Toc100007"/>
      <w:r>
        <w:rPr>
          <w:rFonts w:ascii="Calibri" w:eastAsia="Microsoft YaHei"/>
          <w:b/>
          <w:bCs/>
          <w:color w:val="5A7DB5"/>
          <w:sz w:val="28"/>
          <w:szCs w:val="28"/>
        </w:rPr>
        <w:t xml:space="preserve">4.2 Módulo de Gramática</w:t>
      </w:r>
      <w:bookmarkEnd w:id="100007"/>
    </w:p>
    <w:p>
      <w:pPr>
        <w:spacing w:after="120" w:line="312"/>
        <w:ind w:firstLine="480"/>
        <w:jc w:val="both"/>
      </w:pPr>
      <w:r>
        <w:rPr>
          <w:rFonts w:ascii="Calibri" w:eastAsia="Microsoft YaHei"/>
          <w:color w:val="333333"/>
          <w:sz w:val="24"/>
          <w:szCs w:val="24"/>
        </w:rPr>
        <w:t xml:space="preserve">La gramática proporciona las reglas estructurales del idioma, permitiendo construir oraciones correctas y coherentes. Para niñas, la enseñanza gramatical debe ser inductiva y contextualizada: en lugar de explicar reglas abstractas de forma teórica, se presentan ejemplos en situaciones comunicativas reales que permiten descubrir el patrón gramatical de forma natural. Este enfoque es consistente con la metodología de inmersión de Rosetta Stone y con las últimas investigaciones en pedagogía de segundas lenguas.</w:t>
      </w:r>
    </w:p>
    <w:p>
      <w:pPr>
        <w:pStyle w:val="Heading3"/>
        <w:spacing w:after="120" w:before="240" w:line="312"/>
      </w:pPr>
      <w:bookmarkStart w:id="100008" w:name="_Toc100008"/>
      <w:r>
        <w:rPr>
          <w:rFonts w:ascii="Calibri" w:eastAsia="Microsoft YaHei"/>
          <w:b/>
          <w:bCs/>
          <w:color w:val="2B579A"/>
          <w:sz w:val="24"/>
          <w:szCs w:val="24"/>
        </w:rPr>
        <w:t xml:space="preserve">4.2.1 Subtemas por nivel</w:t>
      </w:r>
      <w:bookmarkEnd w:id="100008"/>
    </w:p>
    <w:p>
      <w:pPr>
        <w:spacing w:after="120" w:line="312"/>
        <w:jc w:val="both"/>
      </w:pPr>
      <w:r>
        <w:rPr>
          <w:rFonts w:ascii="Calibri" w:eastAsia="Microsoft YaHei"/>
          <w:color w:val="333333"/>
          <w:sz w:val="24"/>
          <w:szCs w:val="24"/>
        </w:rPr>
        <w:t xml:space="preserve">Nivel A1 — Principiante:</w:t>
      </w:r>
    </w:p>
    <w:p>
      <w:pPr>
        <w:spacing w:after="80" w:line="312"/>
        <w:ind w:left="720" w:hanging="260"/>
        <w:jc w:val="left"/>
      </w:pPr>
      <w:r>
        <w:rPr>
          <w:rFonts w:ascii="Calibri" w:eastAsia="Microsoft YaHei"/>
          <w:color w:val="333333"/>
          <w:sz w:val="24"/>
          <w:szCs w:val="24"/>
        </w:rPr>
        <w:t xml:space="preserve">• El verbo To Be (am/is/are): afirmación, negación y preguntas básicas</w:t>
      </w:r>
    </w:p>
    <w:p>
      <w:pPr>
        <w:spacing w:after="80" w:line="312"/>
        <w:ind w:left="720" w:hanging="260"/>
        <w:jc w:val="left"/>
      </w:pPr>
      <w:r>
        <w:rPr>
          <w:rFonts w:ascii="Calibri" w:eastAsia="Microsoft YaHei"/>
          <w:color w:val="333333"/>
          <w:sz w:val="24"/>
          <w:szCs w:val="24"/>
        </w:rPr>
        <w:t xml:space="preserve">• Artículos definidos e indefinidos: a, an, the</w:t>
      </w:r>
    </w:p>
    <w:p>
      <w:pPr>
        <w:spacing w:after="80" w:line="312"/>
        <w:ind w:left="720" w:hanging="260"/>
        <w:jc w:val="left"/>
      </w:pPr>
      <w:r>
        <w:rPr>
          <w:rFonts w:ascii="Calibri" w:eastAsia="Microsoft YaHei"/>
          <w:color w:val="333333"/>
          <w:sz w:val="24"/>
          <w:szCs w:val="24"/>
        </w:rPr>
        <w:t xml:space="preserve">• Pronombres personales: I, you, he, she, it, we, they</w:t>
      </w:r>
    </w:p>
    <w:p>
      <w:pPr>
        <w:spacing w:after="80" w:line="312"/>
        <w:ind w:left="720" w:hanging="260"/>
        <w:jc w:val="left"/>
      </w:pPr>
      <w:r>
        <w:rPr>
          <w:rFonts w:ascii="Calibri" w:eastAsia="Microsoft YaHei"/>
          <w:color w:val="333333"/>
          <w:sz w:val="24"/>
          <w:szCs w:val="24"/>
        </w:rPr>
        <w:t xml:space="preserve">• Sustantivos singulares y plurales regulares</w:t>
      </w:r>
    </w:p>
    <w:p>
      <w:pPr>
        <w:spacing w:after="80" w:line="312"/>
        <w:ind w:left="720" w:hanging="260"/>
        <w:jc w:val="left"/>
      </w:pPr>
      <w:r>
        <w:rPr>
          <w:rFonts w:ascii="Calibri" w:eastAsia="Microsoft YaHei"/>
          <w:color w:val="333333"/>
          <w:sz w:val="24"/>
          <w:szCs w:val="24"/>
        </w:rPr>
        <w:t xml:space="preserve">• Presente simple: rutinas, hábitos y hechos generales</w:t>
      </w:r>
    </w:p>
    <w:p>
      <w:pPr>
        <w:spacing w:after="80" w:line="312"/>
        <w:ind w:left="720" w:hanging="260"/>
        <w:jc w:val="left"/>
      </w:pPr>
      <w:r>
        <w:rPr>
          <w:rFonts w:ascii="Calibri" w:eastAsia="Microsoft YaHei"/>
          <w:color w:val="333333"/>
          <w:sz w:val="24"/>
          <w:szCs w:val="24"/>
        </w:rPr>
        <w:t xml:space="preserve">• Adjetivos posesivos: my, your, his, her, its, our, their</w:t>
      </w:r>
    </w:p>
    <w:p>
      <w:pPr>
        <w:spacing w:after="80" w:line="312"/>
        <w:ind w:left="720" w:hanging="260"/>
        <w:jc w:val="left"/>
      </w:pPr>
      <w:r>
        <w:rPr>
          <w:rFonts w:ascii="Calibri" w:eastAsia="Microsoft YaHei"/>
          <w:color w:val="333333"/>
          <w:sz w:val="24"/>
          <w:szCs w:val="24"/>
        </w:rPr>
        <w:t xml:space="preserve">• Demostrativos: this, that, these, those</w:t>
      </w:r>
    </w:p>
    <w:p>
      <w:pPr>
        <w:spacing w:after="80" w:line="312"/>
        <w:ind w:left="720" w:hanging="260"/>
        <w:jc w:val="left"/>
      </w:pPr>
      <w:r>
        <w:rPr>
          <w:rFonts w:ascii="Calibri" w:eastAsia="Microsoft YaHei"/>
          <w:color w:val="333333"/>
          <w:sz w:val="24"/>
          <w:szCs w:val="24"/>
        </w:rPr>
        <w:t xml:space="preserve">• There is / There are: existencia y ubicación</w:t>
      </w:r>
    </w:p>
    <w:p>
      <w:pPr>
        <w:spacing w:after="120" w:line="312"/>
        <w:jc w:val="both"/>
      </w:pPr>
      <w:r>
        <w:rPr>
          <w:rFonts w:ascii="Calibri" w:eastAsia="Microsoft YaHei"/>
          <w:color w:val="333333"/>
          <w:sz w:val="24"/>
          <w:szCs w:val="24"/>
        </w:rPr>
        <w:t xml:space="preserve">Nivel A2 — Elemental:</w:t>
      </w:r>
    </w:p>
    <w:p>
      <w:pPr>
        <w:spacing w:after="80" w:line="312"/>
        <w:ind w:left="720" w:hanging="260"/>
        <w:jc w:val="left"/>
      </w:pPr>
      <w:r>
        <w:rPr>
          <w:rFonts w:ascii="Calibri" w:eastAsia="Microsoft YaHei"/>
          <w:color w:val="333333"/>
          <w:sz w:val="24"/>
          <w:szCs w:val="24"/>
        </w:rPr>
        <w:t xml:space="preserve">• Presente continuo (Present Continuous): acciones en progreso</w:t>
      </w:r>
    </w:p>
    <w:p>
      <w:pPr>
        <w:spacing w:after="80" w:line="312"/>
        <w:ind w:left="720" w:hanging="260"/>
        <w:jc w:val="left"/>
      </w:pPr>
      <w:r>
        <w:rPr>
          <w:rFonts w:ascii="Calibri" w:eastAsia="Microsoft YaHei"/>
          <w:color w:val="333333"/>
          <w:sz w:val="24"/>
          <w:szCs w:val="24"/>
        </w:rPr>
        <w:t xml:space="preserve">• Pasado simple (Past Simple): verbos regulares e irregulares comunes</w:t>
      </w:r>
    </w:p>
    <w:p>
      <w:pPr>
        <w:spacing w:after="80" w:line="312"/>
        <w:ind w:left="720" w:hanging="260"/>
        <w:jc w:val="left"/>
      </w:pPr>
      <w:r>
        <w:rPr>
          <w:rFonts w:ascii="Calibri" w:eastAsia="Microsoft YaHei"/>
          <w:color w:val="333333"/>
          <w:sz w:val="24"/>
          <w:szCs w:val="24"/>
        </w:rPr>
        <w:t xml:space="preserve">• Futuro con Going to y Will: planes e intenciones</w:t>
      </w:r>
    </w:p>
    <w:p>
      <w:pPr>
        <w:spacing w:after="80" w:line="312"/>
        <w:ind w:left="720" w:hanging="260"/>
        <w:jc w:val="left"/>
      </w:pPr>
      <w:r>
        <w:rPr>
          <w:rFonts w:ascii="Calibri" w:eastAsia="Microsoft YaHei"/>
          <w:color w:val="333333"/>
          <w:sz w:val="24"/>
          <w:szCs w:val="24"/>
        </w:rPr>
        <w:t xml:space="preserve">• Preposiciones de tiempo y lugar: in, on, at, under, behind, next to</w:t>
      </w:r>
    </w:p>
    <w:p>
      <w:pPr>
        <w:spacing w:after="80" w:line="312"/>
        <w:ind w:left="720" w:hanging="260"/>
        <w:jc w:val="left"/>
      </w:pPr>
      <w:r>
        <w:rPr>
          <w:rFonts w:ascii="Calibri" w:eastAsia="Microsoft YaHei"/>
          <w:color w:val="333333"/>
          <w:sz w:val="24"/>
          <w:szCs w:val="24"/>
        </w:rPr>
        <w:t xml:space="preserve">• Comparativos y superlativos: bigger, the biggest, more beautiful</w:t>
      </w:r>
    </w:p>
    <w:p>
      <w:pPr>
        <w:spacing w:after="80" w:line="312"/>
        <w:ind w:left="720" w:hanging="260"/>
        <w:jc w:val="left"/>
      </w:pPr>
      <w:r>
        <w:rPr>
          <w:rFonts w:ascii="Calibri" w:eastAsia="Microsoft YaHei"/>
          <w:color w:val="333333"/>
          <w:sz w:val="24"/>
          <w:szCs w:val="24"/>
        </w:rPr>
        <w:t xml:space="preserve">• Adverbios de frecuencia: always, sometimes, never, often</w:t>
      </w:r>
    </w:p>
    <w:p>
      <w:pPr>
        <w:spacing w:after="80" w:line="312"/>
        <w:ind w:left="720" w:hanging="260"/>
        <w:jc w:val="left"/>
      </w:pPr>
      <w:r>
        <w:rPr>
          <w:rFonts w:ascii="Calibri" w:eastAsia="Microsoft YaHei"/>
          <w:color w:val="333333"/>
          <w:sz w:val="24"/>
          <w:szCs w:val="24"/>
        </w:rPr>
        <w:t xml:space="preserve">• Conectores básicos: and, but, because, so</w:t>
      </w:r>
    </w:p>
    <w:p>
      <w:pPr>
        <w:spacing w:after="80" w:line="312"/>
        <w:ind w:left="720" w:hanging="260"/>
        <w:jc w:val="left"/>
      </w:pPr>
      <w:r>
        <w:rPr>
          <w:rFonts w:ascii="Calibri" w:eastAsia="Microsoft YaHei"/>
          <w:color w:val="333333"/>
          <w:sz w:val="24"/>
          <w:szCs w:val="24"/>
        </w:rPr>
        <w:t xml:space="preserve">• Modal Can: habilidad y permiso</w:t>
      </w:r>
    </w:p>
    <w:p>
      <w:pPr>
        <w:spacing w:after="120" w:line="312"/>
        <w:jc w:val="both"/>
      </w:pPr>
      <w:r>
        <w:rPr>
          <w:rFonts w:ascii="Calibri" w:eastAsia="Microsoft YaHei"/>
          <w:color w:val="333333"/>
          <w:sz w:val="24"/>
          <w:szCs w:val="24"/>
        </w:rPr>
        <w:t xml:space="preserve">Nivel B1 — Intermedio:</w:t>
      </w:r>
    </w:p>
    <w:p>
      <w:pPr>
        <w:spacing w:after="80" w:line="312"/>
        <w:ind w:left="720" w:hanging="260"/>
        <w:jc w:val="left"/>
      </w:pPr>
      <w:r>
        <w:rPr>
          <w:rFonts w:ascii="Calibri" w:eastAsia="Microsoft YaHei"/>
          <w:color w:val="333333"/>
          <w:sz w:val="24"/>
          <w:szCs w:val="24"/>
        </w:rPr>
        <w:t xml:space="preserve">• Presente perfecto (Present Perfect): experiencias y resultados</w:t>
      </w:r>
    </w:p>
    <w:p>
      <w:pPr>
        <w:spacing w:after="80" w:line="312"/>
        <w:ind w:left="720" w:hanging="260"/>
        <w:jc w:val="left"/>
      </w:pPr>
      <w:r>
        <w:rPr>
          <w:rFonts w:ascii="Calibri" w:eastAsia="Microsoft YaHei"/>
          <w:color w:val="333333"/>
          <w:sz w:val="24"/>
          <w:szCs w:val="24"/>
        </w:rPr>
        <w:t xml:space="preserve">• Pasado continuo (Past Continuous): acciones interrumpidas</w:t>
      </w:r>
    </w:p>
    <w:p>
      <w:pPr>
        <w:spacing w:after="80" w:line="312"/>
        <w:ind w:left="720" w:hanging="260"/>
        <w:jc w:val="left"/>
      </w:pPr>
      <w:r>
        <w:rPr>
          <w:rFonts w:ascii="Calibri" w:eastAsia="Microsoft YaHei"/>
          <w:color w:val="333333"/>
          <w:sz w:val="24"/>
          <w:szCs w:val="24"/>
        </w:rPr>
        <w:t xml:space="preserve">• Condicionales tipo 0 y 1: situaciones reales y probables</w:t>
      </w:r>
    </w:p>
    <w:p>
      <w:pPr>
        <w:spacing w:after="80" w:line="312"/>
        <w:ind w:left="720" w:hanging="260"/>
        <w:jc w:val="left"/>
      </w:pPr>
      <w:r>
        <w:rPr>
          <w:rFonts w:ascii="Calibri" w:eastAsia="Microsoft YaHei"/>
          <w:color w:val="333333"/>
          <w:sz w:val="24"/>
          <w:szCs w:val="24"/>
        </w:rPr>
        <w:t xml:space="preserve">• Voz pasiva básica: the book was written by...</w:t>
      </w:r>
    </w:p>
    <w:p>
      <w:pPr>
        <w:spacing w:after="80" w:line="312"/>
        <w:ind w:left="720" w:hanging="260"/>
        <w:jc w:val="left"/>
      </w:pPr>
      <w:r>
        <w:rPr>
          <w:rFonts w:ascii="Calibri" w:eastAsia="Microsoft YaHei"/>
          <w:color w:val="333333"/>
          <w:sz w:val="24"/>
          <w:szCs w:val="24"/>
        </w:rPr>
        <w:t xml:space="preserve">• Reported speech: He said that he was tired</w:t>
      </w:r>
    </w:p>
    <w:p>
      <w:pPr>
        <w:spacing w:after="80" w:line="312"/>
        <w:ind w:left="720" w:hanging="260"/>
        <w:jc w:val="left"/>
      </w:pPr>
      <w:r>
        <w:rPr>
          <w:rFonts w:ascii="Calibri" w:eastAsia="Microsoft YaHei"/>
          <w:color w:val="333333"/>
          <w:sz w:val="24"/>
          <w:szCs w:val="24"/>
        </w:rPr>
        <w:t xml:space="preserve">• Relativos: who, which, where, when</w:t>
      </w:r>
    </w:p>
    <w:p>
      <w:pPr>
        <w:spacing w:after="80" w:line="312"/>
        <w:ind w:left="720" w:hanging="260"/>
        <w:jc w:val="left"/>
      </w:pPr>
      <w:r>
        <w:rPr>
          <w:rFonts w:ascii="Calibri" w:eastAsia="Microsoft YaHei"/>
          <w:color w:val="333333"/>
          <w:sz w:val="24"/>
          <w:szCs w:val="24"/>
        </w:rPr>
        <w:t xml:space="preserve">• Verbos modales avanzados: should, must, might, could</w:t>
      </w:r>
    </w:p>
    <w:p>
      <w:pPr>
        <w:pStyle w:val="Heading3"/>
        <w:spacing w:after="120" w:before="240" w:line="312"/>
      </w:pPr>
      <w:bookmarkStart w:id="100009" w:name="_Toc100009"/>
      <w:r>
        <w:rPr>
          <w:rFonts w:ascii="Calibri" w:eastAsia="Microsoft YaHei"/>
          <w:b/>
          <w:bCs/>
          <w:color w:val="2B579A"/>
          <w:sz w:val="24"/>
          <w:szCs w:val="24"/>
        </w:rPr>
        <w:t xml:space="preserve">4.2.2 Ejercicios y herramientas</w:t>
      </w:r>
      <w:bookmarkEnd w:id="100009"/>
    </w:p>
    <w:p>
      <w:pPr>
        <w:spacing w:after="120" w:line="312"/>
        <w:ind w:firstLine="480"/>
        <w:jc w:val="both"/>
      </w:pPr>
      <w:r>
        <w:rPr>
          <w:rFonts w:ascii="Calibri" w:eastAsia="Microsoft YaHei"/>
          <w:b/>
          <w:bCs/>
          <w:color w:val="333333"/>
          <w:sz w:val="24"/>
          <w:szCs w:val="24"/>
        </w:rPr>
        <w:t xml:space="preserve">Ordenar la oración: </w:t>
      </w:r>
      <w:r>
        <w:rPr>
          <w:rFonts w:ascii="Calibri" w:eastAsia="Microsoft YaHei"/>
          <w:color w:val="333333"/>
          <w:sz w:val="24"/>
          <w:szCs w:val="24"/>
        </w:rPr>
        <w:t xml:space="preserve">Se presentan palabras desordenadas y la estudiante debe armar la oración correcta. Este ejercicio desarrolla la comprensión de la estructura sintáctica y es uno de los formatos más exitosos en Duolingo por su simplicidad y efectividad.</w:t>
      </w:r>
    </w:p>
    <w:p>
      <w:pPr>
        <w:spacing w:after="120" w:line="312"/>
        <w:ind w:firstLine="480"/>
        <w:jc w:val="both"/>
      </w:pPr>
      <w:r>
        <w:rPr>
          <w:rFonts w:ascii="Calibri" w:eastAsia="Microsoft YaHei"/>
          <w:b/>
          <w:bCs/>
          <w:color w:val="333333"/>
          <w:sz w:val="24"/>
          <w:szCs w:val="24"/>
        </w:rPr>
        <w:t xml:space="preserve">Rellenar espacios en blanco (Fill in the blanks): </w:t>
      </w:r>
      <w:r>
        <w:rPr>
          <w:rFonts w:ascii="Calibri" w:eastAsia="Microsoft YaHei"/>
          <w:color w:val="333333"/>
          <w:sz w:val="24"/>
          <w:szCs w:val="24"/>
        </w:rPr>
        <w:t xml:space="preserve">Oraciones con uno o más espacios que la estudiante debe completar seleccionando la opción correcta entre varias alternativas. Se recomienda ofrecer pistas contextuales (imágenes o audio) que ayuden a deducir la respuesta.</w:t>
      </w:r>
    </w:p>
    <w:p>
      <w:pPr>
        <w:spacing w:after="120" w:line="312"/>
        <w:ind w:firstLine="480"/>
        <w:jc w:val="both"/>
      </w:pPr>
      <w:r>
        <w:rPr>
          <w:rFonts w:ascii="Calibri" w:eastAsia="Microsoft YaHei"/>
          <w:b/>
          <w:bCs/>
          <w:color w:val="333333"/>
          <w:sz w:val="24"/>
          <w:szCs w:val="24"/>
        </w:rPr>
        <w:t xml:space="preserve">Traducción inversa: </w:t>
      </w:r>
      <w:r>
        <w:rPr>
          <w:rFonts w:ascii="Calibri" w:eastAsia="Microsoft YaHei"/>
          <w:color w:val="333333"/>
          <w:sz w:val="24"/>
          <w:szCs w:val="24"/>
        </w:rPr>
        <w:t xml:space="preserve">Partiendo de una oración en español, la estudiante la traduce al inglés. Este ejercicio puede ser desafiante para niñas pequeñas, por lo que se recomienda implementarlo solo a partir del nivel A2 y con un sistema de sugerencias progresivas.</w:t>
      </w:r>
    </w:p>
    <w:p>
      <w:pPr>
        <w:spacing w:after="120" w:line="312"/>
        <w:ind w:firstLine="480"/>
        <w:jc w:val="both"/>
      </w:pPr>
      <w:r>
        <w:rPr>
          <w:rFonts w:ascii="Calibri" w:eastAsia="Microsoft YaHei"/>
          <w:b/>
          <w:bCs/>
          <w:color w:val="333333"/>
          <w:sz w:val="24"/>
          <w:szCs w:val="24"/>
        </w:rPr>
        <w:t xml:space="preserve">Detección de errores: </w:t>
      </w:r>
      <w:r>
        <w:rPr>
          <w:rFonts w:ascii="Calibri" w:eastAsia="Microsoft YaHei"/>
          <w:color w:val="333333"/>
          <w:sz w:val="24"/>
          <w:szCs w:val="24"/>
        </w:rPr>
        <w:t xml:space="preserve">Se presenta una oración con un error gramatical intencional y la estudiante debe identificarlo y corregirlo. Este ejercicio promueve la reflexión metalingüística y la atención al detalle.</w:t>
      </w:r>
    </w:p>
    <w:p>
      <w:pPr>
        <w:spacing w:after="120" w:line="312"/>
        <w:ind w:firstLine="480"/>
        <w:jc w:val="both"/>
      </w:pPr>
      <w:r>
        <w:rPr>
          <w:rFonts w:ascii="Calibri" w:eastAsia="Microsoft YaHei"/>
          <w:b/>
          <w:bCs/>
          <w:color w:val="333333"/>
          <w:sz w:val="24"/>
          <w:szCs w:val="24"/>
        </w:rPr>
        <w:t xml:space="preserve">Historias con decisiones: </w:t>
      </w:r>
      <w:r>
        <w:rPr>
          <w:rFonts w:ascii="Calibri" w:eastAsia="Microsoft YaHei"/>
          <w:color w:val="333333"/>
          <w:sz w:val="24"/>
          <w:szCs w:val="24"/>
        </w:rPr>
        <w:t xml:space="preserve">La estudiante avanza por una historia interactiva donde debe elegir la respuesta gramaticalmente correcta para continuar. Cada elección afecta el desarrollo de la trama, lo que añade un elemento narrativo que aumenta la motivación.</w:t>
      </w:r>
    </w:p>
    <w:p>
      <w:pPr>
        <w:pStyle w:val="Heading2"/>
        <w:spacing w:after="160" w:before="360" w:line="312"/>
      </w:pPr>
      <w:bookmarkStart w:id="100010" w:name="_Toc100010"/>
      <w:r>
        <w:rPr>
          <w:rFonts w:ascii="Calibri" w:eastAsia="Microsoft YaHei"/>
          <w:b/>
          <w:bCs/>
          <w:color w:val="5A7DB5"/>
          <w:sz w:val="28"/>
          <w:szCs w:val="28"/>
        </w:rPr>
        <w:t xml:space="preserve">4.3 Módulo de Comprensión Auditiva (Listening)</w:t>
      </w:r>
      <w:bookmarkEnd w:id="100010"/>
    </w:p>
    <w:p>
      <w:pPr>
        <w:spacing w:after="120" w:line="312"/>
        <w:ind w:firstLine="480"/>
        <w:jc w:val="both"/>
      </w:pPr>
      <w:r>
        <w:rPr>
          <w:rFonts w:ascii="Calibri" w:eastAsia="Microsoft YaHei"/>
          <w:color w:val="333333"/>
          <w:sz w:val="24"/>
          <w:szCs w:val="24"/>
        </w:rPr>
        <w:t xml:space="preserve">La comprensión auditiva es una de las habilidades más críticas en el aprendizaje de un idioma, ya que es la puerta de entrada a la comunicación real. Antes de poder hablar, leer o escribir en un idioma extranjero, es necesario poder comprenderlo cuando se escucha. Para niñas, es especialmente importante presentar audios con voces claras, velocidades ajustables y contextos visuales que apoyen la comprensión. El módulo debe incluir tanto audios grabados por hablantes nativos como ejercicios con imágenes asociadas, siguiendo el modelo de inmersión que utiliza Rosetta Stone.</w:t>
      </w:r>
    </w:p>
    <w:p>
      <w:pPr>
        <w:pStyle w:val="Heading3"/>
        <w:spacing w:after="120" w:before="240" w:line="312"/>
      </w:pPr>
      <w:bookmarkStart w:id="100011" w:name="_Toc100011"/>
      <w:r>
        <w:rPr>
          <w:rFonts w:ascii="Calibri" w:eastAsia="Microsoft YaHei"/>
          <w:b/>
          <w:bCs/>
          <w:color w:val="2B579A"/>
          <w:sz w:val="24"/>
          <w:szCs w:val="24"/>
        </w:rPr>
        <w:t xml:space="preserve">4.3.1 Ejercicios y herramientas</w:t>
      </w:r>
      <w:bookmarkEnd w:id="100011"/>
    </w:p>
    <w:p>
      <w:pPr>
        <w:spacing w:after="120" w:line="312"/>
        <w:ind w:firstLine="480"/>
        <w:jc w:val="both"/>
      </w:pPr>
      <w:r>
        <w:rPr>
          <w:rFonts w:ascii="Calibri" w:eastAsia="Microsoft YaHei"/>
          <w:b/>
          <w:bCs/>
          <w:color w:val="333333"/>
          <w:sz w:val="24"/>
          <w:szCs w:val="24"/>
        </w:rPr>
        <w:t xml:space="preserve">Audio con imagen: </w:t>
      </w:r>
      <w:r>
        <w:rPr>
          <w:rFonts w:ascii="Calibri" w:eastAsia="Microsoft YaHei"/>
          <w:color w:val="333333"/>
          <w:sz w:val="24"/>
          <w:szCs w:val="24"/>
        </w:rPr>
        <w:t xml:space="preserve">Se reproduce un audio corto (una palabra o frase sencilla) mientras se muestra una imagen correspondiente. La estudiante debe identificar la imagen correcta entre varias opciones. Este formato es el núcleo del método de Rosetta Stone y es altamente efectivo para asociar sonido con significado sin depender de la traducción.</w:t>
      </w:r>
    </w:p>
    <w:p>
      <w:pPr>
        <w:spacing w:after="120" w:line="312"/>
        <w:ind w:firstLine="480"/>
        <w:jc w:val="both"/>
      </w:pPr>
      <w:r>
        <w:rPr>
          <w:rFonts w:ascii="Calibri" w:eastAsia="Microsoft YaHei"/>
          <w:b/>
          <w:bCs/>
          <w:color w:val="333333"/>
          <w:sz w:val="24"/>
          <w:szCs w:val="24"/>
        </w:rPr>
        <w:t xml:space="preserve">Dictado: </w:t>
      </w:r>
      <w:r>
        <w:rPr>
          <w:rFonts w:ascii="Calibri" w:eastAsia="Microsoft YaHei"/>
          <w:color w:val="333333"/>
          <w:sz w:val="24"/>
          <w:szCs w:val="24"/>
        </w:rPr>
        <w:t xml:space="preserve">Se reproduce un audio y la estudiante debe escribir lo que escucha. Para niveles iniciales, se puede ofrecer un teclado con letras sugeridas; para niveles avanzados, se espera escritura libre. El sistema debe proporcionar retroalimentación inmediata indicando errores ortográficos.</w:t>
      </w:r>
    </w:p>
    <w:p>
      <w:pPr>
        <w:spacing w:after="120" w:line="312"/>
        <w:ind w:firstLine="480"/>
        <w:jc w:val="both"/>
      </w:pPr>
      <w:r>
        <w:rPr>
          <w:rFonts w:ascii="Calibri" w:eastAsia="Microsoft YaHei"/>
          <w:b/>
          <w:bCs/>
          <w:color w:val="333333"/>
          <w:sz w:val="24"/>
          <w:szCs w:val="24"/>
        </w:rPr>
        <w:t xml:space="preserve">Selección de respuesta: </w:t>
      </w:r>
      <w:r>
        <w:rPr>
          <w:rFonts w:ascii="Calibri" w:eastAsia="Microsoft YaHei"/>
          <w:color w:val="333333"/>
          <w:sz w:val="24"/>
          <w:szCs w:val="24"/>
        </w:rPr>
        <w:t xml:space="preserve">Después de escuchar un breve diálogo o narración, la estudiante responde preguntas de comprensión de opción múltiple. Las preguntas deben cubrir información literal (qué, quién, dónde) y, en niveles avanzados, inferencial (por qué, cómo).</w:t>
      </w:r>
    </w:p>
    <w:p>
      <w:pPr>
        <w:spacing w:after="120" w:line="312"/>
        <w:ind w:firstLine="480"/>
        <w:jc w:val="both"/>
      </w:pPr>
      <w:r>
        <w:rPr>
          <w:rFonts w:ascii="Calibri" w:eastAsia="Microsoft YaHei"/>
          <w:b/>
          <w:bCs/>
          <w:color w:val="333333"/>
          <w:sz w:val="24"/>
          <w:szCs w:val="24"/>
        </w:rPr>
        <w:t xml:space="preserve">Completar letras de canciones: </w:t>
      </w:r>
      <w:r>
        <w:rPr>
          <w:rFonts w:ascii="Calibri" w:eastAsia="Microsoft YaHei"/>
          <w:color w:val="333333"/>
          <w:sz w:val="24"/>
          <w:szCs w:val="24"/>
        </w:rPr>
        <w:t xml:space="preserve">Se reproduce una canción en inglés (con contenido apropiado para niñas) y la estudiante debe completar las palabras faltantes de la letra. Las canciones son una herramienta pedagógica poderosa porque combinan ritmo, melodía y repetición, facilitando la memorización natural del lenguaje.</w:t>
      </w:r>
    </w:p>
    <w:p>
      <w:pPr>
        <w:spacing w:after="120" w:line="312"/>
        <w:ind w:firstLine="480"/>
        <w:jc w:val="both"/>
      </w:pPr>
      <w:r>
        <w:rPr>
          <w:rFonts w:ascii="Calibri" w:eastAsia="Microsoft YaHei"/>
          <w:b/>
          <w:bCs/>
          <w:color w:val="333333"/>
          <w:sz w:val="24"/>
          <w:szCs w:val="24"/>
        </w:rPr>
        <w:t xml:space="preserve">Identificación de sonidos: </w:t>
      </w:r>
      <w:r>
        <w:rPr>
          <w:rFonts w:ascii="Calibri" w:eastAsia="Microsoft YaHei"/>
          <w:color w:val="333333"/>
          <w:sz w:val="24"/>
          <w:szCs w:val="24"/>
        </w:rPr>
        <w:t xml:space="preserve">Ejercicio donde la estudiante escucha diferentes sonidos o palabras y debe identificarlos. Se puede incluir discriminación fonética (diferenciar ship de sheep, por ejemplo) para desarrollar la percepción auditiva fina.</w:t>
      </w:r>
    </w:p>
    <w:p>
      <w:pPr>
        <w:pStyle w:val="Heading2"/>
        <w:spacing w:after="160" w:before="360" w:line="312"/>
      </w:pPr>
      <w:bookmarkStart w:id="100012" w:name="_Toc100012"/>
      <w:r>
        <w:rPr>
          <w:rFonts w:ascii="Calibri" w:eastAsia="Microsoft YaHei"/>
          <w:b/>
          <w:bCs/>
          <w:color w:val="5A7DB5"/>
          <w:sz w:val="28"/>
          <w:szCs w:val="28"/>
        </w:rPr>
        <w:t xml:space="preserve">4.4 Módulo de Comprensión Lectora (Reading)</w:t>
      </w:r>
      <w:bookmarkEnd w:id="100012"/>
    </w:p>
    <w:p>
      <w:pPr>
        <w:spacing w:after="120" w:line="312"/>
        <w:ind w:firstLine="480"/>
        <w:jc w:val="both"/>
      </w:pPr>
      <w:r>
        <w:rPr>
          <w:rFonts w:ascii="Calibri" w:eastAsia="Microsoft YaHei"/>
          <w:color w:val="333333"/>
          <w:sz w:val="24"/>
          <w:szCs w:val="24"/>
        </w:rPr>
        <w:t xml:space="preserve">La comprensión lectora en inglés no solo refuerza el vocabulario y la gramática, sino que también expone a las estudiantes a estructuras lingüísticas auténticas en contexto. Para niñas, la lectura debe ser visualmente atractiva, con ilustraciones que apoyen el significado, textos cortos adaptados al nivel, y actividades que no se limiten a responder preguntas sino que incluyan elementos creativos como dibujar lo que leyeron o continuar una historia.</w:t>
      </w:r>
    </w:p>
    <w:p>
      <w:pPr>
        <w:pStyle w:val="Heading3"/>
        <w:spacing w:after="120" w:before="240" w:line="312"/>
      </w:pPr>
      <w:bookmarkStart w:id="100013" w:name="_Toc100013"/>
      <w:r>
        <w:rPr>
          <w:rFonts w:ascii="Calibri" w:eastAsia="Microsoft YaHei"/>
          <w:b/>
          <w:bCs/>
          <w:color w:val="2B579A"/>
          <w:sz w:val="24"/>
          <w:szCs w:val="24"/>
        </w:rPr>
        <w:t xml:space="preserve">4.4.1 Ejercicios y herramientas</w:t>
      </w:r>
      <w:bookmarkEnd w:id="100013"/>
    </w:p>
    <w:p>
      <w:pPr>
        <w:spacing w:after="120" w:line="312"/>
        <w:ind w:firstLine="480"/>
        <w:jc w:val="both"/>
      </w:pPr>
      <w:r>
        <w:rPr>
          <w:rFonts w:ascii="Calibri" w:eastAsia="Microsoft YaHei"/>
          <w:b/>
          <w:bCs/>
          <w:color w:val="333333"/>
          <w:sz w:val="24"/>
          <w:szCs w:val="24"/>
        </w:rPr>
        <w:t xml:space="preserve">Lecturas ilustradas adaptadas: </w:t>
      </w:r>
      <w:r>
        <w:rPr>
          <w:rFonts w:ascii="Calibri" w:eastAsia="Microsoft YaHei"/>
          <w:color w:val="333333"/>
          <w:sz w:val="24"/>
          <w:szCs w:val="24"/>
        </w:rPr>
        <w:t xml:space="preserve">Cuentos cortos con imágenes, vocabulario controlado y estructuras gramaticales graduales. Después de cada lectura, se plantean preguntas de comprensión que evalúan tanto el significado literal como la capacidad de hacer inferencias básicas.</w:t>
      </w:r>
    </w:p>
    <w:p>
      <w:pPr>
        <w:spacing w:after="120" w:line="312"/>
        <w:ind w:firstLine="480"/>
        <w:jc w:val="both"/>
      </w:pPr>
      <w:r>
        <w:rPr>
          <w:rFonts w:ascii="Calibri" w:eastAsia="Microsoft YaHei"/>
          <w:b/>
          <w:bCs/>
          <w:color w:val="333333"/>
          <w:sz w:val="24"/>
          <w:szCs w:val="24"/>
        </w:rPr>
        <w:t xml:space="preserve">Lectura con audio sincronizado: </w:t>
      </w:r>
      <w:r>
        <w:rPr>
          <w:rFonts w:ascii="Calibri" w:eastAsia="Microsoft YaHei"/>
          <w:color w:val="333333"/>
          <w:sz w:val="24"/>
          <w:szCs w:val="24"/>
        </w:rPr>
        <w:t xml:space="preserve">El texto se destaca palabra por palabra mientras un narrador lo lee en voz alta. Esta herramienta, similar a la función de Duolingo Stories, ayuda a conectar la forma escrita con la pronunciación y es especialmente útil para estudiantes que aún no dominan la correspondencia fonema-grafema del inglés.</w:t>
      </w:r>
    </w:p>
    <w:p>
      <w:pPr>
        <w:spacing w:after="120" w:line="312"/>
        <w:ind w:firstLine="480"/>
        <w:jc w:val="both"/>
      </w:pPr>
      <w:r>
        <w:rPr>
          <w:rFonts w:ascii="Calibri" w:eastAsia="Microsoft YaHei"/>
          <w:b/>
          <w:bCs/>
          <w:color w:val="333333"/>
          <w:sz w:val="24"/>
          <w:szCs w:val="24"/>
        </w:rPr>
        <w:t xml:space="preserve">Ordenar eventos de una historia: </w:t>
      </w:r>
      <w:r>
        <w:rPr>
          <w:rFonts w:ascii="Calibri" w:eastAsia="Microsoft YaHei"/>
          <w:color w:val="333333"/>
          <w:sz w:val="24"/>
          <w:szCs w:val="24"/>
        </w:rPr>
        <w:t xml:space="preserve">Después de leer un texto narrativo, la estudiante debe ordenar cronológicamente los eventos. Este ejercicio desarrolla la habilidad de sequenciación y la comprensión de conectores temporales.</w:t>
      </w:r>
    </w:p>
    <w:p>
      <w:pPr>
        <w:spacing w:after="120" w:line="312"/>
        <w:ind w:firstLine="480"/>
        <w:jc w:val="both"/>
      </w:pPr>
      <w:r>
        <w:rPr>
          <w:rFonts w:ascii="Calibri" w:eastAsia="Microsoft YaHei"/>
          <w:b/>
          <w:bCs/>
          <w:color w:val="333333"/>
          <w:sz w:val="24"/>
          <w:szCs w:val="24"/>
        </w:rPr>
        <w:t xml:space="preserve">Verdadero o Falso: </w:t>
      </w:r>
      <w:r>
        <w:rPr>
          <w:rFonts w:ascii="Calibri" w:eastAsia="Microsoft YaHei"/>
          <w:color w:val="333333"/>
          <w:sz w:val="24"/>
          <w:szCs w:val="24"/>
        </w:rPr>
        <w:t xml:space="preserve">Se presentan afirmaciones sobre el texto leído y la estudiante debe determinar si son verdaderas o falsas. Es un formato rápido y efectivo para evaluar la comprensión global.</w:t>
      </w:r>
    </w:p>
    <w:p>
      <w:pPr>
        <w:spacing w:after="120" w:line="312"/>
        <w:ind w:firstLine="480"/>
        <w:jc w:val="both"/>
      </w:pPr>
      <w:r>
        <w:rPr>
          <w:rFonts w:ascii="Calibri" w:eastAsia="Microsoft YaHei"/>
          <w:b/>
          <w:bCs/>
          <w:color w:val="333333"/>
          <w:sz w:val="24"/>
          <w:szCs w:val="24"/>
        </w:rPr>
        <w:t xml:space="preserve">Crea tu propia historia: </w:t>
      </w:r>
      <w:r>
        <w:rPr>
          <w:rFonts w:ascii="Calibri" w:eastAsia="Microsoft YaHei"/>
          <w:color w:val="333333"/>
          <w:sz w:val="24"/>
          <w:szCs w:val="24"/>
        </w:rPr>
        <w:t xml:space="preserve">En niveles avanzados (A2-B1), se presenta una historia con finales alternativos donde la estudiante elige cómo continuar. Este ejercicio no solo evalúa comprensión sino que también estimula la creatividad y la expresión escrita.</w:t>
      </w:r>
    </w:p>
    <w:p>
      <w:pPr>
        <w:pStyle w:val="Heading2"/>
        <w:spacing w:after="160" w:before="360" w:line="312"/>
      </w:pPr>
      <w:bookmarkStart w:id="100014" w:name="_Toc100014"/>
      <w:r>
        <w:rPr>
          <w:rFonts w:ascii="Calibri" w:eastAsia="Microsoft YaHei"/>
          <w:b/>
          <w:bCs/>
          <w:color w:val="5A7DB5"/>
          <w:sz w:val="28"/>
          <w:szCs w:val="28"/>
        </w:rPr>
        <w:t xml:space="preserve">4.5 Módulo de Conversación (Speaking)</w:t>
      </w:r>
      <w:bookmarkEnd w:id="100014"/>
    </w:p>
    <w:p>
      <w:pPr>
        <w:spacing w:after="120" w:line="312"/>
        <w:ind w:firstLine="480"/>
        <w:jc w:val="both"/>
      </w:pPr>
      <w:r>
        <w:rPr>
          <w:rFonts w:ascii="Calibri" w:eastAsia="Microsoft YaHei"/>
          <w:color w:val="333333"/>
          <w:sz w:val="24"/>
          <w:szCs w:val="24"/>
        </w:rPr>
        <w:t xml:space="preserve">La capacidad de hablar en inglés es, para muchas estudiantes, el objetivo principal y al mismo tiempo el mayor desafío. La ansiedad por hablar en un idioma extranjero es un fenómeno bien documentado en la literatura pedagógica, conocido como Foreign Language Anxiety. Para mitigar este problema en niñas, el módulo de conversación debe ofrecer un entorno seguro, libre de juicios, donde puedan practicar sin temor al error. Las herramientas de reconocimiento de voz con inteligencia artificial permiten evaluar la pronunciación de manera automatizada, mientras que los diálogos simulados con avatares ofrecen un espacio de práctica controlada.</w:t>
      </w:r>
    </w:p>
    <w:p>
      <w:pPr>
        <w:pStyle w:val="Heading3"/>
        <w:spacing w:after="120" w:before="240" w:line="312"/>
      </w:pPr>
      <w:bookmarkStart w:id="100015" w:name="_Toc100015"/>
      <w:r>
        <w:rPr>
          <w:rFonts w:ascii="Calibri" w:eastAsia="Microsoft YaHei"/>
          <w:b/>
          <w:bCs/>
          <w:color w:val="2B579A"/>
          <w:sz w:val="24"/>
          <w:szCs w:val="24"/>
        </w:rPr>
        <w:t xml:space="preserve">4.5.1 Ejercicios y herramientas</w:t>
      </w:r>
      <w:bookmarkEnd w:id="100015"/>
    </w:p>
    <w:p>
      <w:pPr>
        <w:spacing w:after="120" w:line="312"/>
        <w:ind w:firstLine="480"/>
        <w:jc w:val="both"/>
      </w:pPr>
      <w:r>
        <w:rPr>
          <w:rFonts w:ascii="Calibri" w:eastAsia="Microsoft YaHei"/>
          <w:b/>
          <w:bCs/>
          <w:color w:val="333333"/>
          <w:sz w:val="24"/>
          <w:szCs w:val="24"/>
        </w:rPr>
        <w:t xml:space="preserve">Repetición con reconocimiento de voz: </w:t>
      </w:r>
      <w:r>
        <w:rPr>
          <w:rFonts w:ascii="Calibri" w:eastAsia="Microsoft YaHei"/>
          <w:color w:val="333333"/>
          <w:sz w:val="24"/>
          <w:szCs w:val="24"/>
        </w:rPr>
        <w:t xml:space="preserve">La estudiante escucha una frase y la repite en voz alta. El sistema de reconocimiento de voz evalúa la pronunciación y proporciona retroalimentación visual (por ejemplo, un semáforo verde si es correcta, amarillo si necesita mejora, rojo si es incorrecta). Este formato es el que utiliza Duolingo en su sección de speaking.</w:t>
      </w:r>
    </w:p>
    <w:p>
      <w:pPr>
        <w:spacing w:after="120" w:line="312"/>
        <w:ind w:firstLine="480"/>
        <w:jc w:val="both"/>
      </w:pPr>
      <w:r>
        <w:rPr>
          <w:rFonts w:ascii="Calibri" w:eastAsia="Microsoft YaHei"/>
          <w:b/>
          <w:bCs/>
          <w:color w:val="333333"/>
          <w:sz w:val="24"/>
          <w:szCs w:val="24"/>
        </w:rPr>
        <w:t xml:space="preserve">Diálogos simulados con avatares: </w:t>
      </w:r>
      <w:r>
        <w:rPr>
          <w:rFonts w:ascii="Calibri" w:eastAsia="Microsoft YaHei"/>
          <w:color w:val="333333"/>
          <w:sz w:val="24"/>
          <w:szCs w:val="24"/>
        </w:rPr>
        <w:t xml:space="preserve">Un avatar animado plantea preguntas o inicia una conversación, y la estudiante responde en voz alta. El sistema interpreta la respuesta y continúa el diálogo de manera coherente. Este enfoque, similar al chatbot conversacional, permite practicar interacciones reales (pedir información, hacer compras, presentarse) sin la presión de un interlocutor humano.</w:t>
      </w:r>
    </w:p>
    <w:p>
      <w:pPr>
        <w:spacing w:after="120" w:line="312"/>
        <w:ind w:firstLine="480"/>
        <w:jc w:val="both"/>
      </w:pPr>
      <w:r>
        <w:rPr>
          <w:rFonts w:ascii="Calibri" w:eastAsia="Microsoft YaHei"/>
          <w:b/>
          <w:bCs/>
          <w:color w:val="333333"/>
          <w:sz w:val="24"/>
          <w:szCs w:val="24"/>
        </w:rPr>
        <w:t xml:space="preserve">Role-playing temático: </w:t>
      </w:r>
      <w:r>
        <w:rPr>
          <w:rFonts w:ascii="Calibri" w:eastAsia="Microsoft YaHei"/>
          <w:color w:val="333333"/>
          <w:sz w:val="24"/>
          <w:szCs w:val="24"/>
        </w:rPr>
        <w:t xml:space="preserve">Escenarios simulados como una tienda, un restaurante, una escuela o un consultorio médico donde la estudiante debe desempeñar un rol y responder a las situaciones planteadas. Los escenarios deben ser creíbles y relevantes para el mundo infantil.</w:t>
      </w:r>
    </w:p>
    <w:p>
      <w:pPr>
        <w:spacing w:after="120" w:line="312"/>
        <w:ind w:firstLine="480"/>
        <w:jc w:val="both"/>
      </w:pPr>
      <w:r>
        <w:rPr>
          <w:rFonts w:ascii="Calibri" w:eastAsia="Microsoft YaHei"/>
          <w:b/>
          <w:bCs/>
          <w:color w:val="333333"/>
          <w:sz w:val="24"/>
          <w:szCs w:val="24"/>
        </w:rPr>
        <w:t xml:space="preserve">Grabación y autoevaluación: </w:t>
      </w:r>
      <w:r>
        <w:rPr>
          <w:rFonts w:ascii="Calibri" w:eastAsia="Microsoft YaHei"/>
          <w:color w:val="333333"/>
          <w:sz w:val="24"/>
          <w:szCs w:val="24"/>
        </w:rPr>
        <w:t xml:space="preserve">La estudiante graba un monólogo corto (presentarse, describir su familia, hablar de su día) y luego escucha su propia grabación comparándola con un modelo nativo. Esta herramienta desarrolla la conciencia metalingüística y la capacidad de autocorrección.</w:t>
      </w:r>
    </w:p>
    <w:p>
      <w:pPr>
        <w:spacing w:after="120" w:line="312"/>
        <w:ind w:firstLine="480"/>
        <w:jc w:val="both"/>
      </w:pPr>
      <w:r>
        <w:rPr>
          <w:rFonts w:ascii="Calibri" w:eastAsia="Microsoft YaHei"/>
          <w:b/>
          <w:bCs/>
          <w:color w:val="333333"/>
          <w:sz w:val="24"/>
          <w:szCs w:val="24"/>
        </w:rPr>
        <w:t xml:space="preserve">Conversaciones con compañeras (función social): </w:t>
      </w:r>
      <w:r>
        <w:rPr>
          <w:rFonts w:ascii="Calibri" w:eastAsia="Microsoft YaHei"/>
          <w:color w:val="333333"/>
          <w:sz w:val="24"/>
          <w:szCs w:val="24"/>
        </w:rPr>
        <w:t xml:space="preserve">Opcionalmente, la plataforma puede incluir una función de emparejamiento seguro entre estudiantes del mismo nivel para practicar conversaciones en tiempo real, siempre bajo la supervisión de un moderador y con filtros de contenido. Este enfoque se inspira en el método social de Políglota.</w:t>
      </w:r>
    </w:p>
    <w:p>
      <w:pPr>
        <w:pStyle w:val="Heading2"/>
        <w:spacing w:after="160" w:before="360" w:line="312"/>
      </w:pPr>
      <w:bookmarkStart w:id="100016" w:name="_Toc100016"/>
      <w:r>
        <w:rPr>
          <w:rFonts w:ascii="Calibri" w:eastAsia="Microsoft YaHei"/>
          <w:b/>
          <w:bCs/>
          <w:color w:val="5A7DB5"/>
          <w:sz w:val="28"/>
          <w:szCs w:val="28"/>
        </w:rPr>
        <w:t xml:space="preserve">4.6 Módulo de Pronunciación</w:t>
      </w:r>
      <w:bookmarkEnd w:id="100016"/>
    </w:p>
    <w:p>
      <w:pPr>
        <w:spacing w:after="120" w:line="312"/>
        <w:ind w:firstLine="480"/>
        <w:jc w:val="both"/>
      </w:pPr>
      <w:r>
        <w:rPr>
          <w:rFonts w:ascii="Calibri" w:eastAsia="Microsoft YaHei"/>
          <w:color w:val="333333"/>
          <w:sz w:val="24"/>
          <w:szCs w:val="24"/>
        </w:rPr>
        <w:t xml:space="preserve">La pronunciación correcta es fundamental para la inteligibilidad comunicativa. A diferencia de la gramática o el vocabulario, los errores de pronunciación pueden impedir que un interlocutor comprenda el mensaje, incluso cuando el vocabulario y la estructura gramatical sean correctos. Este módulo debe abordar tanto los fonemas individuales del inglés como la entonación, el ritmo y el acento de las oraciones. La tecnología de reconocimiento de voz por inteligencia artificial ha avanzado considerablemente, permitiendo offer retroalimentación precisa sobre la pronunciación a nivel de palabra y de oración.</w:t>
      </w:r>
    </w:p>
    <w:p>
      <w:pPr>
        <w:pStyle w:val="Heading3"/>
        <w:spacing w:after="120" w:before="240" w:line="312"/>
      </w:pPr>
      <w:bookmarkStart w:id="100017" w:name="_Toc100017"/>
      <w:r>
        <w:rPr>
          <w:rFonts w:ascii="Calibri" w:eastAsia="Microsoft YaHei"/>
          <w:b/>
          <w:bCs/>
          <w:color w:val="2B579A"/>
          <w:sz w:val="24"/>
          <w:szCs w:val="24"/>
        </w:rPr>
        <w:t xml:space="preserve">4.6.1 Ejercicios y herramientas</w:t>
      </w:r>
      <w:bookmarkEnd w:id="100017"/>
    </w:p>
    <w:p>
      <w:pPr>
        <w:spacing w:after="120" w:line="312"/>
        <w:ind w:firstLine="480"/>
        <w:jc w:val="both"/>
      </w:pPr>
      <w:r>
        <w:rPr>
          <w:rFonts w:ascii="Calibri" w:eastAsia="Microsoft YaHei"/>
          <w:b/>
          <w:bCs/>
          <w:color w:val="333333"/>
          <w:sz w:val="24"/>
          <w:szCs w:val="24"/>
        </w:rPr>
        <w:t xml:space="preserve">Minimal pairs: </w:t>
      </w:r>
      <w:r>
        <w:rPr>
          <w:rFonts w:ascii="Calibri" w:eastAsia="Microsoft YaHei"/>
          <w:color w:val="333333"/>
          <w:sz w:val="24"/>
          <w:szCs w:val="24"/>
        </w:rPr>
        <w:t xml:space="preserve">Ejercicios de discriminación y producción de pares mínimos (ship/sheep, bit/beat, cat/bat). La estudiante escucha ambos sonidos, intenta reproducirlos y recibe retroalimentación del sistema de reconocimiento de voz.</w:t>
      </w:r>
    </w:p>
    <w:p>
      <w:pPr>
        <w:spacing w:after="120" w:line="312"/>
        <w:ind w:firstLine="480"/>
        <w:jc w:val="both"/>
      </w:pPr>
      <w:r>
        <w:rPr>
          <w:rFonts w:ascii="Calibri" w:eastAsia="Microsoft YaHei"/>
          <w:b/>
          <w:bCs/>
          <w:color w:val="333333"/>
          <w:sz w:val="24"/>
          <w:szCs w:val="24"/>
        </w:rPr>
        <w:t xml:space="preserve">Tongue twisters adaptados: </w:t>
      </w:r>
      <w:r>
        <w:rPr>
          <w:rFonts w:ascii="Calibri" w:eastAsia="Microsoft YaHei"/>
          <w:color w:val="333333"/>
          <w:sz w:val="24"/>
          <w:szCs w:val="24"/>
        </w:rPr>
        <w:t xml:space="preserve">Trabalenguas simplificados que practican sonidos específicos del inglés de forma divertida. Por ejemplo: She sells seashells by the seashore para practicar el sonido sh. Se pueden acompañar de animaciones que hagan el ejercicio más entretenido.</w:t>
      </w:r>
    </w:p>
    <w:p>
      <w:pPr>
        <w:spacing w:after="120" w:line="312"/>
        <w:ind w:firstLine="480"/>
        <w:jc w:val="both"/>
      </w:pPr>
      <w:r>
        <w:rPr>
          <w:rFonts w:ascii="Calibri" w:eastAsia="Microsoft YaHei"/>
          <w:b/>
          <w:bCs/>
          <w:color w:val="333333"/>
          <w:sz w:val="24"/>
          <w:szCs w:val="24"/>
        </w:rPr>
        <w:t xml:space="preserve">Grabación comparativa: </w:t>
      </w:r>
      <w:r>
        <w:rPr>
          <w:rFonts w:ascii="Calibri" w:eastAsia="Microsoft YaHei"/>
          <w:color w:val="333333"/>
          <w:sz w:val="24"/>
          <w:szCs w:val="24"/>
        </w:rPr>
        <w:t xml:space="preserve">La estudiante graba su pronunciación de una palabra o frase y puede superponerla con la grabación de un hablante nativo para comparar ondas de sonido o simplemente escuchar ambas versiones en secuencia.</w:t>
      </w:r>
    </w:p>
    <w:p>
      <w:pPr>
        <w:spacing w:after="120" w:line="312"/>
        <w:ind w:firstLine="480"/>
        <w:jc w:val="both"/>
      </w:pPr>
      <w:r>
        <w:rPr>
          <w:rFonts w:ascii="Calibri" w:eastAsia="Microsoft YaHei"/>
          <w:b/>
          <w:bCs/>
          <w:color w:val="333333"/>
          <w:sz w:val="24"/>
          <w:szCs w:val="24"/>
        </w:rPr>
        <w:t xml:space="preserve">Grabación de frases con entonación: </w:t>
      </w:r>
      <w:r>
        <w:rPr>
          <w:rFonts w:ascii="Calibri" w:eastAsia="Microsoft YaHei"/>
          <w:color w:val="333333"/>
          <w:sz w:val="24"/>
          <w:szCs w:val="24"/>
        </w:rPr>
        <w:t xml:space="preserve">Más allá de la pronunciación de palabras individuales, este ejercicio evalúa la entonación de preguntas, afirmaciones y exclamaciones, enseñando que el significado en inglés depende en gran medida del tono de voz.</w:t>
      </w:r>
    </w:p>
    <w:p>
      <w:pPr>
        <w:pStyle w:val="Heading1"/>
        <w:spacing w:after="200" w:before="480" w:line="312"/>
      </w:pPr>
      <w:bookmarkStart w:id="100018" w:name="_Toc100018"/>
      <w:r>
        <w:rPr>
          <w:rFonts w:ascii="Calibri" w:eastAsia="Microsoft YaHei"/>
          <w:b/>
          <w:bCs/>
          <w:color w:val="2B579A"/>
          <w:sz w:val="32"/>
          <w:szCs w:val="32"/>
        </w:rPr>
        <w:t xml:space="preserve">5. Sistema de Gamificación</w:t>
      </w:r>
      <w:bookmarkEnd w:id="100018"/>
    </w:p>
    <w:p>
      <w:pPr>
        <w:spacing w:after="120" w:line="312"/>
        <w:ind w:firstLine="480"/>
        <w:jc w:val="both"/>
      </w:pPr>
      <w:r>
        <w:rPr>
          <w:rFonts w:ascii="Calibri" w:eastAsia="Microsoft YaHei"/>
          <w:color w:val="333333"/>
          <w:sz w:val="24"/>
          <w:szCs w:val="24"/>
        </w:rPr>
        <w:t xml:space="preserve">La gamificación es el proceso de incorporar mecánicas de juego en contextos no lúdicos para aumentar la motivación, el compromiso y la retención de los usuarios. En el campo del aprendizaje de idiomas, Duolingo ha demostrado de manera contundente el poder de la gamificación: con más de 128 millones de usuarios activos mensuales, su modelo basado en rachas, puntos de experiencia (XP), ligas y recompensas diarias ha establecido el estándar de la industria. Sin embargo, la gamificación debe diseñarse con cuidado para un público infantil, priorizando la motivación intrínseca (el placer de aprender) sobre la extrínseca (los puntos y premios), y evitando mecánicas adictivas o punitivas.</w:t>
      </w:r>
    </w:p>
    <w:p>
      <w:pPr>
        <w:pStyle w:val="Heading2"/>
        <w:spacing w:after="160" w:before="360" w:line="312"/>
      </w:pPr>
      <w:bookmarkStart w:id="100019" w:name="_Toc100019"/>
      <w:r>
        <w:rPr>
          <w:rFonts w:ascii="Calibri" w:eastAsia="Microsoft YaHei"/>
          <w:b/>
          <w:bCs/>
          <w:color w:val="5A7DB5"/>
          <w:sz w:val="28"/>
          <w:szCs w:val="28"/>
        </w:rPr>
        <w:t xml:space="preserve">5.1 Mecánicas recomendadas para niñas</w:t>
      </w:r>
      <w:bookmarkEnd w:id="100019"/>
    </w:p>
    <w:p>
      <w:pPr>
        <w:spacing w:after="120" w:line="312"/>
        <w:ind w:firstLine="480"/>
        <w:jc w:val="both"/>
      </w:pPr>
      <w:r>
        <w:rPr>
          <w:rFonts w:ascii="Calibri" w:eastAsia="Microsoft YaHei"/>
          <w:b/>
          <w:bCs/>
          <w:color w:val="333333"/>
          <w:sz w:val="24"/>
          <w:szCs w:val="24"/>
        </w:rPr>
        <w:t xml:space="preserve">Racha diaria (Streak): </w:t>
      </w:r>
      <w:r>
        <w:rPr>
          <w:rFonts w:ascii="Calibri" w:eastAsia="Microsoft YaHei"/>
          <w:color w:val="333333"/>
          <w:sz w:val="24"/>
          <w:szCs w:val="24"/>
        </w:rPr>
        <w:t xml:space="preserve">Un contador que registra los días consecutivos de práctica. A diferencia de Duolingo, donde perder la racha puede ser frustrante, se recomienda implementar un sistema de racha flexible que permita recuperar días perdidos mediante ejercicios adicionales, o que premie las rachas cortas (3 días, 7 días) además de las largas.</w:t>
      </w:r>
    </w:p>
    <w:p>
      <w:pPr>
        <w:spacing w:after="120" w:line="312"/>
        <w:ind w:firstLine="480"/>
        <w:jc w:val="both"/>
      </w:pPr>
      <w:r>
        <w:rPr>
          <w:rFonts w:ascii="Calibri" w:eastAsia="Microsoft YaHei"/>
          <w:b/>
          <w:bCs/>
          <w:color w:val="333333"/>
          <w:sz w:val="24"/>
          <w:szCs w:val="24"/>
        </w:rPr>
        <w:t xml:space="preserve">Puntos de experiencia (XP) y niveles: </w:t>
      </w:r>
      <w:r>
        <w:rPr>
          <w:rFonts w:ascii="Calibri" w:eastAsia="Microsoft YaHei"/>
          <w:color w:val="333333"/>
          <w:sz w:val="24"/>
          <w:szCs w:val="24"/>
        </w:rPr>
        <w:t xml:space="preserve">Cada ejercicio completado otorga puntos. Al acumular cierta cantidad, la estudiante sube de nivel, desbloquea nuevos contenidos y recibe premios virtuales. Los niveles deben tener nombres atractivos (Explorer, Adventurer, Champion, Master).</w:t>
      </w:r>
    </w:p>
    <w:p>
      <w:pPr>
        <w:spacing w:after="120" w:line="312"/>
        <w:ind w:firstLine="480"/>
        <w:jc w:val="both"/>
      </w:pPr>
      <w:r>
        <w:rPr>
          <w:rFonts w:ascii="Calibri" w:eastAsia="Microsoft YaHei"/>
          <w:b/>
          <w:bCs/>
          <w:color w:val="333333"/>
          <w:sz w:val="24"/>
          <w:szCs w:val="24"/>
        </w:rPr>
        <w:t xml:space="preserve">Avatar y mascota personalizables: </w:t>
      </w:r>
      <w:r>
        <w:rPr>
          <w:rFonts w:ascii="Calibri" w:eastAsia="Microsoft YaHei"/>
          <w:color w:val="333333"/>
          <w:sz w:val="24"/>
          <w:szCs w:val="24"/>
        </w:rPr>
        <w:t xml:space="preserve">La estudiante puede crear y personalizar un avatar o adoptar una mascota virtual que evoluciona a medida que aprende. La mascota puede mostrar emociones (contenta cuando se practica, triste cuando se ausenta) para crear un vínculo emocional con la plataforma. Lingokids utiliza mascotas animadas como elemento central de su experiencia.</w:t>
      </w:r>
    </w:p>
    <w:p>
      <w:pPr>
        <w:spacing w:after="120" w:line="312"/>
        <w:ind w:firstLine="480"/>
        <w:jc w:val="both"/>
      </w:pPr>
      <w:r>
        <w:rPr>
          <w:rFonts w:ascii="Calibri" w:eastAsia="Microsoft YaHei"/>
          <w:b/>
          <w:bCs/>
          <w:color w:val="333333"/>
          <w:sz w:val="24"/>
          <w:szCs w:val="24"/>
        </w:rPr>
        <w:t xml:space="preserve">Desafíos diarios y semanales: </w:t>
      </w:r>
      <w:r>
        <w:rPr>
          <w:rFonts w:ascii="Calibri" w:eastAsia="Microsoft YaHei"/>
          <w:color w:val="333333"/>
          <w:sz w:val="24"/>
          <w:szCs w:val="24"/>
        </w:rPr>
        <w:t xml:space="preserve">Misiones especiales que cambian periódicamente, como completar 3 lecciones de vocabulario en un día, o practicar pronunciación durante 5 días seguidos. Cumplir los desafíos otorga recompensas especiales.</w:t>
      </w:r>
    </w:p>
    <w:p>
      <w:pPr>
        <w:spacing w:after="120" w:line="312"/>
        <w:ind w:firstLine="480"/>
        <w:jc w:val="both"/>
      </w:pPr>
      <w:r>
        <w:rPr>
          <w:rFonts w:ascii="Calibri" w:eastAsia="Microsoft YaHei"/>
          <w:b/>
          <w:bCs/>
          <w:color w:val="333333"/>
          <w:sz w:val="24"/>
          <w:szCs w:val="24"/>
        </w:rPr>
        <w:t xml:space="preserve">Insignias y logros: </w:t>
      </w:r>
      <w:r>
        <w:rPr>
          <w:rFonts w:ascii="Calibri" w:eastAsia="Microsoft YaHei"/>
          <w:color w:val="333333"/>
          <w:sz w:val="24"/>
          <w:szCs w:val="24"/>
        </w:rPr>
        <w:t xml:space="preserve">Medallas virtuales por hitos específicos: primera lección completada, 50 palabras aprendidas, primera conversación, racha de 30 días. Las insignias se exhiben en un perfil personal que motiva la coleccionabilidad.</w:t>
      </w:r>
    </w:p>
    <w:p>
      <w:pPr>
        <w:spacing w:after="120" w:line="312"/>
        <w:ind w:firstLine="480"/>
        <w:jc w:val="both"/>
      </w:pPr>
      <w:r>
        <w:rPr>
          <w:rFonts w:ascii="Calibri" w:eastAsia="Microsoft YaHei"/>
          <w:b/>
          <w:bCs/>
          <w:color w:val="333333"/>
          <w:sz w:val="24"/>
          <w:szCs w:val="24"/>
        </w:rPr>
        <w:t xml:space="preserve">Historia de progreso visual: </w:t>
      </w:r>
      <w:r>
        <w:rPr>
          <w:rFonts w:ascii="Calibri" w:eastAsia="Microsoft YaHei"/>
          <w:color w:val="333333"/>
          <w:sz w:val="24"/>
          <w:szCs w:val="24"/>
        </w:rPr>
        <w:t xml:space="preserve">Un mapa visual del recorrido de aprendizaje, similar al árbol de habilidades de Duolingo, donde la estudiante puede ver cuánto ha avanzado, qué le falta y cuáles son los próximos desafíos. El mapa debe incluir hitos visuales celebratorios al completar cada unidad.</w:t>
      </w:r>
    </w:p>
    <w:p>
      <w:pPr>
        <w:pStyle w:val="Heading1"/>
        <w:spacing w:after="200" w:before="480" w:line="312"/>
      </w:pPr>
      <w:bookmarkStart w:id="100020" w:name="_Toc100020"/>
      <w:r>
        <w:rPr>
          <w:rFonts w:ascii="Calibri" w:eastAsia="Microsoft YaHei"/>
          <w:b/>
          <w:bCs/>
          <w:color w:val="2B579A"/>
          <w:sz w:val="32"/>
          <w:szCs w:val="32"/>
        </w:rPr>
        <w:t xml:space="preserve">6. Análisis Comparativo con Plataformas Líder</w:t>
      </w:r>
      <w:bookmarkEnd w:id="100020"/>
    </w:p>
    <w:p>
      <w:pPr>
        <w:spacing w:after="120" w:line="312"/>
        <w:ind w:firstLine="480"/>
        <w:jc w:val="both"/>
      </w:pPr>
      <w:r>
        <w:rPr>
          <w:rFonts w:ascii="Calibri" w:eastAsia="Microsoft YaHei"/>
          <w:color w:val="333333"/>
          <w:sz w:val="24"/>
          <w:szCs w:val="24"/>
        </w:rPr>
        <w:t xml:space="preserve">El mercado de aprendizaje de inglés en línea ofrece una amplia variedad de plataformas, cada una con su propia filosofía, metodología y público objetivo. A continuación se presenta un análisis detallado de cinco de las herramientas más relevantes, identificando sus fortalezas, debilidades y lecciones aplicables para el diseño de la plataforma propuesta.</w:t>
      </w:r>
    </w:p>
    <w:p>
      <w:pPr>
        <w:pStyle w:val="Heading2"/>
        <w:spacing w:after="160" w:before="360" w:line="312"/>
      </w:pPr>
      <w:bookmarkStart w:id="100021" w:name="_Toc100021"/>
      <w:r>
        <w:rPr>
          <w:rFonts w:ascii="Calibri" w:eastAsia="Microsoft YaHei"/>
          <w:b/>
          <w:bCs/>
          <w:color w:val="5A7DB5"/>
          <w:sz w:val="28"/>
          <w:szCs w:val="28"/>
        </w:rPr>
        <w:t xml:space="preserve">6.1 Duolingo</w:t>
      </w:r>
      <w:bookmarkEnd w:id="100021"/>
    </w:p>
    <w:p>
      <w:pPr>
        <w:spacing w:after="120" w:line="312"/>
        <w:ind w:firstLine="480"/>
        <w:jc w:val="both"/>
      </w:pPr>
      <w:r>
        <w:rPr>
          <w:rFonts w:ascii="Calibri" w:eastAsia="Microsoft YaHei"/>
          <w:color w:val="333333"/>
          <w:sz w:val="24"/>
          <w:szCs w:val="24"/>
        </w:rPr>
        <w:t xml:space="preserve">Duolingo es la aplicación de aprendizaje de idiomas más popular del mundo, con más de 128 millones de usuarios activos mensuales y presencia en 194 países. Su modelo de negocio freemium (gratuito con publicidad y opcional de suscripción premium) la ha convertido en la puerta de entrada para millones de personas que desean aprender un idioma por primera vez. Su curso de inglés es el más extenso y completo de su catálogo, organizado en unidades temáticas que cubren desde nivel A1 hasta aproximadamente B2.</w:t>
      </w:r>
    </w:p>
    <w:p>
      <w:pPr>
        <w:pStyle w:val="Heading3"/>
        <w:spacing w:after="120" w:before="240" w:line="312"/>
      </w:pPr>
      <w:bookmarkStart w:id="100022" w:name="_Toc100022"/>
      <w:r>
        <w:rPr>
          <w:rFonts w:ascii="Calibri" w:eastAsia="Microsoft YaHei"/>
          <w:b/>
          <w:bCs/>
          <w:color w:val="2B579A"/>
          <w:sz w:val="24"/>
          <w:szCs w:val="24"/>
        </w:rPr>
        <w:t xml:space="preserve">Metodología y estructura</w:t>
      </w:r>
      <w:bookmarkEnd w:id="100022"/>
    </w:p>
    <w:p>
      <w:pPr>
        <w:spacing w:after="120" w:line="312"/>
        <w:ind w:firstLine="480"/>
        <w:jc w:val="both"/>
      </w:pPr>
      <w:r>
        <w:rPr>
          <w:rFonts w:ascii="Calibri" w:eastAsia="Microsoft YaHei"/>
          <w:color w:val="333333"/>
          <w:sz w:val="24"/>
          <w:szCs w:val="24"/>
        </w:rPr>
        <w:t xml:space="preserve">Duolingo utiliza un enfoque de aprendizaje basado en la práctica repetitiva y la gamificación. Cada lección dura entre 3 y 5 minutos y combina diferentes tipos de ejercicios: traducción, emparejamiento de palabras, completar oraciones, selección de imágenes, dictado y speaking con reconocimiento de voz. Las lecciones se organizan en un árbol de habilidades (skill tree) donde cada nodo representa una unidad temática (por ejemplo, Basics 1, Food 1, Animals 1) y debe completarse antes de avanzar al siguiente. Recientemente, Duolingo ha simplificado su estructura a un recorrido lineal (learning path) con unidades, lecciones y práctica adicional.</w:t>
      </w:r>
    </w:p>
    <w:p>
      <w:pPr>
        <w:pStyle w:val="Heading3"/>
        <w:spacing w:after="120" w:before="240" w:line="312"/>
      </w:pPr>
      <w:bookmarkStart w:id="100023" w:name="_Toc100023"/>
      <w:r>
        <w:rPr>
          <w:rFonts w:ascii="Calibri" w:eastAsia="Microsoft YaHei"/>
          <w:b/>
          <w:bCs/>
          <w:color w:val="2B579A"/>
          <w:sz w:val="24"/>
          <w:szCs w:val="24"/>
        </w:rPr>
        <w:t xml:space="preserve">Fortalezas</w:t>
      </w:r>
      <w:bookmarkEnd w:id="100023"/>
    </w:p>
    <w:p>
      <w:pPr>
        <w:spacing w:after="80" w:line="312"/>
        <w:ind w:left="720" w:hanging="260"/>
        <w:jc w:val="left"/>
      </w:pPr>
      <w:r>
        <w:rPr>
          <w:rFonts w:ascii="Calibri" w:eastAsia="Microsoft YaHei"/>
          <w:color w:val="333333"/>
          <w:sz w:val="24"/>
          <w:szCs w:val="24"/>
        </w:rPr>
        <w:t xml:space="preserve">• Gamificación excepcional: rachas, ligas, XP, corazones, sistema de vidas que motiva el uso diario.</w:t>
      </w:r>
    </w:p>
    <w:p>
      <w:pPr>
        <w:spacing w:after="80" w:line="312"/>
        <w:ind w:left="720" w:hanging="260"/>
        <w:jc w:val="left"/>
      </w:pPr>
      <w:r>
        <w:rPr>
          <w:rFonts w:ascii="Calibri" w:eastAsia="Microsoft YaHei"/>
          <w:color w:val="333333"/>
          <w:sz w:val="24"/>
          <w:szCs w:val="24"/>
        </w:rPr>
        <w:t xml:space="preserve">• Micro-lecciones de 3-5 minutos ideales para sesiones cortas de práctica.</w:t>
      </w:r>
    </w:p>
    <w:p>
      <w:pPr>
        <w:spacing w:after="80" w:line="312"/>
        <w:ind w:left="720" w:hanging="260"/>
        <w:jc w:val="left"/>
      </w:pPr>
      <w:r>
        <w:rPr>
          <w:rFonts w:ascii="Calibri" w:eastAsia="Microsoft YaHei"/>
          <w:color w:val="333333"/>
          <w:sz w:val="24"/>
          <w:szCs w:val="24"/>
        </w:rPr>
        <w:t xml:space="preserve">• Variedad de tipos de ejercicios dentro de cada lección que mantiene el interés.</w:t>
      </w:r>
    </w:p>
    <w:p>
      <w:pPr>
        <w:spacing w:after="80" w:line="312"/>
        <w:ind w:left="720" w:hanging="260"/>
        <w:jc w:val="left"/>
      </w:pPr>
      <w:r>
        <w:rPr>
          <w:rFonts w:ascii="Calibri" w:eastAsia="Microsoft YaHei"/>
          <w:color w:val="333333"/>
          <w:sz w:val="24"/>
          <w:szCs w:val="24"/>
        </w:rPr>
        <w:t xml:space="preserve">• Algoritmo de repetición espaciada integrado que repasa palabras y conceptos previamente aprendidos.</w:t>
      </w:r>
    </w:p>
    <w:p>
      <w:pPr>
        <w:spacing w:after="80" w:line="312"/>
        <w:ind w:left="720" w:hanging="260"/>
        <w:jc w:val="left"/>
      </w:pPr>
      <w:r>
        <w:rPr>
          <w:rFonts w:ascii="Calibri" w:eastAsia="Microsoft YaHei"/>
          <w:color w:val="333333"/>
          <w:sz w:val="24"/>
          <w:szCs w:val="24"/>
        </w:rPr>
        <w:t xml:space="preserve">• Gratuito en su versión base, accesible para cualquier familia.</w:t>
      </w:r>
    </w:p>
    <w:p>
      <w:pPr>
        <w:spacing w:after="80" w:line="312"/>
        <w:ind w:left="720" w:hanging="260"/>
        <w:jc w:val="left"/>
      </w:pPr>
      <w:r>
        <w:rPr>
          <w:rFonts w:ascii="Calibri" w:eastAsia="Microsoft YaHei"/>
          <w:color w:val="333333"/>
          <w:sz w:val="24"/>
          <w:szCs w:val="24"/>
        </w:rPr>
        <w:t xml:space="preserve">• Duolingo ABC, su versión para niños pequeños (4-8 años), enfocada en lectura y escritura básica.</w:t>
      </w:r>
    </w:p>
    <w:p>
      <w:pPr>
        <w:pStyle w:val="Heading3"/>
        <w:spacing w:after="120" w:before="240" w:line="312"/>
      </w:pPr>
      <w:bookmarkStart w:id="100024" w:name="_Toc100024"/>
      <w:r>
        <w:rPr>
          <w:rFonts w:ascii="Calibri" w:eastAsia="Microsoft YaHei"/>
          <w:b/>
          <w:bCs/>
          <w:color w:val="2B579A"/>
          <w:sz w:val="24"/>
          <w:szCs w:val="24"/>
        </w:rPr>
        <w:t xml:space="preserve">Debilidades</w:t>
      </w:r>
      <w:bookmarkEnd w:id="100024"/>
    </w:p>
    <w:p>
      <w:pPr>
        <w:spacing w:after="80" w:line="312"/>
        <w:ind w:left="720" w:hanging="260"/>
        <w:jc w:val="left"/>
      </w:pPr>
      <w:r>
        <w:rPr>
          <w:rFonts w:ascii="Calibri" w:eastAsia="Microsoft YaHei"/>
          <w:color w:val="333333"/>
          <w:sz w:val="24"/>
          <w:szCs w:val="24"/>
        </w:rPr>
        <w:t xml:space="preserve">• Falta de conversación real con hablantes nativos: la práctica de speaking se limita a frases cortas evaluadas por IA.</w:t>
      </w:r>
    </w:p>
    <w:p>
      <w:pPr>
        <w:spacing w:after="80" w:line="312"/>
        <w:ind w:left="720" w:hanging="260"/>
        <w:jc w:val="left"/>
      </w:pPr>
      <w:r>
        <w:rPr>
          <w:rFonts w:ascii="Calibri" w:eastAsia="Microsoft YaHei"/>
          <w:color w:val="333333"/>
          <w:sz w:val="24"/>
          <w:szCs w:val="24"/>
        </w:rPr>
        <w:t xml:space="preserve">• Contenido gramatical presentado de forma fragmentada, sin explicaciones sistematizadas.</w:t>
      </w:r>
    </w:p>
    <w:p>
      <w:pPr>
        <w:spacing w:after="80" w:line="312"/>
        <w:ind w:left="720" w:hanging="260"/>
        <w:jc w:val="left"/>
      </w:pPr>
      <w:r>
        <w:rPr>
          <w:rFonts w:ascii="Calibri" w:eastAsia="Microsoft YaHei"/>
          <w:color w:val="333333"/>
          <w:sz w:val="24"/>
          <w:szCs w:val="24"/>
        </w:rPr>
        <w:t xml:space="preserve">• El sistema de corazones/vidas puede ser desmotivador para niñas que cometen errores frecuentes.</w:t>
      </w:r>
    </w:p>
    <w:p>
      <w:pPr>
        <w:spacing w:after="80" w:line="312"/>
        <w:ind w:left="720" w:hanging="260"/>
        <w:jc w:val="left"/>
      </w:pPr>
      <w:r>
        <w:rPr>
          <w:rFonts w:ascii="Calibri" w:eastAsia="Microsoft YaHei"/>
          <w:color w:val="333333"/>
          <w:sz w:val="24"/>
          <w:szCs w:val="24"/>
        </w:rPr>
        <w:t xml:space="preserve">• No ofrece clases en vivo ni interacción con profesores reales.</w:t>
      </w:r>
    </w:p>
    <w:p>
      <w:pPr>
        <w:spacing w:after="80" w:line="312"/>
        <w:ind w:left="720" w:hanging="260"/>
        <w:jc w:val="left"/>
      </w:pPr>
      <w:r>
        <w:rPr>
          <w:rFonts w:ascii="Calibri" w:eastAsia="Microsoft YaHei"/>
          <w:color w:val="333333"/>
          <w:sz w:val="24"/>
          <w:szCs w:val="24"/>
        </w:rPr>
        <w:t xml:space="preserve">• La profundidad de los temas es limitada: un estudiante no alcanza fluidez real solo con Duolingo.</w:t>
      </w:r>
    </w:p>
    <w:p>
      <w:pPr>
        <w:pStyle w:val="Heading2"/>
        <w:spacing w:after="160" w:before="360" w:line="312"/>
      </w:pPr>
      <w:bookmarkStart w:id="100025" w:name="_Toc100025"/>
      <w:r>
        <w:rPr>
          <w:rFonts w:ascii="Calibri" w:eastAsia="Microsoft YaHei"/>
          <w:b/>
          <w:bCs/>
          <w:color w:val="5A7DB5"/>
          <w:sz w:val="28"/>
          <w:szCs w:val="28"/>
        </w:rPr>
        <w:t xml:space="preserve">6.2 Rosetta Stone</w:t>
      </w:r>
      <w:bookmarkEnd w:id="100025"/>
    </w:p>
    <w:p>
      <w:pPr>
        <w:spacing w:after="120" w:line="312"/>
        <w:ind w:firstLine="480"/>
        <w:jc w:val="both"/>
      </w:pPr>
      <w:r>
        <w:rPr>
          <w:rFonts w:ascii="Calibri" w:eastAsia="Microsoft YaHei"/>
          <w:color w:val="333333"/>
          <w:sz w:val="24"/>
          <w:szCs w:val="24"/>
        </w:rPr>
        <w:t xml:space="preserve">Rosetta Stone es una de las plataformas de aprendizaje de idiomas más antiguas y reconocidas del mundo, fundada en 1992. Su filosofía central es el método de inmersión dinámica (Dynamic Immersion), que busca reproducir la forma natural en que los niños aprenden su lengua materna: exponiendo al estudiante al idioma de manera exclusiva, sin traducciones ni explicaciones gramaticales explícitas. Su curso de inglés cuenta con 20 unidades estructuradas en 5 niveles que cubren desde A1 hasta B2.</w:t>
      </w:r>
    </w:p>
    <w:p>
      <w:pPr>
        <w:pStyle w:val="Heading3"/>
        <w:spacing w:after="120" w:before="240" w:line="312"/>
      </w:pPr>
      <w:bookmarkStart w:id="100026" w:name="_Toc100026"/>
      <w:r>
        <w:rPr>
          <w:rFonts w:ascii="Calibri" w:eastAsia="Microsoft YaHei"/>
          <w:b/>
          <w:bCs/>
          <w:color w:val="2B579A"/>
          <w:sz w:val="24"/>
          <w:szCs w:val="24"/>
        </w:rPr>
        <w:t xml:space="preserve">Metodología y estructura</w:t>
      </w:r>
      <w:bookmarkEnd w:id="100026"/>
    </w:p>
    <w:p>
      <w:pPr>
        <w:spacing w:after="120" w:line="312"/>
        <w:ind w:firstLine="480"/>
        <w:jc w:val="both"/>
      </w:pPr>
      <w:r>
        <w:rPr>
          <w:rFonts w:ascii="Calibri" w:eastAsia="Microsoft YaHei"/>
          <w:color w:val="333333"/>
          <w:sz w:val="24"/>
          <w:szCs w:val="24"/>
        </w:rPr>
        <w:t xml:space="preserve">El método de Rosetta Stone se basa en tres pilares: asociación visual-auditiva, repetición progresiva y retroalimentación inmediata. Cada lección presenta cuatro imágenes y un audio en inglés; el estudiante debe asociar el audio con la imagen correcta. A medida que avanza, las frases se vuelven más complejas y se introducen nuevos elementos gramaticales de forma inductiva. La plataforma incluye un sistema de reconocimiento de voz llamado TruAccent que evalúa la pronunciación con alta precisión. Adicionalmente, ofrece sesiones de tutoría en vivo con profesores nativos en grupos pequeños y actividades de lectura y escritura.</w:t>
      </w:r>
    </w:p>
    <w:p>
      <w:pPr>
        <w:pStyle w:val="Heading3"/>
        <w:spacing w:after="120" w:before="240" w:line="312"/>
      </w:pPr>
      <w:bookmarkStart w:id="100027" w:name="_Toc100027"/>
      <w:r>
        <w:rPr>
          <w:rFonts w:ascii="Calibri" w:eastAsia="Microsoft YaHei"/>
          <w:b/>
          <w:bCs/>
          <w:color w:val="2B579A"/>
          <w:sz w:val="24"/>
          <w:szCs w:val="24"/>
        </w:rPr>
        <w:t xml:space="preserve">Fortalezas</w:t>
      </w:r>
      <w:bookmarkEnd w:id="100027"/>
    </w:p>
    <w:p>
      <w:pPr>
        <w:spacing w:after="80" w:line="312"/>
        <w:ind w:left="720" w:hanging="260"/>
        <w:jc w:val="left"/>
      </w:pPr>
      <w:r>
        <w:rPr>
          <w:rFonts w:ascii="Calibri" w:eastAsia="Microsoft YaHei"/>
          <w:color w:val="333333"/>
          <w:sz w:val="24"/>
          <w:szCs w:val="24"/>
        </w:rPr>
        <w:t xml:space="preserve">• Inmersión total sin traducciones: desarrolla el pensamiento directo en inglés desde el inicio.</w:t>
      </w:r>
    </w:p>
    <w:p>
      <w:pPr>
        <w:spacing w:after="80" w:line="312"/>
        <w:ind w:left="720" w:hanging="260"/>
        <w:jc w:val="left"/>
      </w:pPr>
      <w:r>
        <w:rPr>
          <w:rFonts w:ascii="Calibri" w:eastAsia="Microsoft YaHei"/>
          <w:color w:val="333333"/>
          <w:sz w:val="24"/>
          <w:szCs w:val="24"/>
        </w:rPr>
        <w:t xml:space="preserve">• Reconocimiento de voz TruAccent: uno de los mejores sistemas de evaluación de pronunciación del mercado.</w:t>
      </w:r>
    </w:p>
    <w:p>
      <w:pPr>
        <w:spacing w:after="80" w:line="312"/>
        <w:ind w:left="720" w:hanging="260"/>
        <w:jc w:val="left"/>
      </w:pPr>
      <w:r>
        <w:rPr>
          <w:rFonts w:ascii="Calibri" w:eastAsia="Microsoft YaHei"/>
          <w:color w:val="333333"/>
          <w:sz w:val="24"/>
          <w:szCs w:val="24"/>
        </w:rPr>
        <w:t xml:space="preserve">• Lecciones estructuradas y progresivas con niveles claros alineados al CEFR.</w:t>
      </w:r>
    </w:p>
    <w:p>
      <w:pPr>
        <w:spacing w:after="80" w:line="312"/>
        <w:ind w:left="720" w:hanging="260"/>
        <w:jc w:val="left"/>
      </w:pPr>
      <w:r>
        <w:rPr>
          <w:rFonts w:ascii="Calibri" w:eastAsia="Microsoft YaHei"/>
          <w:color w:val="333333"/>
          <w:sz w:val="24"/>
          <w:szCs w:val="24"/>
        </w:rPr>
        <w:t xml:space="preserve">• Sesiones de tutoría en vivo con profesores nativos (en planes premium).</w:t>
      </w:r>
    </w:p>
    <w:p>
      <w:pPr>
        <w:spacing w:after="80" w:line="312"/>
        <w:ind w:left="720" w:hanging="260"/>
        <w:jc w:val="left"/>
      </w:pPr>
      <w:r>
        <w:rPr>
          <w:rFonts w:ascii="Calibri" w:eastAsia="Microsoft YaHei"/>
          <w:color w:val="333333"/>
          <w:sz w:val="24"/>
          <w:szCs w:val="24"/>
        </w:rPr>
        <w:t xml:space="preserve">• Contenido cultural que contextualiza el aprendizaje en situaciones reales.</w:t>
      </w:r>
    </w:p>
    <w:p>
      <w:pPr>
        <w:spacing w:after="80" w:line="312"/>
        <w:ind w:left="720" w:hanging="260"/>
        <w:jc w:val="left"/>
      </w:pPr>
      <w:r>
        <w:rPr>
          <w:rFonts w:ascii="Calibri" w:eastAsia="Microsoft YaHei"/>
          <w:color w:val="333333"/>
          <w:sz w:val="24"/>
          <w:szCs w:val="24"/>
        </w:rPr>
        <w:t xml:space="preserve">• Aprobado por instituciones educativas y gobiernos en todo el mundo.</w:t>
      </w:r>
    </w:p>
    <w:p>
      <w:pPr>
        <w:pStyle w:val="Heading3"/>
        <w:spacing w:after="120" w:before="240" w:line="312"/>
      </w:pPr>
      <w:bookmarkStart w:id="100028" w:name="_Toc100028"/>
      <w:r>
        <w:rPr>
          <w:rFonts w:ascii="Calibri" w:eastAsia="Microsoft YaHei"/>
          <w:b/>
          <w:bCs/>
          <w:color w:val="2B579A"/>
          <w:sz w:val="24"/>
          <w:szCs w:val="24"/>
        </w:rPr>
        <w:t xml:space="preserve">Debilidades</w:t>
      </w:r>
      <w:bookmarkEnd w:id="100028"/>
    </w:p>
    <w:p>
      <w:pPr>
        <w:spacing w:after="80" w:line="312"/>
        <w:ind w:left="720" w:hanging="260"/>
        <w:jc w:val="left"/>
      </w:pPr>
      <w:r>
        <w:rPr>
          <w:rFonts w:ascii="Calibri" w:eastAsia="Microsoft YaHei"/>
          <w:color w:val="333333"/>
          <w:sz w:val="24"/>
          <w:szCs w:val="24"/>
        </w:rPr>
        <w:t xml:space="preserve">• Precio elevado: las suscripciones oscilan entre 12 y 20 dólares mensuales, inaccesible para muchas familias.</w:t>
      </w:r>
    </w:p>
    <w:p>
      <w:pPr>
        <w:spacing w:after="80" w:line="312"/>
        <w:ind w:left="720" w:hanging="260"/>
        <w:jc w:val="left"/>
      </w:pPr>
      <w:r>
        <w:rPr>
          <w:rFonts w:ascii="Calibri" w:eastAsia="Microsoft YaHei"/>
          <w:color w:val="333333"/>
          <w:sz w:val="24"/>
          <w:szCs w:val="24"/>
        </w:rPr>
        <w:t xml:space="preserve">• Puede resultar frustrante para principiantes absolutos que no comprenden absolutamente nada de inglés.</w:t>
      </w:r>
    </w:p>
    <w:p>
      <w:pPr>
        <w:spacing w:after="80" w:line="312"/>
        <w:ind w:left="720" w:hanging="260"/>
        <w:jc w:val="left"/>
      </w:pPr>
      <w:r>
        <w:rPr>
          <w:rFonts w:ascii="Calibri" w:eastAsia="Microsoft YaHei"/>
          <w:color w:val="333333"/>
          <w:sz w:val="24"/>
          <w:szCs w:val="24"/>
        </w:rPr>
        <w:t xml:space="preserve">• Interfaz visual que puede percibirse como anticuada en comparación con aplicaciones modernas.</w:t>
      </w:r>
    </w:p>
    <w:p>
      <w:pPr>
        <w:spacing w:after="80" w:line="312"/>
        <w:ind w:left="720" w:hanging="260"/>
        <w:jc w:val="left"/>
      </w:pPr>
      <w:r>
        <w:rPr>
          <w:rFonts w:ascii="Calibri" w:eastAsia="Microsoft YaHei"/>
          <w:color w:val="333333"/>
          <w:sz w:val="24"/>
          <w:szCs w:val="24"/>
        </w:rPr>
        <w:t xml:space="preserve">• Limitada gamificación: carece de elementos como rachas, niveles o recompensas visuales que motiven a niñas.</w:t>
      </w:r>
    </w:p>
    <w:p>
      <w:pPr>
        <w:spacing w:after="80" w:line="312"/>
        <w:ind w:left="720" w:hanging="260"/>
        <w:jc w:val="left"/>
      </w:pPr>
      <w:r>
        <w:rPr>
          <w:rFonts w:ascii="Calibri" w:eastAsia="Microsoft YaHei"/>
          <w:color w:val="333333"/>
          <w:sz w:val="24"/>
          <w:szCs w:val="24"/>
        </w:rPr>
        <w:t xml:space="preserve">• No está diseñado específicamente para público infantil.</w:t>
      </w:r>
    </w:p>
    <w:p>
      <w:pPr>
        <w:pStyle w:val="Heading2"/>
        <w:spacing w:after="160" w:before="360" w:line="312"/>
      </w:pPr>
      <w:bookmarkStart w:id="100029" w:name="_Toc100029"/>
      <w:r>
        <w:rPr>
          <w:rFonts w:ascii="Calibri" w:eastAsia="Microsoft YaHei"/>
          <w:b/>
          <w:bCs/>
          <w:color w:val="5A7DB5"/>
          <w:sz w:val="28"/>
          <w:szCs w:val="28"/>
        </w:rPr>
        <w:t xml:space="preserve">6.3 Open English</w:t>
      </w:r>
      <w:bookmarkEnd w:id="100029"/>
    </w:p>
    <w:p>
      <w:pPr>
        <w:spacing w:after="120" w:line="312"/>
        <w:ind w:firstLine="480"/>
        <w:jc w:val="both"/>
      </w:pPr>
      <w:r>
        <w:rPr>
          <w:rFonts w:ascii="Calibri" w:eastAsia="Microsoft YaHei"/>
          <w:color w:val="333333"/>
          <w:sz w:val="24"/>
          <w:szCs w:val="24"/>
        </w:rPr>
        <w:t xml:space="preserve">Open English es una plataforma de aprendizaje de inglés en línea fundada en América Latina en 2007, diseñada específicamente para el mercado hispanohablante. Su modelo se basa en la combinación de clases en vivo con profesores nativos certificados, ejercicios interactivos y un plan de estudios estructurado en 8 niveles alineados al CEFR. A diferencia de Duolingo o Rosetta Stone, Open English ofrece una experiencia más cercana a la educación tradicional, pero en un formato 100% digital y flexible.</w:t>
      </w:r>
    </w:p>
    <w:p>
      <w:pPr>
        <w:pStyle w:val="Heading3"/>
        <w:spacing w:after="120" w:before="240" w:line="312"/>
      </w:pPr>
      <w:bookmarkStart w:id="100030" w:name="_Toc100030"/>
      <w:r>
        <w:rPr>
          <w:rFonts w:ascii="Calibri" w:eastAsia="Microsoft YaHei"/>
          <w:b/>
          <w:bCs/>
          <w:color w:val="2B579A"/>
          <w:sz w:val="24"/>
          <w:szCs w:val="24"/>
        </w:rPr>
        <w:t xml:space="preserve">Metodología y estructura</w:t>
      </w:r>
      <w:bookmarkEnd w:id="100030"/>
    </w:p>
    <w:p>
      <w:pPr>
        <w:spacing w:after="120" w:line="312"/>
        <w:ind w:firstLine="480"/>
        <w:jc w:val="both"/>
      </w:pPr>
      <w:r>
        <w:rPr>
          <w:rFonts w:ascii="Calibri" w:eastAsia="Microsoft YaHei"/>
          <w:color w:val="333333"/>
          <w:sz w:val="24"/>
          <w:szCs w:val="24"/>
        </w:rPr>
        <w:t xml:space="preserve">Open English organiza su plan de estudios en 8 niveles: Principiante (A1), Elemental (A2), Pre-Intermedio (A2+), Intermedio (B1), Intermedio Alto (B1+), Avanzado I (B2), Avanzado II (B2+) y Maestría (C1). Cada nivel incluye clases en vivo de 45 minutos disponibles las 24 horas del día, 7 días a la semana, con un máximo de 5 estudiantes por clase. Además, ofrece ejercicios interactivos de vocabulario, gramática, comprensión auditiva y lectura, así como una herramienta de pronunciación con retroalimentación automatizada. La plataforma utiliza un modelo de suscripción mensual con compromiso de 6 meses a 1 año.</w:t>
      </w:r>
    </w:p>
    <w:p>
      <w:pPr>
        <w:pStyle w:val="Heading3"/>
        <w:spacing w:after="120" w:before="240" w:line="312"/>
      </w:pPr>
      <w:bookmarkStart w:id="100031" w:name="_Toc100031"/>
      <w:r>
        <w:rPr>
          <w:rFonts w:ascii="Calibri" w:eastAsia="Microsoft YaHei"/>
          <w:b/>
          <w:bCs/>
          <w:color w:val="2B579A"/>
          <w:sz w:val="24"/>
          <w:szCs w:val="24"/>
        </w:rPr>
        <w:t xml:space="preserve">Fortalezas</w:t>
      </w:r>
      <w:bookmarkEnd w:id="100031"/>
    </w:p>
    <w:p>
      <w:pPr>
        <w:spacing w:after="80" w:line="312"/>
        <w:ind w:left="720" w:hanging="260"/>
        <w:jc w:val="left"/>
      </w:pPr>
      <w:r>
        <w:rPr>
          <w:rFonts w:ascii="Calibri" w:eastAsia="Microsoft YaHei"/>
          <w:color w:val="333333"/>
          <w:sz w:val="24"/>
          <w:szCs w:val="24"/>
        </w:rPr>
        <w:t xml:space="preserve">• Clases en vivo con profesores nativos: la interacción humana real es el componente más fuerte.</w:t>
      </w:r>
    </w:p>
    <w:p>
      <w:pPr>
        <w:spacing w:after="80" w:line="312"/>
        <w:ind w:left="720" w:hanging="260"/>
        <w:jc w:val="left"/>
      </w:pPr>
      <w:r>
        <w:rPr>
          <w:rFonts w:ascii="Calibri" w:eastAsia="Microsoft YaHei"/>
          <w:color w:val="333333"/>
          <w:sz w:val="24"/>
          <w:szCs w:val="24"/>
        </w:rPr>
        <w:t xml:space="preserve">• Disponibilidad 24/7: las clases se pueden tomar en cualquier horario, adaptándose a la rutina familiar.</w:t>
      </w:r>
    </w:p>
    <w:p>
      <w:pPr>
        <w:spacing w:after="80" w:line="312"/>
        <w:ind w:left="720" w:hanging="260"/>
        <w:jc w:val="left"/>
      </w:pPr>
      <w:r>
        <w:rPr>
          <w:rFonts w:ascii="Calibri" w:eastAsia="Microsoft YaHei"/>
          <w:color w:val="333333"/>
          <w:sz w:val="24"/>
          <w:szCs w:val="24"/>
        </w:rPr>
        <w:t xml:space="preserve">• Grupos pequeños (máximo 5 estudiantes): garantiza participación activa y atención personalizada.</w:t>
      </w:r>
    </w:p>
    <w:p>
      <w:pPr>
        <w:spacing w:after="80" w:line="312"/>
        <w:ind w:left="720" w:hanging="260"/>
        <w:jc w:val="left"/>
      </w:pPr>
      <w:r>
        <w:rPr>
          <w:rFonts w:ascii="Calibri" w:eastAsia="Microsoft YaHei"/>
          <w:color w:val="333333"/>
          <w:sz w:val="24"/>
          <w:szCs w:val="24"/>
        </w:rPr>
        <w:t xml:space="preserve">• Plan de estudios completo alineado al CEFR con 8 niveles claramente definidos.</w:t>
      </w:r>
    </w:p>
    <w:p>
      <w:pPr>
        <w:spacing w:after="80" w:line="312"/>
        <w:ind w:left="720" w:hanging="260"/>
        <w:jc w:val="left"/>
      </w:pPr>
      <w:r>
        <w:rPr>
          <w:rFonts w:ascii="Calibri" w:eastAsia="Microsoft YaHei"/>
          <w:color w:val="333333"/>
          <w:sz w:val="24"/>
          <w:szCs w:val="24"/>
        </w:rPr>
        <w:t xml:space="preserve">• Diseñado para hispanohablantes: interfaz y contenido adaptados al público latinoamericano.</w:t>
      </w:r>
    </w:p>
    <w:p>
      <w:pPr>
        <w:pStyle w:val="Heading3"/>
        <w:spacing w:after="120" w:before="240" w:line="312"/>
      </w:pPr>
      <w:bookmarkStart w:id="100032" w:name="_Toc100032"/>
      <w:r>
        <w:rPr>
          <w:rFonts w:ascii="Calibri" w:eastAsia="Microsoft YaHei"/>
          <w:b/>
          <w:bCs/>
          <w:color w:val="2B579A"/>
          <w:sz w:val="24"/>
          <w:szCs w:val="24"/>
        </w:rPr>
        <w:t xml:space="preserve">Debilidades</w:t>
      </w:r>
      <w:bookmarkEnd w:id="100032"/>
    </w:p>
    <w:p>
      <w:pPr>
        <w:spacing w:after="80" w:line="312"/>
        <w:ind w:left="720" w:hanging="260"/>
        <w:jc w:val="left"/>
      </w:pPr>
      <w:r>
        <w:rPr>
          <w:rFonts w:ascii="Calibri" w:eastAsia="Microsoft YaHei"/>
          <w:color w:val="333333"/>
          <w:sz w:val="24"/>
          <w:szCs w:val="24"/>
        </w:rPr>
        <w:t xml:space="preserve">• Precio elevado: las suscripciones oscilan entre 80 y 150 dólares mensuales, con contratos de medio año a un año.</w:t>
      </w:r>
    </w:p>
    <w:p>
      <w:pPr>
        <w:spacing w:after="80" w:line="312"/>
        <w:ind w:left="720" w:hanging="260"/>
        <w:jc w:val="left"/>
      </w:pPr>
      <w:r>
        <w:rPr>
          <w:rFonts w:ascii="Calibri" w:eastAsia="Microsoft YaHei"/>
          <w:color w:val="333333"/>
          <w:sz w:val="24"/>
          <w:szCs w:val="24"/>
        </w:rPr>
        <w:t xml:space="preserve">• No está diseñado para niños: las clases y el contenido están orientados a adultos y jóvenes.</w:t>
      </w:r>
    </w:p>
    <w:p>
      <w:pPr>
        <w:spacing w:after="80" w:line="312"/>
        <w:ind w:left="720" w:hanging="260"/>
        <w:jc w:val="left"/>
      </w:pPr>
      <w:r>
        <w:rPr>
          <w:rFonts w:ascii="Calibri" w:eastAsia="Microsoft YaHei"/>
          <w:color w:val="333333"/>
          <w:sz w:val="24"/>
          <w:szCs w:val="24"/>
        </w:rPr>
        <w:t xml:space="preserve">• Requiere conexión a internet estable y horarios fijos para las clases en vivo.</w:t>
      </w:r>
    </w:p>
    <w:p>
      <w:pPr>
        <w:spacing w:after="80" w:line="312"/>
        <w:ind w:left="720" w:hanging="260"/>
        <w:jc w:val="left"/>
      </w:pPr>
      <w:r>
        <w:rPr>
          <w:rFonts w:ascii="Calibri" w:eastAsia="Microsoft YaHei"/>
          <w:color w:val="333333"/>
          <w:sz w:val="24"/>
          <w:szCs w:val="24"/>
        </w:rPr>
        <w:t xml:space="preserve">• La gamificación es prácticamente inexistente: la motivación depende del estudiante.</w:t>
      </w:r>
    </w:p>
    <w:p>
      <w:pPr>
        <w:spacing w:after="80" w:line="312"/>
        <w:ind w:left="720" w:hanging="260"/>
        <w:jc w:val="left"/>
      </w:pPr>
      <w:r>
        <w:rPr>
          <w:rFonts w:ascii="Calibri" w:eastAsia="Microsoft YaHei"/>
          <w:color w:val="333333"/>
          <w:sz w:val="24"/>
          <w:szCs w:val="24"/>
        </w:rPr>
        <w:t xml:space="preserve">• El modelo de contrato a largo plazo puede ser una barrera de entrada para familias.</w:t>
      </w:r>
    </w:p>
    <w:p>
      <w:pPr>
        <w:pStyle w:val="Heading2"/>
        <w:spacing w:after="160" w:before="360" w:line="312"/>
      </w:pPr>
      <w:bookmarkStart w:id="100033" w:name="_Toc100033"/>
      <w:r>
        <w:rPr>
          <w:rFonts w:ascii="Calibri" w:eastAsia="Microsoft YaHei"/>
          <w:b/>
          <w:bCs/>
          <w:color w:val="5A7DB5"/>
          <w:sz w:val="28"/>
          <w:szCs w:val="28"/>
        </w:rPr>
        <w:t xml:space="preserve">6.4 Políglota</w:t>
      </w:r>
      <w:bookmarkEnd w:id="100033"/>
    </w:p>
    <w:p>
      <w:pPr>
        <w:spacing w:after="120" w:line="312"/>
        <w:ind w:firstLine="480"/>
        <w:jc w:val="both"/>
      </w:pPr>
      <w:r>
        <w:rPr>
          <w:rFonts w:ascii="Calibri" w:eastAsia="Microsoft YaHei"/>
          <w:color w:val="333333"/>
          <w:sz w:val="24"/>
          <w:szCs w:val="24"/>
        </w:rPr>
        <w:t xml:space="preserve">Políglota es una plataforma de aprendizaje de idiomas con sede en Chile que se ha posicionado como una alternativa popular en América Latina, particularmente entre jóvenes profesionales y universitarios. Su propuesta de valor se centra en el método social: aprender idiomas conversando en grupos pequeños con coaches nativos o de nivel avanzado. A diferencia de Duolingo o Rosetta Stone, Políglota no es una aplicación auto-dirigida sino una plataforma que combina la flexibilidad del aprendizaje en línea con la interacción social de las clases presenciales.</w:t>
      </w:r>
    </w:p>
    <w:p>
      <w:pPr>
        <w:pStyle w:val="Heading3"/>
        <w:spacing w:after="120" w:before="240" w:line="312"/>
      </w:pPr>
      <w:bookmarkStart w:id="100034" w:name="_Toc100034"/>
      <w:r>
        <w:rPr>
          <w:rFonts w:ascii="Calibri" w:eastAsia="Microsoft YaHei"/>
          <w:b/>
          <w:bCs/>
          <w:color w:val="2B579A"/>
          <w:sz w:val="24"/>
          <w:szCs w:val="24"/>
        </w:rPr>
        <w:t xml:space="preserve">Metodología y estructura</w:t>
      </w:r>
      <w:bookmarkEnd w:id="100034"/>
    </w:p>
    <w:p>
      <w:pPr>
        <w:spacing w:after="120" w:line="312"/>
        <w:ind w:firstLine="480"/>
        <w:jc w:val="both"/>
      </w:pPr>
      <w:r>
        <w:rPr>
          <w:rFonts w:ascii="Calibri" w:eastAsia="Microsoft YaHei"/>
          <w:color w:val="333333"/>
          <w:sz w:val="24"/>
          <w:szCs w:val="24"/>
        </w:rPr>
        <w:t xml:space="preserve">El método de Políglota se basa en cuatro principios fundamentales: aprendizaje en grupos, formato online, énfasis en la conversación y progresión por niveles. La plataforma ofrece 5 niveles de manejo del idioma y las clases se imparten en grupos reducidos de 2 a 6 estudiantes, con sesiones de 45 a 60 minutos. Cada sesión se enfoca predominantemente en la práctica conversacional, complementada con ejercicios de vocabulario y gramática integrados en la conversación. Los coaches fomentan un ambiente relajado donde equivocarse es parte natural del proceso de aprendizaje.</w:t>
      </w:r>
    </w:p>
    <w:p>
      <w:pPr>
        <w:pStyle w:val="Heading3"/>
        <w:spacing w:after="120" w:before="240" w:line="312"/>
      </w:pPr>
      <w:bookmarkStart w:id="100035" w:name="_Toc100035"/>
      <w:r>
        <w:rPr>
          <w:rFonts w:ascii="Calibri" w:eastAsia="Microsoft YaHei"/>
          <w:b/>
          <w:bCs/>
          <w:color w:val="2B579A"/>
          <w:sz w:val="24"/>
          <w:szCs w:val="24"/>
        </w:rPr>
        <w:t xml:space="preserve">Fortalezas</w:t>
      </w:r>
      <w:bookmarkEnd w:id="100035"/>
    </w:p>
    <w:p>
      <w:pPr>
        <w:spacing w:after="80" w:line="312"/>
        <w:ind w:left="720" w:hanging="260"/>
        <w:jc w:val="left"/>
      </w:pPr>
      <w:r>
        <w:rPr>
          <w:rFonts w:ascii="Calibri" w:eastAsia="Microsoft YaHei"/>
          <w:color w:val="333333"/>
          <w:sz w:val="24"/>
          <w:szCs w:val="24"/>
        </w:rPr>
        <w:t xml:space="preserve">• Fuerte énfasis en la conversación: las estudiantes practican speaking desde la primera clase.</w:t>
      </w:r>
    </w:p>
    <w:p>
      <w:pPr>
        <w:spacing w:after="80" w:line="312"/>
        <w:ind w:left="720" w:hanging="260"/>
        <w:jc w:val="left"/>
      </w:pPr>
      <w:r>
        <w:rPr>
          <w:rFonts w:ascii="Calibri" w:eastAsia="Microsoft YaHei"/>
          <w:color w:val="333333"/>
          <w:sz w:val="24"/>
          <w:szCs w:val="24"/>
        </w:rPr>
        <w:t xml:space="preserve">• Ambiente social y motivador: aprender en grupo reduce la ansiedad y crea sentido de comunidad.</w:t>
      </w:r>
    </w:p>
    <w:p>
      <w:pPr>
        <w:spacing w:after="80" w:line="312"/>
        <w:ind w:left="720" w:hanging="260"/>
        <w:jc w:val="left"/>
      </w:pPr>
      <w:r>
        <w:rPr>
          <w:rFonts w:ascii="Calibri" w:eastAsia="Microsoft YaHei"/>
          <w:color w:val="333333"/>
          <w:sz w:val="24"/>
          <w:szCs w:val="24"/>
        </w:rPr>
        <w:t xml:space="preserve">• Coaches nativos o bilingües avanzados que proporcionan feedback en tiempo real.</w:t>
      </w:r>
    </w:p>
    <w:p>
      <w:pPr>
        <w:spacing w:after="80" w:line="312"/>
        <w:ind w:left="720" w:hanging="260"/>
        <w:jc w:val="left"/>
      </w:pPr>
      <w:r>
        <w:rPr>
          <w:rFonts w:ascii="Calibri" w:eastAsia="Microsoft YaHei"/>
          <w:color w:val="333333"/>
          <w:sz w:val="24"/>
          <w:szCs w:val="24"/>
        </w:rPr>
        <w:t xml:space="preserve">• Formato flexible y relajado: las clases no se sienten como clases tradicionales.</w:t>
      </w:r>
    </w:p>
    <w:p>
      <w:pPr>
        <w:spacing w:after="80" w:line="312"/>
        <w:ind w:left="720" w:hanging="260"/>
        <w:jc w:val="left"/>
      </w:pPr>
      <w:r>
        <w:rPr>
          <w:rFonts w:ascii="Calibri" w:eastAsia="Microsoft YaHei"/>
          <w:color w:val="333333"/>
          <w:sz w:val="24"/>
          <w:szCs w:val="24"/>
        </w:rPr>
        <w:t xml:space="preserve">• Precios más accesibles que Open English (entre 40 y 80 dólares mensuales).</w:t>
      </w:r>
    </w:p>
    <w:p>
      <w:pPr>
        <w:pStyle w:val="Heading3"/>
        <w:spacing w:after="120" w:before="240" w:line="312"/>
      </w:pPr>
      <w:bookmarkStart w:id="100036" w:name="_Toc100036"/>
      <w:r>
        <w:rPr>
          <w:rFonts w:ascii="Calibri" w:eastAsia="Microsoft YaHei"/>
          <w:b/>
          <w:bCs/>
          <w:color w:val="2B579A"/>
          <w:sz w:val="24"/>
          <w:szCs w:val="24"/>
        </w:rPr>
        <w:t xml:space="preserve">Debilidades</w:t>
      </w:r>
      <w:bookmarkEnd w:id="100036"/>
    </w:p>
    <w:p>
      <w:pPr>
        <w:spacing w:after="80" w:line="312"/>
        <w:ind w:left="720" w:hanging="260"/>
        <w:jc w:val="left"/>
      </w:pPr>
      <w:r>
        <w:rPr>
          <w:rFonts w:ascii="Calibri" w:eastAsia="Microsoft YaHei"/>
          <w:color w:val="333333"/>
          <w:sz w:val="24"/>
          <w:szCs w:val="24"/>
        </w:rPr>
        <w:t xml:space="preserve">• No está diseñada para niños: el contenido y la dinámica grupal están orientados a adultos.</w:t>
      </w:r>
    </w:p>
    <w:p>
      <w:pPr>
        <w:spacing w:after="80" w:line="312"/>
        <w:ind w:left="720" w:hanging="260"/>
        <w:jc w:val="left"/>
      </w:pPr>
      <w:r>
        <w:rPr>
          <w:rFonts w:ascii="Calibri" w:eastAsia="Microsoft YaHei"/>
          <w:color w:val="333333"/>
          <w:sz w:val="24"/>
          <w:szCs w:val="24"/>
        </w:rPr>
        <w:t xml:space="preserve">• Oferta limitada de idiomas en comparación con competidores.</w:t>
      </w:r>
    </w:p>
    <w:p>
      <w:pPr>
        <w:spacing w:after="80" w:line="312"/>
        <w:ind w:left="720" w:hanging="260"/>
        <w:jc w:val="left"/>
      </w:pPr>
      <w:r>
        <w:rPr>
          <w:rFonts w:ascii="Calibri" w:eastAsia="Microsoft YaHei"/>
          <w:color w:val="333333"/>
          <w:sz w:val="24"/>
          <w:szCs w:val="24"/>
        </w:rPr>
        <w:t xml:space="preserve">• Menos estructura curricular formal que Duolingo o Open English.</w:t>
      </w:r>
    </w:p>
    <w:p>
      <w:pPr>
        <w:spacing w:after="80" w:line="312"/>
        <w:ind w:left="720" w:hanging="260"/>
        <w:jc w:val="left"/>
      </w:pPr>
      <w:r>
        <w:rPr>
          <w:rFonts w:ascii="Calibri" w:eastAsia="Microsoft YaHei"/>
          <w:color w:val="333333"/>
          <w:sz w:val="24"/>
          <w:szCs w:val="24"/>
        </w:rPr>
        <w:t xml:space="preserve">• Dependencia de la disponibilidad de coaches y horarios de clases grupales.</w:t>
      </w:r>
    </w:p>
    <w:p>
      <w:pPr>
        <w:spacing w:after="80" w:line="312"/>
        <w:ind w:left="720" w:hanging="260"/>
        <w:jc w:val="left"/>
      </w:pPr>
      <w:r>
        <w:rPr>
          <w:rFonts w:ascii="Calibri" w:eastAsia="Microsoft YaHei"/>
          <w:color w:val="333333"/>
          <w:sz w:val="24"/>
          <w:szCs w:val="24"/>
        </w:rPr>
        <w:t xml:space="preserve">• Falta de herramientas de gamificación o contenido interactivo fuera de las clases.</w:t>
      </w:r>
    </w:p>
    <w:p>
      <w:pPr>
        <w:pStyle w:val="Heading2"/>
        <w:spacing w:after="160" w:before="360" w:line="312"/>
      </w:pPr>
      <w:bookmarkStart w:id="100037" w:name="_Toc100037"/>
      <w:r>
        <w:rPr>
          <w:rFonts w:ascii="Calibri" w:eastAsia="Microsoft YaHei"/>
          <w:b/>
          <w:bCs/>
          <w:color w:val="5A7DB5"/>
          <w:sz w:val="28"/>
          <w:szCs w:val="28"/>
        </w:rPr>
        <w:t xml:space="preserve">6.5 Lingokids</w:t>
      </w:r>
      <w:bookmarkEnd w:id="100037"/>
    </w:p>
    <w:p>
      <w:pPr>
        <w:spacing w:after="120" w:line="312"/>
        <w:ind w:firstLine="480"/>
        <w:jc w:val="both"/>
      </w:pPr>
      <w:r>
        <w:rPr>
          <w:rFonts w:ascii="Calibri" w:eastAsia="Microsoft YaHei"/>
          <w:color w:val="333333"/>
          <w:sz w:val="24"/>
          <w:szCs w:val="24"/>
        </w:rPr>
        <w:t xml:space="preserve">Lingokids es una plataforma de aprendizaje de inglés diseñada específicamente para niños de 2 a 8 años. Con sede en España y presencia global, Lingokids utiliza su metodología propia llamada Playlearning, que combina aprendizaje basado en el juego (play-based learning) con contenidos curriculares diseñados por expertos en educación infantil. Es la plataforma más directamente comparable con el proyecto propuesto en este documento, dado su enfoque infantil y su modelo de gamificación extensiva.</w:t>
      </w:r>
    </w:p>
    <w:p>
      <w:pPr>
        <w:pStyle w:val="Heading3"/>
        <w:spacing w:after="120" w:before="240" w:line="312"/>
      </w:pPr>
      <w:bookmarkStart w:id="100038" w:name="_Toc100038"/>
      <w:r>
        <w:rPr>
          <w:rFonts w:ascii="Calibri" w:eastAsia="Microsoft YaHei"/>
          <w:b/>
          <w:bCs/>
          <w:color w:val="2B579A"/>
          <w:sz w:val="24"/>
          <w:szCs w:val="24"/>
        </w:rPr>
        <w:t xml:space="preserve">Metodología y estructura</w:t>
      </w:r>
      <w:bookmarkEnd w:id="100038"/>
    </w:p>
    <w:p>
      <w:pPr>
        <w:spacing w:after="120" w:line="312"/>
        <w:ind w:firstLine="480"/>
        <w:jc w:val="both"/>
      </w:pPr>
      <w:r>
        <w:rPr>
          <w:rFonts w:ascii="Calibri" w:eastAsia="Microsoft YaHei"/>
          <w:color w:val="333333"/>
          <w:sz w:val="24"/>
          <w:szCs w:val="24"/>
        </w:rPr>
        <w:t xml:space="preserve">Lingokids organiza su contenido en actividades de corta duración (5-10 minutos) que combinan canciones originales, videos animados, juegos interactivos, ejercicios de trazado, rompecabezas y actividades de colorear. El plan de estudios está estructurado por grupos de edad (2-3, 4-5, 6-8 años) y cubre vocabulario, gramática básica, comprensión auditiva y habilidades socioemocionales. La plataforma no sigue una estructura formal por niveles CEFR, pero su contenido progresivo cubre aproximadamente los niveles A1 y parte de A2. Los personajes animados —Billy, Cowy, Lisa y compañía— guían a los niños a través de las actividades, creando un vínculo emocional que favorece la retención.</w:t>
      </w:r>
    </w:p>
    <w:p>
      <w:pPr>
        <w:pStyle w:val="Heading3"/>
        <w:spacing w:after="120" w:before="240" w:line="312"/>
      </w:pPr>
      <w:bookmarkStart w:id="100039" w:name="_Toc100039"/>
      <w:r>
        <w:rPr>
          <w:rFonts w:ascii="Calibri" w:eastAsia="Microsoft YaHei"/>
          <w:b/>
          <w:bCs/>
          <w:color w:val="2B579A"/>
          <w:sz w:val="24"/>
          <w:szCs w:val="24"/>
        </w:rPr>
        <w:t xml:space="preserve">Fortalezas</w:t>
      </w:r>
      <w:bookmarkEnd w:id="100039"/>
    </w:p>
    <w:p>
      <w:pPr>
        <w:spacing w:after="80" w:line="312"/>
        <w:ind w:left="720" w:hanging="260"/>
        <w:jc w:val="left"/>
      </w:pPr>
      <w:r>
        <w:rPr>
          <w:rFonts w:ascii="Calibri" w:eastAsia="Microsoft YaHei"/>
          <w:color w:val="333333"/>
          <w:sz w:val="24"/>
          <w:szCs w:val="24"/>
        </w:rPr>
        <w:t xml:space="preserve">• Diseñado específicamente para niños: interfaz, contenido y personajes adaptados al público infantil.</w:t>
      </w:r>
    </w:p>
    <w:p>
      <w:pPr>
        <w:spacing w:after="80" w:line="312"/>
        <w:ind w:left="720" w:hanging="260"/>
        <w:jc w:val="left"/>
      </w:pPr>
      <w:r>
        <w:rPr>
          <w:rFonts w:ascii="Calibri" w:eastAsia="Microsoft YaHei"/>
          <w:color w:val="333333"/>
          <w:sz w:val="24"/>
          <w:szCs w:val="24"/>
        </w:rPr>
        <w:t xml:space="preserve">• Metodología Playlearning: el aprendizaje ocurre de forma natural a través del juego.</w:t>
      </w:r>
    </w:p>
    <w:p>
      <w:pPr>
        <w:spacing w:after="80" w:line="312"/>
        <w:ind w:left="720" w:hanging="260"/>
        <w:jc w:val="left"/>
      </w:pPr>
      <w:r>
        <w:rPr>
          <w:rFonts w:ascii="Calibri" w:eastAsia="Microsoft YaHei"/>
          <w:color w:val="333333"/>
          <w:sz w:val="24"/>
          <w:szCs w:val="24"/>
        </w:rPr>
        <w:t xml:space="preserve">• Contenido de alta calidad: canciones originales, animaciones profesionales y actividades variadas.</w:t>
      </w:r>
    </w:p>
    <w:p>
      <w:pPr>
        <w:spacing w:after="80" w:line="312"/>
        <w:ind w:left="720" w:hanging="260"/>
        <w:jc w:val="left"/>
      </w:pPr>
      <w:r>
        <w:rPr>
          <w:rFonts w:ascii="Calibri" w:eastAsia="Microsoft YaHei"/>
          <w:color w:val="333333"/>
          <w:sz w:val="24"/>
          <w:szCs w:val="24"/>
        </w:rPr>
        <w:t xml:space="preserve">• Desarrollo integral: incluye habilidades socioemocionales (emociones, higiene, valores) además de inglés.</w:t>
      </w:r>
    </w:p>
    <w:p>
      <w:pPr>
        <w:spacing w:after="80" w:line="312"/>
        <w:ind w:left="720" w:hanging="260"/>
        <w:jc w:val="left"/>
      </w:pPr>
      <w:r>
        <w:rPr>
          <w:rFonts w:ascii="Calibri" w:eastAsia="Microsoft YaHei"/>
          <w:color w:val="333333"/>
          <w:sz w:val="24"/>
          <w:szCs w:val="24"/>
        </w:rPr>
        <w:t xml:space="preserve">• Reporte de progreso para padres: permite a los adultos monitorear el avance de sus hijos.</w:t>
      </w:r>
    </w:p>
    <w:p>
      <w:pPr>
        <w:spacing w:after="80" w:line="312"/>
        <w:ind w:left="720" w:hanging="260"/>
        <w:jc w:val="left"/>
      </w:pPr>
      <w:r>
        <w:rPr>
          <w:rFonts w:ascii="Calibri" w:eastAsia="Microsoft YaHei"/>
          <w:color w:val="333333"/>
          <w:sz w:val="24"/>
          <w:szCs w:val="24"/>
        </w:rPr>
        <w:t xml:space="preserve">• Control parental robusto: límites de tiempo de pantalla, ausencia de publicidad.</w:t>
      </w:r>
    </w:p>
    <w:p>
      <w:pPr>
        <w:pStyle w:val="Heading3"/>
        <w:spacing w:after="120" w:before="240" w:line="312"/>
      </w:pPr>
      <w:bookmarkStart w:id="100040" w:name="_Toc100040"/>
      <w:r>
        <w:rPr>
          <w:rFonts w:ascii="Calibri" w:eastAsia="Microsoft YaHei"/>
          <w:b/>
          <w:bCs/>
          <w:color w:val="2B579A"/>
          <w:sz w:val="24"/>
          <w:szCs w:val="24"/>
        </w:rPr>
        <w:t xml:space="preserve">Debilidades</w:t>
      </w:r>
      <w:bookmarkEnd w:id="100040"/>
    </w:p>
    <w:p>
      <w:pPr>
        <w:spacing w:after="80" w:line="312"/>
        <w:ind w:left="720" w:hanging="260"/>
        <w:jc w:val="left"/>
      </w:pPr>
      <w:r>
        <w:rPr>
          <w:rFonts w:ascii="Calibri" w:eastAsia="Microsoft YaHei"/>
          <w:color w:val="333333"/>
          <w:sz w:val="24"/>
          <w:szCs w:val="24"/>
        </w:rPr>
        <w:t xml:space="preserve">• Alcance limitado en niveles avanzados: el contenido no supera el nivel A2.</w:t>
      </w:r>
    </w:p>
    <w:p>
      <w:pPr>
        <w:spacing w:after="80" w:line="312"/>
        <w:ind w:left="720" w:hanging="260"/>
        <w:jc w:val="left"/>
      </w:pPr>
      <w:r>
        <w:rPr>
          <w:rFonts w:ascii="Calibri" w:eastAsia="Microsoft YaHei"/>
          <w:color w:val="333333"/>
          <w:sz w:val="24"/>
          <w:szCs w:val="24"/>
        </w:rPr>
        <w:t xml:space="preserve">• Poca énfasis en gramática explícita: la gramática se aprende de forma incidental.</w:t>
      </w:r>
    </w:p>
    <w:p>
      <w:pPr>
        <w:spacing w:after="80" w:line="312"/>
        <w:ind w:left="720" w:hanging="260"/>
        <w:jc w:val="left"/>
      </w:pPr>
      <w:r>
        <w:rPr>
          <w:rFonts w:ascii="Calibri" w:eastAsia="Microsoft YaHei"/>
          <w:color w:val="333333"/>
          <w:sz w:val="24"/>
          <w:szCs w:val="24"/>
        </w:rPr>
        <w:t xml:space="preserve">• No ofrece conversación en vivo con profesores nativos.</w:t>
      </w:r>
    </w:p>
    <w:p>
      <w:pPr>
        <w:spacing w:after="80" w:line="312"/>
        <w:ind w:left="720" w:hanging="260"/>
        <w:jc w:val="left"/>
      </w:pPr>
      <w:r>
        <w:rPr>
          <w:rFonts w:ascii="Calibri" w:eastAsia="Microsoft YaHei"/>
          <w:color w:val="333333"/>
          <w:sz w:val="24"/>
          <w:szCs w:val="24"/>
        </w:rPr>
        <w:t xml:space="preserve">• El contenido puede resultar demasiado infantil para niñas mayores de 9-10 años.</w:t>
      </w:r>
    </w:p>
    <w:p>
      <w:pPr>
        <w:spacing w:after="80" w:line="312"/>
        <w:ind w:left="720" w:hanging="260"/>
        <w:jc w:val="left"/>
      </w:pPr>
      <w:r>
        <w:rPr>
          <w:rFonts w:ascii="Calibri" w:eastAsia="Microsoft YaHei"/>
          <w:color w:val="333333"/>
          <w:sz w:val="24"/>
          <w:szCs w:val="24"/>
        </w:rPr>
        <w:t xml:space="preserve">• Suscripción relativamente costosa para el mercado latinoamericano (alrededor de 15 dólares mensuales).</w:t>
      </w:r>
    </w:p>
    <w:p>
      <w:pPr>
        <w:pStyle w:val="Heading2"/>
        <w:spacing w:after="160" w:before="360" w:line="312"/>
      </w:pPr>
      <w:bookmarkStart w:id="100041" w:name="_Toc100041"/>
      <w:r>
        <w:rPr>
          <w:rFonts w:ascii="Calibri" w:eastAsia="Microsoft YaHei"/>
          <w:b/>
          <w:bCs/>
          <w:color w:val="5A7DB5"/>
          <w:sz w:val="28"/>
          <w:szCs w:val="28"/>
        </w:rPr>
        <w:t xml:space="preserve">6.6 Tabla Comparativa General</w:t>
      </w:r>
      <w:bookmarkEnd w:id="100041"/>
    </w:p>
    <w:p>
      <w:pPr>
        <w:spacing w:after="120" w:line="312"/>
        <w:ind w:firstLine="480"/>
        <w:jc w:val="both"/>
      </w:pPr>
      <w:r>
        <w:rPr>
          <w:rFonts w:ascii="Calibri" w:eastAsia="Microsoft YaHei"/>
          <w:color w:val="333333"/>
          <w:sz w:val="24"/>
          <w:szCs w:val="24"/>
        </w:rPr>
        <w:t xml:space="preserve">La siguiente tabla sintetiza las características principales de las cinco plataformas analizadas, permitiendo identificar de manera visual las fortalezas y debilidades de cada una en relación con los requisitos de una plataforma infantil.</w:t>
      </w:r>
    </w:p>
    <w:p>
      <w:pPr>
        <w:keepNext/>
        <w:spacing w:after="100" w:before="200"/>
      </w:pPr>
      <w:r>
        <w:rPr>
          <w:rFonts w:ascii="Calibri" w:eastAsia="Microsoft YaHei"/>
          <w:b/>
          <w:bCs/>
          <w:color w:val="2B579A"/>
          <w:sz w:val="21"/>
          <w:szCs w:val="21"/>
        </w:rPr>
        <w:t xml:space="preserve">Tabla 2: Comparativa de plataformas de aprendizaje de inglés</w:t>
      </w:r>
    </w:p>
    <w:tbl>
      <w:tblPr>
        <w:tblW w:type="pct" w:w="100%"/>
        <w:tblBorders>
          <w:top w:val="single" w:color="B0BEC5" w:sz="2"/>
          <w:left w:val="none"/>
          <w:bottom w:val="single" w:color="B0BEC5" w:sz="2"/>
          <w:right w:val="none"/>
          <w:insideH w:val="single" w:color="B0BEC5" w:sz="1"/>
          <w:insideV w:val="none"/>
        </w:tblBorders>
      </w:tblPr>
      <w:tblGrid>
        <w:gridCol w:w="100"/>
        <w:gridCol w:w="100"/>
        <w:gridCol w:w="100"/>
        <w:gridCol w:w="100"/>
        <w:gridCol w:w="100"/>
        <w:gridCol w:w="100"/>
      </w:tblGrid>
      <w:tr>
        <w:trPr>
          <w:cantSplit/>
          <w:tblHeader/>
        </w:trPr>
        <w:tc>
          <w:tcPr>
            <w:tcW w:type="pct" w:w="15%"/>
            <w:shd w:fill="2B579A" w:val="clear"/>
            <w:tcMar>
              <w:top w:type="dxa" w:w="80"/>
              <w:left w:type="dxa" w:w="120"/>
              <w:bottom w:type="dxa" w:w="80"/>
              <w:right w:type="dxa" w:w="120"/>
            </w:tcMar>
          </w:tcPr>
          <w:p>
            <w:pPr>
              <w:jc w:val="center"/>
            </w:pPr>
            <w:r>
              <w:rPr>
                <w:rFonts w:ascii="Calibri"/>
                <w:b/>
                <w:bCs/>
                <w:color w:val="FFFFFF"/>
                <w:sz w:val="21"/>
                <w:szCs w:val="21"/>
              </w:rPr>
              <w:t xml:space="preserve">Criterio</w:t>
            </w:r>
          </w:p>
        </w:tc>
        <w:tc>
          <w:tcPr>
            <w:tcW w:type="pct" w:w="17%"/>
            <w:shd w:fill="2B579A" w:val="clear"/>
            <w:tcMar>
              <w:top w:type="dxa" w:w="80"/>
              <w:left w:type="dxa" w:w="120"/>
              <w:bottom w:type="dxa" w:w="80"/>
              <w:right w:type="dxa" w:w="120"/>
            </w:tcMar>
          </w:tcPr>
          <w:p>
            <w:pPr>
              <w:jc w:val="center"/>
            </w:pPr>
            <w:r>
              <w:rPr>
                <w:rFonts w:ascii="Calibri"/>
                <w:b/>
                <w:bCs/>
                <w:color w:val="FFFFFF"/>
                <w:sz w:val="21"/>
                <w:szCs w:val="21"/>
              </w:rPr>
              <w:t xml:space="preserve">Duolingo</w:t>
            </w:r>
          </w:p>
        </w:tc>
        <w:tc>
          <w:tcPr>
            <w:tcW w:type="pct" w:w="17%"/>
            <w:shd w:fill="2B579A" w:val="clear"/>
            <w:tcMar>
              <w:top w:type="dxa" w:w="80"/>
              <w:left w:type="dxa" w:w="120"/>
              <w:bottom w:type="dxa" w:w="80"/>
              <w:right w:type="dxa" w:w="120"/>
            </w:tcMar>
          </w:tcPr>
          <w:p>
            <w:pPr>
              <w:jc w:val="center"/>
            </w:pPr>
            <w:r>
              <w:rPr>
                <w:rFonts w:ascii="Calibri"/>
                <w:b/>
                <w:bCs/>
                <w:color w:val="FFFFFF"/>
                <w:sz w:val="21"/>
                <w:szCs w:val="21"/>
              </w:rPr>
              <w:t xml:space="preserve">Rosetta Stone</w:t>
            </w:r>
          </w:p>
        </w:tc>
        <w:tc>
          <w:tcPr>
            <w:tcW w:type="pct" w:w="17%"/>
            <w:shd w:fill="2B579A" w:val="clear"/>
            <w:tcMar>
              <w:top w:type="dxa" w:w="80"/>
              <w:left w:type="dxa" w:w="120"/>
              <w:bottom w:type="dxa" w:w="80"/>
              <w:right w:type="dxa" w:w="120"/>
            </w:tcMar>
          </w:tcPr>
          <w:p>
            <w:pPr>
              <w:jc w:val="center"/>
            </w:pPr>
            <w:r>
              <w:rPr>
                <w:rFonts w:ascii="Calibri"/>
                <w:b/>
                <w:bCs/>
                <w:color w:val="FFFFFF"/>
                <w:sz w:val="21"/>
                <w:szCs w:val="21"/>
              </w:rPr>
              <w:t xml:space="preserve">Open English</w:t>
            </w:r>
          </w:p>
        </w:tc>
        <w:tc>
          <w:tcPr>
            <w:tcW w:type="pct" w:w="17%"/>
            <w:shd w:fill="2B579A" w:val="clear"/>
            <w:tcMar>
              <w:top w:type="dxa" w:w="80"/>
              <w:left w:type="dxa" w:w="120"/>
              <w:bottom w:type="dxa" w:w="80"/>
              <w:right w:type="dxa" w:w="120"/>
            </w:tcMar>
          </w:tcPr>
          <w:p>
            <w:pPr>
              <w:jc w:val="center"/>
            </w:pPr>
            <w:r>
              <w:rPr>
                <w:rFonts w:ascii="Calibri"/>
                <w:b/>
                <w:bCs/>
                <w:color w:val="FFFFFF"/>
                <w:sz w:val="21"/>
                <w:szCs w:val="21"/>
              </w:rPr>
              <w:t xml:space="preserve">Políglota</w:t>
            </w:r>
          </w:p>
        </w:tc>
        <w:tc>
          <w:tcPr>
            <w:tcW w:type="pct" w:w="17%"/>
            <w:shd w:fill="2B579A" w:val="clear"/>
            <w:tcMar>
              <w:top w:type="dxa" w:w="80"/>
              <w:left w:type="dxa" w:w="120"/>
              <w:bottom w:type="dxa" w:w="80"/>
              <w:right w:type="dxa" w:w="120"/>
            </w:tcMar>
          </w:tcPr>
          <w:p>
            <w:pPr>
              <w:jc w:val="center"/>
            </w:pPr>
            <w:r>
              <w:rPr>
                <w:rFonts w:ascii="Calibri"/>
                <w:b/>
                <w:bCs/>
                <w:color w:val="FFFFFF"/>
                <w:sz w:val="21"/>
                <w:szCs w:val="21"/>
              </w:rPr>
              <w:t xml:space="preserve">Lingokids</w:t>
            </w:r>
          </w:p>
        </w:tc>
      </w:tr>
      <w:tr>
        <w:trPr>
          <w:cantSplit/>
        </w:trPr>
        <w:tc>
          <w:tcPr>
            <w:tcW w:type="pct" w:w="15%"/>
            <w:tcMar>
              <w:top w:type="dxa" w:w="60"/>
              <w:left w:type="dxa" w:w="120"/>
              <w:bottom w:type="dxa" w:w="60"/>
              <w:right w:type="dxa" w:w="120"/>
            </w:tcMar>
          </w:tcPr>
          <w:p>
            <w:pPr>
              <w:spacing w:line="280"/>
            </w:pPr>
            <w:r>
              <w:rPr>
                <w:rFonts w:ascii="Calibri" w:eastAsia="Microsoft YaHei"/>
                <w:color w:val="333333"/>
                <w:sz w:val="20"/>
                <w:szCs w:val="20"/>
              </w:rPr>
              <w:t xml:space="preserve">Público objetivo</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Todas las edades</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Adultos/jóvenes</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Adultos</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Adultos/jóvenes</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Niños 2-8 años</w:t>
            </w:r>
          </w:p>
        </w:tc>
      </w:tr>
      <w:tr>
        <w:trPr>
          <w:cantSplit/>
        </w:trPr>
        <w:tc>
          <w:tcPr>
            <w:tcW w:type="pct" w:w="15%"/>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Niveles CEFR</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A1 - B2</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A1 - B2</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A1 - C1</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A1 - B2</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A1 - A2</w:t>
            </w:r>
          </w:p>
        </w:tc>
      </w:tr>
      <w:tr>
        <w:trPr>
          <w:cantSplit/>
        </w:trPr>
        <w:tc>
          <w:tcPr>
            <w:tcW w:type="pct" w:w="15%"/>
            <w:tcMar>
              <w:top w:type="dxa" w:w="60"/>
              <w:left w:type="dxa" w:w="120"/>
              <w:bottom w:type="dxa" w:w="60"/>
              <w:right w:type="dxa" w:w="120"/>
            </w:tcMar>
          </w:tcPr>
          <w:p>
            <w:pPr>
              <w:spacing w:line="280"/>
            </w:pPr>
            <w:r>
              <w:rPr>
                <w:rFonts w:ascii="Calibri" w:eastAsia="Microsoft YaHei"/>
                <w:color w:val="333333"/>
                <w:sz w:val="20"/>
                <w:szCs w:val="20"/>
              </w:rPr>
              <w:t xml:space="preserve">Metodología</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Gamificación + repetición</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Inmersión dinámica</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Clases en vivo + ejercicios</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Conversación grupal</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Playlearning</w:t>
            </w:r>
          </w:p>
        </w:tc>
      </w:tr>
      <w:tr>
        <w:trPr>
          <w:cantSplit/>
        </w:trPr>
        <w:tc>
          <w:tcPr>
            <w:tcW w:type="pct" w:w="15%"/>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Clases en vivo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No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Sí (premium)</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Sí (24/7)</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Sí</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No</w:t>
            </w:r>
          </w:p>
        </w:tc>
      </w:tr>
      <w:tr>
        <w:trPr>
          <w:cantSplit/>
        </w:trPr>
        <w:tc>
          <w:tcPr>
            <w:tcW w:type="pct" w:w="15%"/>
            <w:tcMar>
              <w:top w:type="dxa" w:w="60"/>
              <w:left w:type="dxa" w:w="120"/>
              <w:bottom w:type="dxa" w:w="60"/>
              <w:right w:type="dxa" w:w="120"/>
            </w:tcMar>
          </w:tcPr>
          <w:p>
            <w:pPr>
              <w:spacing w:line="280"/>
            </w:pPr>
            <w:r>
              <w:rPr>
                <w:rFonts w:ascii="Calibri" w:eastAsia="Microsoft YaHei"/>
                <w:color w:val="333333"/>
                <w:sz w:val="20"/>
                <w:szCs w:val="20"/>
              </w:rPr>
              <w:t xml:space="preserve">Gamificación</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Muy alta</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Baja</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Ninguna</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Baja</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Alta</w:t>
            </w:r>
          </w:p>
        </w:tc>
      </w:tr>
      <w:tr>
        <w:trPr>
          <w:cantSplit/>
        </w:trPr>
        <w:tc>
          <w:tcPr>
            <w:tcW w:type="pct" w:w="15%"/>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Reconocimiento de voz</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Básico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Avanzado (TruAccent)</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Moderado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No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Moderado</w:t>
            </w:r>
          </w:p>
        </w:tc>
      </w:tr>
      <w:tr>
        <w:trPr>
          <w:cantSplit/>
        </w:trPr>
        <w:tc>
          <w:tcPr>
            <w:tcW w:type="pct" w:w="15%"/>
            <w:tcMar>
              <w:top w:type="dxa" w:w="60"/>
              <w:left w:type="dxa" w:w="120"/>
              <w:bottom w:type="dxa" w:w="60"/>
              <w:right w:type="dxa" w:w="120"/>
            </w:tcMar>
          </w:tcPr>
          <w:p>
            <w:pPr>
              <w:spacing w:line="280"/>
            </w:pPr>
            <w:r>
              <w:rPr>
                <w:rFonts w:ascii="Calibri" w:eastAsia="Microsoft YaHei"/>
                <w:color w:val="333333"/>
                <w:sz w:val="20"/>
                <w:szCs w:val="20"/>
              </w:rPr>
              <w:t xml:space="preserve">Precio mensual</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Gratis / $13 USD</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$12 - $20 USD</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$80 - $150 USD</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$40 - $80 USD</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$15 USD</w:t>
            </w:r>
          </w:p>
        </w:tc>
      </w:tr>
      <w:tr>
        <w:trPr>
          <w:cantSplit/>
        </w:trPr>
        <w:tc>
          <w:tcPr>
            <w:tcW w:type="pct" w:w="15%"/>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Orientado a niños</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Parcialmente (ABC)</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No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No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No</w:t>
            </w:r>
          </w:p>
        </w:tc>
        <w:tc>
          <w:tcPr>
            <w:tcW w:type="pct" w:w="17%"/>
            <w:shd w:fill="F0F4FA" w:val="clear"/>
            <w:tcMar>
              <w:top w:type="dxa" w:w="60"/>
              <w:left w:type="dxa" w:w="120"/>
              <w:bottom w:type="dxa" w:w="60"/>
              <w:right w:type="dxa" w:w="120"/>
            </w:tcMar>
          </w:tcPr>
          <w:p>
            <w:pPr>
              <w:spacing w:line="280"/>
            </w:pPr>
            <w:r>
              <w:rPr>
                <w:rFonts w:ascii="Calibri" w:eastAsia="Microsoft YaHei"/>
                <w:color w:val="333333"/>
                <w:sz w:val="20"/>
                <w:szCs w:val="20"/>
              </w:rPr>
              <w:t xml:space="preserve">Sí (exclusivo)</w:t>
            </w:r>
          </w:p>
        </w:tc>
      </w:tr>
      <w:tr>
        <w:trPr>
          <w:cantSplit/>
        </w:trPr>
        <w:tc>
          <w:tcPr>
            <w:tcW w:type="pct" w:w="15%"/>
            <w:tcMar>
              <w:top w:type="dxa" w:w="60"/>
              <w:left w:type="dxa" w:w="120"/>
              <w:bottom w:type="dxa" w:w="60"/>
              <w:right w:type="dxa" w:w="120"/>
            </w:tcMar>
          </w:tcPr>
          <w:p>
            <w:pPr>
              <w:spacing w:line="280"/>
            </w:pPr>
            <w:r>
              <w:rPr>
                <w:rFonts w:ascii="Calibri" w:eastAsia="Microsoft YaHei"/>
                <w:color w:val="333333"/>
                <w:sz w:val="20"/>
                <w:szCs w:val="20"/>
              </w:rPr>
              <w:t xml:space="preserve">Contenido cultural</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Limitado</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Moderado</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Moderado</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Moderado</w:t>
            </w:r>
          </w:p>
        </w:tc>
        <w:tc>
          <w:tcPr>
            <w:tcW w:type="pct" w:w="17%"/>
            <w:tcMar>
              <w:top w:type="dxa" w:w="60"/>
              <w:left w:type="dxa" w:w="120"/>
              <w:bottom w:type="dxa" w:w="60"/>
              <w:right w:type="dxa" w:w="120"/>
            </w:tcMar>
          </w:tcPr>
          <w:p>
            <w:pPr>
              <w:spacing w:line="280"/>
            </w:pPr>
            <w:r>
              <w:rPr>
                <w:rFonts w:ascii="Calibri" w:eastAsia="Microsoft YaHei"/>
                <w:color w:val="333333"/>
                <w:sz w:val="20"/>
                <w:szCs w:val="20"/>
              </w:rPr>
              <w:t xml:space="preserve">Bajo</w:t>
            </w:r>
          </w:p>
        </w:tc>
      </w:tr>
    </w:tbl>
    <w:p>
      <w:pPr>
        <w:spacing w:after="200" w:before="80"/>
        <w:jc w:val="center"/>
      </w:pPr>
      <w:r>
        <w:rPr>
          <w:rFonts w:ascii="Calibri"/>
          <w:i/>
          <w:iCs/>
          <w:color w:val="666666"/>
          <w:sz w:val="20"/>
          <w:szCs w:val="20"/>
        </w:rPr>
        <w:t xml:space="preserve">Tabla 2: Análisis comparativo de cinco plataformas de aprendizaje de inglés</w:t>
      </w:r>
    </w:p>
    <w:p>
      <w:pPr>
        <w:pStyle w:val="Heading1"/>
        <w:spacing w:after="200" w:before="480" w:line="312"/>
      </w:pPr>
      <w:bookmarkStart w:id="100042" w:name="_Toc100042"/>
      <w:r>
        <w:rPr>
          <w:rFonts w:ascii="Calibri" w:eastAsia="Microsoft YaHei"/>
          <w:b/>
          <w:bCs/>
          <w:color w:val="2B579A"/>
          <w:sz w:val="32"/>
          <w:szCs w:val="32"/>
        </w:rPr>
        <w:t xml:space="preserve">7. Recomendaciones Diferenciales para la Plataforma</w:t>
      </w:r>
      <w:bookmarkEnd w:id="100042"/>
    </w:p>
    <w:p>
      <w:pPr>
        <w:spacing w:after="120" w:line="312"/>
        <w:ind w:firstLine="480"/>
        <w:jc w:val="both"/>
      </w:pPr>
      <w:r>
        <w:rPr>
          <w:rFonts w:ascii="Calibri" w:eastAsia="Microsoft YaHei"/>
          <w:color w:val="333333"/>
          <w:sz w:val="24"/>
          <w:szCs w:val="24"/>
        </w:rPr>
        <w:t xml:space="preserve">A partir del análisis comparativo, se identifican oportunidades claras de diferenciación. La plataforma propuesta puede posicionarse como una solución integral que combine lo mejor de cada herramienta: la gamificación de Duolingo, la inmersión de Rosetta Stone, las clases en vivo de Open English, la dinámica social de Políglota y el enfoque infantil de Lingokids, todo adaptado a las necesidades específicas de niñas en edad escolar. A continuación se detallan las recomendaciones estratégicas clave.</w:t>
      </w:r>
    </w:p>
    <w:p>
      <w:pPr>
        <w:pStyle w:val="Heading2"/>
        <w:spacing w:after="160" w:before="360" w:line="312"/>
      </w:pPr>
      <w:bookmarkStart w:id="100043" w:name="_Toc100043"/>
      <w:r>
        <w:rPr>
          <w:rFonts w:ascii="Calibri" w:eastAsia="Microsoft YaHei"/>
          <w:b/>
          <w:bCs/>
          <w:color w:val="5A7DB5"/>
          <w:sz w:val="28"/>
          <w:szCs w:val="28"/>
        </w:rPr>
        <w:t xml:space="preserve">7.1 Arquitectura híbrida de aprendizaje</w:t>
      </w:r>
      <w:bookmarkEnd w:id="100043"/>
    </w:p>
    <w:p>
      <w:pPr>
        <w:spacing w:after="120" w:line="312"/>
        <w:ind w:firstLine="480"/>
        <w:jc w:val="both"/>
      </w:pPr>
      <w:r>
        <w:rPr>
          <w:rFonts w:ascii="Calibri" w:eastAsia="Microsoft YaHei"/>
          <w:color w:val="333333"/>
          <w:sz w:val="24"/>
          <w:szCs w:val="24"/>
        </w:rPr>
        <w:t xml:space="preserve">Se recomienda un modelo que combine aprendizaje auto-dirigido (ejercicios interactivos, flashcards, lecturas) con sesiones de práctica en vivo (opcionales). El 80% del aprendizaje puede ser auto-dirigido a través de la aplicación, mientras que el 20% restante puede consistir en sesiones grupales semanales de 30 minutos con un tutor o en actividades conversacionales guiadas. Este modelo permite mantener un costo accesible (similar a Duolingo Plus) mientras se ofrece la interacción humana que ni Open English ni Políglota proporcionan a precios razonables.</w:t>
      </w:r>
    </w:p>
    <w:p>
      <w:pPr>
        <w:pStyle w:val="Heading2"/>
        <w:spacing w:after="160" w:before="360" w:line="312"/>
      </w:pPr>
      <w:bookmarkStart w:id="100044" w:name="_Toc100044"/>
      <w:r>
        <w:rPr>
          <w:rFonts w:ascii="Calibri" w:eastAsia="Microsoft YaHei"/>
          <w:b/>
          <w:bCs/>
          <w:color w:val="5A7DB5"/>
          <w:sz w:val="28"/>
          <w:szCs w:val="28"/>
        </w:rPr>
        <w:t xml:space="preserve">7.2 Personalización adaptativa</w:t>
      </w:r>
      <w:bookmarkEnd w:id="100044"/>
    </w:p>
    <w:p>
      <w:pPr>
        <w:spacing w:after="120" w:line="312"/>
        <w:ind w:firstLine="480"/>
        <w:jc w:val="both"/>
      </w:pPr>
      <w:r>
        <w:rPr>
          <w:rFonts w:ascii="Calibri" w:eastAsia="Microsoft YaHei"/>
          <w:color w:val="333333"/>
          <w:sz w:val="24"/>
          <w:szCs w:val="24"/>
        </w:rPr>
        <w:t xml:space="preserve">La plataforma debe implementar un sistema de aprendizaje adaptativo que ajuste la dificultad y el contenido según el ritmo y el rendimiento individual de cada estudiante. Esto significa que si una niña domina rápidamente el vocabulario de animales pero tiene dificultades con los verbos, el sistema debe ofrecer más práctica en el área débil sin aburrirla con contenido ya dominado. La inteligencia artificial y el análisis de datos de interacción permiten construir perfiles de aprendizaje individuales que se refinan con cada sesión.</w:t>
      </w:r>
    </w:p>
    <w:p>
      <w:pPr>
        <w:pStyle w:val="Heading2"/>
        <w:spacing w:after="160" w:before="360" w:line="312"/>
      </w:pPr>
      <w:bookmarkStart w:id="100045" w:name="_Toc100045"/>
      <w:r>
        <w:rPr>
          <w:rFonts w:ascii="Calibri" w:eastAsia="Microsoft YaHei"/>
          <w:b/>
          <w:bCs/>
          <w:color w:val="5A7DB5"/>
          <w:sz w:val="28"/>
          <w:szCs w:val="28"/>
        </w:rPr>
        <w:t xml:space="preserve">7.3 Seguridad y control parental</w:t>
      </w:r>
      <w:bookmarkEnd w:id="100045"/>
    </w:p>
    <w:p>
      <w:pPr>
        <w:spacing w:after="120" w:line="312"/>
        <w:ind w:firstLine="480"/>
        <w:jc w:val="both"/>
      </w:pPr>
      <w:r>
        <w:rPr>
          <w:rFonts w:ascii="Calibri" w:eastAsia="Microsoft YaHei"/>
          <w:color w:val="333333"/>
          <w:sz w:val="24"/>
          <w:szCs w:val="24"/>
        </w:rPr>
        <w:t xml:space="preserve">Dado que el público objetivo son niñas, la seguridad es un requisito no negociable. La plataforma debe incluir controles parentales robustos que permitan a los padres monitorear el progreso, establecer límites de tiempo de uso, restringir funciones sociales (chat, emparejamiento) y recibir reportes semanales de actividad. Es fundamental cumplir con normativas como COPPA (Children's Online Privacy Protection Act) de Estados Unidos y la GDPR-K de Europa, que regulan la recolección de datos de menores. Ninguna información personal debe ser compartida con terceros, y los avatares deben ser 100% anonimizados.</w:t>
      </w:r>
    </w:p>
    <w:p>
      <w:pPr>
        <w:pStyle w:val="Heading2"/>
        <w:spacing w:after="160" w:before="360" w:line="312"/>
      </w:pPr>
      <w:bookmarkStart w:id="100046" w:name="_Toc100046"/>
      <w:r>
        <w:rPr>
          <w:rFonts w:ascii="Calibri" w:eastAsia="Microsoft YaHei"/>
          <w:b/>
          <w:bCs/>
          <w:color w:val="5A7DB5"/>
          <w:sz w:val="28"/>
          <w:szCs w:val="28"/>
        </w:rPr>
        <w:t xml:space="preserve">7.4 Contenido culturalmente relevante</w:t>
      </w:r>
      <w:bookmarkEnd w:id="100046"/>
    </w:p>
    <w:p>
      <w:pPr>
        <w:spacing w:after="120" w:line="312"/>
        <w:ind w:firstLine="480"/>
        <w:jc w:val="both"/>
      </w:pPr>
      <w:r>
        <w:rPr>
          <w:rFonts w:ascii="Calibri" w:eastAsia="Microsoft YaHei"/>
          <w:color w:val="333333"/>
          <w:sz w:val="24"/>
          <w:szCs w:val="24"/>
        </w:rPr>
        <w:t xml:space="preserve">A diferencia de las plataformas globales que presentan un contenido cultural genérico (estadounidense o británico), la plataforma puede diferenciarse incorporando referentes culturales latinoamericanos: personajes, historias, alimentos, festividades y escenarios que las niñas reconozcan como propios. Esto no solo aumenta la conexión emocional con el contenido, sino que también enriquece el aprendizaje al enseñar cómo se expresan conceptos culturales propios en inglés.</w:t>
      </w:r>
    </w:p>
    <w:p>
      <w:pPr>
        <w:pStyle w:val="Heading2"/>
        <w:spacing w:after="160" w:before="360" w:line="312"/>
      </w:pPr>
      <w:bookmarkStart w:id="100047" w:name="_Toc100047"/>
      <w:r>
        <w:rPr>
          <w:rFonts w:ascii="Calibri" w:eastAsia="Microsoft YaHei"/>
          <w:b/>
          <w:bCs/>
          <w:color w:val="5A7DB5"/>
          <w:sz w:val="28"/>
          <w:szCs w:val="28"/>
        </w:rPr>
        <w:t xml:space="preserve">7.5 Modelo de negocio accesible</w:t>
      </w:r>
      <w:bookmarkEnd w:id="100047"/>
    </w:p>
    <w:p>
      <w:pPr>
        <w:spacing w:after="120" w:line="312"/>
        <w:ind w:firstLine="480"/>
        <w:jc w:val="both"/>
      </w:pPr>
      <w:r>
        <w:rPr>
          <w:rFonts w:ascii="Calibri" w:eastAsia="Microsoft YaHei"/>
          <w:color w:val="333333"/>
          <w:sz w:val="24"/>
          <w:szCs w:val="24"/>
        </w:rPr>
        <w:t xml:space="preserve">Se recomienda un modelo freemium con un plan gratuito generoso que permita acceder a contenido sustancial (al menos 2 lecciones diarias y 2 módulos por nivel), y un plan premium con funcionalidades adicionales como sesiones en vivo, reportes detallados, avatares premium y contenido exclusivo. El precio del plan premium debe situarse entre 5 y 10 dólares mensuales, un rango accesible para familias latinoamericanas y significativamente menor que Open English ($80-150) o Rosetta Stone ($12-20).</w:t>
      </w:r>
    </w:p>
    <w:p>
      <w:pPr>
        <w:pStyle w:val="Heading1"/>
        <w:spacing w:after="200" w:before="480" w:line="312"/>
      </w:pPr>
      <w:bookmarkStart w:id="100048" w:name="_Toc100048"/>
      <w:r>
        <w:rPr>
          <w:rFonts w:ascii="Calibri" w:eastAsia="Microsoft YaHei"/>
          <w:b/>
          <w:bCs/>
          <w:color w:val="2B579A"/>
          <w:sz w:val="32"/>
          <w:szCs w:val="32"/>
        </w:rPr>
        <w:t xml:space="preserve">8. Conclusiones y Próximos Pasos</w:t>
      </w:r>
      <w:bookmarkEnd w:id="100048"/>
    </w:p>
    <w:p>
      <w:pPr>
        <w:spacing w:after="120" w:line="312"/>
        <w:ind w:firstLine="480"/>
        <w:jc w:val="both"/>
      </w:pPr>
      <w:r>
        <w:rPr>
          <w:rFonts w:ascii="Calibri" w:eastAsia="Microsoft YaHei"/>
          <w:color w:val="333333"/>
          <w:sz w:val="24"/>
          <w:szCs w:val="24"/>
        </w:rPr>
        <w:t xml:space="preserve">El análisis realizado demuestra que existe una oportunidad significativa en el mercado para una plataforma de aprendizaje de inglés que combine una estructura pedagógica sólida basada en el CEFR con una experiencia de usuario infantil atractiva y motivadora. Las plataformas actuales cubren parcialmente las necesidades de aprendizaje, pero ninguna ofrece de manera integral los seis módulos propuestos (Vocabulario, Gramática, Comprensión Auditiva, Comprensión Lectora, Conversación y Pronunciación) en un entorno diseñado específicamente para niñas en edad escolar con gamificación adaptada, seguridad infantil y precios accesibles.</w:t>
      </w:r>
    </w:p>
    <w:p>
      <w:pPr>
        <w:spacing w:after="120" w:line="312"/>
        <w:ind w:firstLine="480"/>
        <w:jc w:val="both"/>
      </w:pPr>
      <w:r>
        <w:rPr>
          <w:rFonts w:ascii="Calibri" w:eastAsia="Microsoft YaHei"/>
          <w:color w:val="333333"/>
          <w:sz w:val="24"/>
          <w:szCs w:val="24"/>
        </w:rPr>
        <w:t xml:space="preserve">Se recomienda que los siguientes pasos incluyan la validación de la propuesta con niñas del grupo objetivo mediante pruebas de usabilidad, el desarrollo de un prototipo funcional que implemente al menos los módulos de Vocabulario y Gramática con ejercicios básicos de gamificación, y la colaboración con pedagogos especializados en enseñanza de inglés como segunda lengua para refinar el contenido curricular. La plataforma puede iniciar con contenido correspondiente a los niveles A1 y A2, expandiéndose progresivamente hacia B1 a medida que la base de usuarias crece y sus necesidades de aprendizaje evolucionan.</w:t>
      </w:r>
    </w:p>
    <w:p>
      <w:pPr>
        <w:spacing w:after="120" w:line="312"/>
        <w:ind w:firstLine="480"/>
        <w:jc w:val="both"/>
      </w:pPr>
      <w:r>
        <w:rPr>
          <w:rFonts w:ascii="Calibri" w:eastAsia="Microsoft YaHei"/>
          <w:color w:val="333333"/>
          <w:sz w:val="24"/>
          <w:szCs w:val="24"/>
        </w:rPr>
        <w:t xml:space="preserve">La clave del éxito reside en encontrar el equilibrio entre la rigurosidad pedagógica (contenido bien estructurado, progresión lógica, evaluación efectiva) y la diversión (gamificación, personajes, historias, desafíos). Las niñas aprenderán inglés no porque se les obligue, sino porque la experiencia de aprendizaje les resulte genuinamente atractiva y gratificante.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08080"/>
        <w:sz w:val="18"/>
        <w:szCs w:val="18"/>
      </w:rPr>
      <w:t xml:space="preserve">Estructura de Plataforma para Aprender Inglés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333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2026-05-14T16:33:37.082Z</dcterms:created>
  <dcterms:modified xsi:type="dcterms:W3CDTF">2026-05-14T16:33:37.082Z</dcterms:modified>
</cp:coreProperties>
</file>

<file path=docProps/custom.xml><?xml version="1.0" encoding="utf-8"?>
<Properties xmlns="http://schemas.openxmlformats.org/officeDocument/2006/custom-properties" xmlns:vt="http://schemas.openxmlformats.org/officeDocument/2006/docPropsVTypes"/>
</file>