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6E95B" w14:textId="439B5019" w:rsidR="000D6780" w:rsidRDefault="006C62F9" w:rsidP="00973510">
      <w:pPr>
        <w:spacing w:line="480" w:lineRule="auto"/>
        <w:rPr>
          <w:b/>
        </w:rPr>
      </w:pPr>
      <w:r w:rsidRPr="00E77F67">
        <w:rPr>
          <w:b/>
          <w:highlight w:val="yellow"/>
        </w:rPr>
        <w:t>EXAMPLE RESULTS SECTION:</w:t>
      </w:r>
    </w:p>
    <w:p w14:paraId="6C4FEBA4" w14:textId="36AF87C6" w:rsidR="00973510" w:rsidRPr="00973510" w:rsidRDefault="00973510" w:rsidP="00973510">
      <w:pPr>
        <w:spacing w:line="480" w:lineRule="auto"/>
        <w:rPr>
          <w:b/>
        </w:rPr>
      </w:pPr>
      <w:r>
        <w:rPr>
          <w:b/>
        </w:rPr>
        <w:t xml:space="preserve">Summary of Research on </w:t>
      </w:r>
      <w:r w:rsidRPr="00973510">
        <w:rPr>
          <w:b/>
        </w:rPr>
        <w:t>5-HT</w:t>
      </w:r>
      <w:r w:rsidRPr="00973510">
        <w:rPr>
          <w:b/>
          <w:vertAlign w:val="subscript"/>
        </w:rPr>
        <w:t>5A</w:t>
      </w:r>
    </w:p>
    <w:p w14:paraId="2F3AC2FD" w14:textId="10D4EDF3" w:rsidR="005C08A4" w:rsidRDefault="0054156B" w:rsidP="00973510">
      <w:pPr>
        <w:spacing w:line="480" w:lineRule="auto"/>
        <w:rPr>
          <w:b/>
        </w:rPr>
      </w:pPr>
      <w:r>
        <w:rPr>
          <w:b/>
        </w:rPr>
        <w:t>Results</w:t>
      </w:r>
      <w:r w:rsidR="00FA0A42">
        <w:rPr>
          <w:b/>
        </w:rPr>
        <w:t>.</w:t>
      </w:r>
      <w:bookmarkStart w:id="0" w:name="_GoBack"/>
      <w:bookmarkEnd w:id="0"/>
    </w:p>
    <w:p w14:paraId="0C5EDC36" w14:textId="2E32B871" w:rsidR="00973510" w:rsidRDefault="00973510" w:rsidP="00973510">
      <w:r>
        <w:t>Table 1</w:t>
      </w:r>
    </w:p>
    <w:p w14:paraId="6ADAA30F" w14:textId="307B527E" w:rsidR="00973510" w:rsidRDefault="00973510" w:rsidP="00973510">
      <w:pPr>
        <w:rPr>
          <w:i/>
        </w:rPr>
      </w:pPr>
      <w:r>
        <w:rPr>
          <w:i/>
        </w:rPr>
        <w:t xml:space="preserve">Number of </w:t>
      </w:r>
      <w:r w:rsidR="00C51369">
        <w:rPr>
          <w:i/>
        </w:rPr>
        <w:t>Publications</w:t>
      </w:r>
      <w:r>
        <w:rPr>
          <w:i/>
        </w:rPr>
        <w:t xml:space="preserve"> on 5-HT</w:t>
      </w:r>
      <w:r>
        <w:rPr>
          <w:i/>
          <w:vertAlign w:val="subscript"/>
        </w:rPr>
        <w:t>5A</w:t>
      </w:r>
      <w:r>
        <w:rPr>
          <w:i/>
        </w:rPr>
        <w:t xml:space="preserve"> per Year</w:t>
      </w:r>
    </w:p>
    <w:p w14:paraId="6AE4DB1D" w14:textId="77777777" w:rsidR="00973510" w:rsidRDefault="00973510" w:rsidP="00973510"/>
    <w:tbl>
      <w:tblPr>
        <w:tblStyle w:val="TableGrid"/>
        <w:tblW w:w="0" w:type="auto"/>
        <w:tblLook w:val="04A0" w:firstRow="1" w:lastRow="0" w:firstColumn="1" w:lastColumn="0" w:noHBand="0" w:noVBand="1"/>
      </w:tblPr>
      <w:tblGrid>
        <w:gridCol w:w="1403"/>
        <w:gridCol w:w="1323"/>
        <w:gridCol w:w="1324"/>
        <w:gridCol w:w="1325"/>
        <w:gridCol w:w="1325"/>
        <w:gridCol w:w="1325"/>
        <w:gridCol w:w="1325"/>
      </w:tblGrid>
      <w:tr w:rsidR="00C51369" w14:paraId="50D48B6B" w14:textId="77777777" w:rsidTr="00973510">
        <w:tc>
          <w:tcPr>
            <w:tcW w:w="1335" w:type="dxa"/>
          </w:tcPr>
          <w:p w14:paraId="6BE88F3D" w14:textId="7D5069BF" w:rsidR="00973510" w:rsidRDefault="00973510" w:rsidP="00973510">
            <w:r>
              <w:t>Year</w:t>
            </w:r>
          </w:p>
        </w:tc>
        <w:tc>
          <w:tcPr>
            <w:tcW w:w="1335" w:type="dxa"/>
          </w:tcPr>
          <w:p w14:paraId="53CC0A66" w14:textId="3C19CDEB" w:rsidR="00973510" w:rsidRDefault="00973510" w:rsidP="00973510">
            <w:r>
              <w:t>1999</w:t>
            </w:r>
          </w:p>
        </w:tc>
        <w:tc>
          <w:tcPr>
            <w:tcW w:w="1336" w:type="dxa"/>
          </w:tcPr>
          <w:p w14:paraId="55B7D2FB" w14:textId="44FD838B" w:rsidR="00973510" w:rsidRDefault="00973510" w:rsidP="00973510">
            <w:r>
              <w:t>2000</w:t>
            </w:r>
          </w:p>
        </w:tc>
        <w:tc>
          <w:tcPr>
            <w:tcW w:w="1336" w:type="dxa"/>
          </w:tcPr>
          <w:p w14:paraId="0825BE8E" w14:textId="4CAC36CC" w:rsidR="00973510" w:rsidRDefault="00973510" w:rsidP="00973510">
            <w:r>
              <w:t>2012</w:t>
            </w:r>
          </w:p>
        </w:tc>
        <w:tc>
          <w:tcPr>
            <w:tcW w:w="1336" w:type="dxa"/>
          </w:tcPr>
          <w:p w14:paraId="2B0BF91F" w14:textId="05BF1F02" w:rsidR="00973510" w:rsidRDefault="00973510" w:rsidP="00973510">
            <w:r>
              <w:t>2013</w:t>
            </w:r>
          </w:p>
        </w:tc>
        <w:tc>
          <w:tcPr>
            <w:tcW w:w="1336" w:type="dxa"/>
          </w:tcPr>
          <w:p w14:paraId="0560E232" w14:textId="10153C9D" w:rsidR="00973510" w:rsidRDefault="00973510" w:rsidP="00973510">
            <w:r>
              <w:t>2015</w:t>
            </w:r>
          </w:p>
        </w:tc>
        <w:tc>
          <w:tcPr>
            <w:tcW w:w="1336" w:type="dxa"/>
          </w:tcPr>
          <w:p w14:paraId="70D25A06" w14:textId="19C2FEF2" w:rsidR="00973510" w:rsidRDefault="00973510" w:rsidP="00973510">
            <w:r>
              <w:t>2018</w:t>
            </w:r>
          </w:p>
        </w:tc>
      </w:tr>
      <w:tr w:rsidR="00C51369" w14:paraId="1BBB58F5" w14:textId="77777777" w:rsidTr="00973510">
        <w:tc>
          <w:tcPr>
            <w:tcW w:w="1335" w:type="dxa"/>
          </w:tcPr>
          <w:p w14:paraId="04F56FCD" w14:textId="10F5ADD0" w:rsidR="00973510" w:rsidRDefault="00973510" w:rsidP="00973510">
            <w:r>
              <w:t>Number of Publications</w:t>
            </w:r>
          </w:p>
        </w:tc>
        <w:tc>
          <w:tcPr>
            <w:tcW w:w="1335" w:type="dxa"/>
          </w:tcPr>
          <w:p w14:paraId="56CEBC7A" w14:textId="68BB4E52" w:rsidR="00973510" w:rsidRDefault="00973510" w:rsidP="00973510">
            <w:r>
              <w:t>1</w:t>
            </w:r>
          </w:p>
        </w:tc>
        <w:tc>
          <w:tcPr>
            <w:tcW w:w="1336" w:type="dxa"/>
          </w:tcPr>
          <w:p w14:paraId="54216637" w14:textId="74B899C5" w:rsidR="00973510" w:rsidRDefault="00973510" w:rsidP="00973510">
            <w:r>
              <w:t>1</w:t>
            </w:r>
          </w:p>
        </w:tc>
        <w:tc>
          <w:tcPr>
            <w:tcW w:w="1336" w:type="dxa"/>
          </w:tcPr>
          <w:p w14:paraId="205B3A47" w14:textId="68F00FAD" w:rsidR="00973510" w:rsidRDefault="00973510" w:rsidP="00973510">
            <w:r>
              <w:t>1</w:t>
            </w:r>
          </w:p>
        </w:tc>
        <w:tc>
          <w:tcPr>
            <w:tcW w:w="1336" w:type="dxa"/>
          </w:tcPr>
          <w:p w14:paraId="66D777A7" w14:textId="5C965C74" w:rsidR="00973510" w:rsidRDefault="00973510" w:rsidP="00973510">
            <w:r>
              <w:t>2</w:t>
            </w:r>
          </w:p>
        </w:tc>
        <w:tc>
          <w:tcPr>
            <w:tcW w:w="1336" w:type="dxa"/>
          </w:tcPr>
          <w:p w14:paraId="731634E8" w14:textId="0F65AA9B" w:rsidR="00973510" w:rsidRDefault="00973510" w:rsidP="00973510">
            <w:r>
              <w:t>1</w:t>
            </w:r>
          </w:p>
        </w:tc>
        <w:tc>
          <w:tcPr>
            <w:tcW w:w="1336" w:type="dxa"/>
          </w:tcPr>
          <w:p w14:paraId="35F8900F" w14:textId="4A4EB554" w:rsidR="00973510" w:rsidRDefault="00973510" w:rsidP="00973510">
            <w:r>
              <w:t>2</w:t>
            </w:r>
          </w:p>
        </w:tc>
      </w:tr>
      <w:tr w:rsidR="00C51369" w14:paraId="11B2858A" w14:textId="77777777" w:rsidTr="00973510">
        <w:tc>
          <w:tcPr>
            <w:tcW w:w="1335" w:type="dxa"/>
          </w:tcPr>
          <w:p w14:paraId="00278F3D" w14:textId="6A9B5561" w:rsidR="00C51369" w:rsidRDefault="00C51369" w:rsidP="00973510">
            <w:r>
              <w:t>Percent of Total Publications</w:t>
            </w:r>
          </w:p>
        </w:tc>
        <w:tc>
          <w:tcPr>
            <w:tcW w:w="1335" w:type="dxa"/>
          </w:tcPr>
          <w:p w14:paraId="08AECBEA" w14:textId="3EDBEF46" w:rsidR="00C51369" w:rsidRDefault="00C51369" w:rsidP="00973510">
            <w:r>
              <w:t>12.5%</w:t>
            </w:r>
          </w:p>
        </w:tc>
        <w:tc>
          <w:tcPr>
            <w:tcW w:w="1336" w:type="dxa"/>
          </w:tcPr>
          <w:p w14:paraId="34D17EB1" w14:textId="66067D33" w:rsidR="00C51369" w:rsidRDefault="00C51369" w:rsidP="00973510">
            <w:r>
              <w:t>12.5%</w:t>
            </w:r>
          </w:p>
        </w:tc>
        <w:tc>
          <w:tcPr>
            <w:tcW w:w="1336" w:type="dxa"/>
          </w:tcPr>
          <w:p w14:paraId="63F6145F" w14:textId="21FE0258" w:rsidR="00C51369" w:rsidRDefault="00C51369" w:rsidP="00973510">
            <w:r>
              <w:t>12.5%</w:t>
            </w:r>
          </w:p>
        </w:tc>
        <w:tc>
          <w:tcPr>
            <w:tcW w:w="1336" w:type="dxa"/>
          </w:tcPr>
          <w:p w14:paraId="7278676C" w14:textId="02268452" w:rsidR="00C51369" w:rsidRDefault="00C51369" w:rsidP="00973510">
            <w:r>
              <w:t>25.0%</w:t>
            </w:r>
          </w:p>
        </w:tc>
        <w:tc>
          <w:tcPr>
            <w:tcW w:w="1336" w:type="dxa"/>
          </w:tcPr>
          <w:p w14:paraId="102499C4" w14:textId="28ACA444" w:rsidR="00C51369" w:rsidRDefault="00C51369" w:rsidP="00973510">
            <w:r>
              <w:t>12.5%</w:t>
            </w:r>
          </w:p>
        </w:tc>
        <w:tc>
          <w:tcPr>
            <w:tcW w:w="1336" w:type="dxa"/>
          </w:tcPr>
          <w:p w14:paraId="672BADAC" w14:textId="1AAEF96F" w:rsidR="00C51369" w:rsidRDefault="00C51369" w:rsidP="00973510">
            <w:r>
              <w:t>25.0%</w:t>
            </w:r>
          </w:p>
        </w:tc>
      </w:tr>
    </w:tbl>
    <w:p w14:paraId="68B6D2AE" w14:textId="77777777" w:rsidR="00973510" w:rsidRPr="00973510" w:rsidRDefault="00973510" w:rsidP="00973510"/>
    <w:p w14:paraId="6279A529" w14:textId="02AB9C35" w:rsidR="00C51369" w:rsidRDefault="00C51369" w:rsidP="00C51369">
      <w:r>
        <w:t>Table 2</w:t>
      </w:r>
    </w:p>
    <w:p w14:paraId="0C945707" w14:textId="73F05F0B" w:rsidR="00C51369" w:rsidRDefault="00C51369" w:rsidP="00C51369">
      <w:pPr>
        <w:rPr>
          <w:i/>
        </w:rPr>
      </w:pPr>
      <w:r>
        <w:rPr>
          <w:i/>
        </w:rPr>
        <w:t>Number of Publications on 5-HT</w:t>
      </w:r>
      <w:r>
        <w:rPr>
          <w:i/>
          <w:vertAlign w:val="subscript"/>
        </w:rPr>
        <w:t>5A</w:t>
      </w:r>
      <w:r>
        <w:rPr>
          <w:i/>
        </w:rPr>
        <w:t xml:space="preserve"> by Species</w:t>
      </w:r>
    </w:p>
    <w:p w14:paraId="4333C3FF" w14:textId="77777777" w:rsidR="00C51369" w:rsidRDefault="00C51369" w:rsidP="00C51369">
      <w:pPr>
        <w:rPr>
          <w:i/>
        </w:rPr>
      </w:pPr>
    </w:p>
    <w:tbl>
      <w:tblPr>
        <w:tblStyle w:val="TableGrid"/>
        <w:tblW w:w="0" w:type="auto"/>
        <w:tblLook w:val="04A0" w:firstRow="1" w:lastRow="0" w:firstColumn="1" w:lastColumn="0" w:noHBand="0" w:noVBand="1"/>
      </w:tblPr>
      <w:tblGrid>
        <w:gridCol w:w="3116"/>
        <w:gridCol w:w="3117"/>
        <w:gridCol w:w="3117"/>
      </w:tblGrid>
      <w:tr w:rsidR="00C51369" w14:paraId="5AED9069" w14:textId="77777777" w:rsidTr="00C51369">
        <w:tc>
          <w:tcPr>
            <w:tcW w:w="3116" w:type="dxa"/>
          </w:tcPr>
          <w:p w14:paraId="2FADE0ED" w14:textId="208518CE" w:rsidR="00C51369" w:rsidRDefault="00C51369" w:rsidP="00C51369">
            <w:r>
              <w:t>Species</w:t>
            </w:r>
          </w:p>
        </w:tc>
        <w:tc>
          <w:tcPr>
            <w:tcW w:w="3117" w:type="dxa"/>
          </w:tcPr>
          <w:p w14:paraId="3C9AAAAE" w14:textId="25AE06C7" w:rsidR="00C51369" w:rsidRDefault="00C51369" w:rsidP="00C51369">
            <w:r>
              <w:t>Rats</w:t>
            </w:r>
          </w:p>
        </w:tc>
        <w:tc>
          <w:tcPr>
            <w:tcW w:w="3117" w:type="dxa"/>
          </w:tcPr>
          <w:p w14:paraId="1492B319" w14:textId="2046CF45" w:rsidR="00C51369" w:rsidRDefault="00C51369" w:rsidP="00C51369">
            <w:r>
              <w:t>Mice</w:t>
            </w:r>
          </w:p>
        </w:tc>
      </w:tr>
      <w:tr w:rsidR="00C51369" w14:paraId="2F1DAD10" w14:textId="77777777" w:rsidTr="00C51369">
        <w:trPr>
          <w:trHeight w:val="323"/>
        </w:trPr>
        <w:tc>
          <w:tcPr>
            <w:tcW w:w="3116" w:type="dxa"/>
          </w:tcPr>
          <w:p w14:paraId="66C9ED2D" w14:textId="2D155015" w:rsidR="00C51369" w:rsidRDefault="00C51369" w:rsidP="00C51369">
            <w:r>
              <w:t>Number of Publications</w:t>
            </w:r>
          </w:p>
        </w:tc>
        <w:tc>
          <w:tcPr>
            <w:tcW w:w="3117" w:type="dxa"/>
          </w:tcPr>
          <w:p w14:paraId="6B9CB9CD" w14:textId="2A57D8EB" w:rsidR="00C51369" w:rsidRDefault="00C51369" w:rsidP="00C51369">
            <w:r>
              <w:t>7</w:t>
            </w:r>
          </w:p>
        </w:tc>
        <w:tc>
          <w:tcPr>
            <w:tcW w:w="3117" w:type="dxa"/>
          </w:tcPr>
          <w:p w14:paraId="7690E13C" w14:textId="07298910" w:rsidR="00C51369" w:rsidRDefault="00C51369" w:rsidP="00C51369">
            <w:r>
              <w:t>2</w:t>
            </w:r>
          </w:p>
        </w:tc>
      </w:tr>
      <w:tr w:rsidR="00C51369" w14:paraId="207FD8AF" w14:textId="77777777" w:rsidTr="00C51369">
        <w:trPr>
          <w:trHeight w:val="224"/>
        </w:trPr>
        <w:tc>
          <w:tcPr>
            <w:tcW w:w="3116" w:type="dxa"/>
          </w:tcPr>
          <w:p w14:paraId="3622E19B" w14:textId="52209CCA" w:rsidR="00C51369" w:rsidRDefault="00C51369" w:rsidP="00C51369">
            <w:r>
              <w:t>Percent of Total Publications</w:t>
            </w:r>
          </w:p>
        </w:tc>
        <w:tc>
          <w:tcPr>
            <w:tcW w:w="3117" w:type="dxa"/>
          </w:tcPr>
          <w:p w14:paraId="7335D497" w14:textId="12C5EC16" w:rsidR="00C51369" w:rsidRDefault="00C51369" w:rsidP="00C51369">
            <w:r>
              <w:t>77.8%</w:t>
            </w:r>
          </w:p>
        </w:tc>
        <w:tc>
          <w:tcPr>
            <w:tcW w:w="3117" w:type="dxa"/>
          </w:tcPr>
          <w:p w14:paraId="7329AA86" w14:textId="43533AC5" w:rsidR="00C51369" w:rsidRDefault="00C51369" w:rsidP="00C51369">
            <w:r>
              <w:t>22.2%</w:t>
            </w:r>
          </w:p>
        </w:tc>
      </w:tr>
    </w:tbl>
    <w:p w14:paraId="33F2DFAF" w14:textId="77777777" w:rsidR="00C51369" w:rsidRPr="00C51369" w:rsidRDefault="00C51369" w:rsidP="00C51369"/>
    <w:p w14:paraId="07FBD3F1" w14:textId="2BC731D2" w:rsidR="00C51369" w:rsidRDefault="00C51369" w:rsidP="00C51369">
      <w:r>
        <w:t>Table 3</w:t>
      </w:r>
    </w:p>
    <w:p w14:paraId="62FE8AE8" w14:textId="05C8679B" w:rsidR="00C51369" w:rsidRDefault="00C51369" w:rsidP="00C51369">
      <w:pPr>
        <w:rPr>
          <w:i/>
        </w:rPr>
      </w:pPr>
      <w:r>
        <w:rPr>
          <w:i/>
        </w:rPr>
        <w:t>5-HT</w:t>
      </w:r>
      <w:r>
        <w:rPr>
          <w:i/>
          <w:vertAlign w:val="subscript"/>
        </w:rPr>
        <w:t>5A</w:t>
      </w:r>
      <w:r>
        <w:rPr>
          <w:i/>
        </w:rPr>
        <w:t xml:space="preserve"> Publications by Method</w:t>
      </w:r>
    </w:p>
    <w:p w14:paraId="304297DB" w14:textId="77777777" w:rsidR="00C51369" w:rsidRDefault="00C51369" w:rsidP="00C51369">
      <w:pPr>
        <w:rPr>
          <w:i/>
        </w:rPr>
      </w:pPr>
    </w:p>
    <w:tbl>
      <w:tblPr>
        <w:tblStyle w:val="TableGrid"/>
        <w:tblW w:w="0" w:type="auto"/>
        <w:tblLook w:val="04A0" w:firstRow="1" w:lastRow="0" w:firstColumn="1" w:lastColumn="0" w:noHBand="0" w:noVBand="1"/>
      </w:tblPr>
      <w:tblGrid>
        <w:gridCol w:w="2306"/>
        <w:gridCol w:w="2302"/>
        <w:gridCol w:w="2443"/>
        <w:gridCol w:w="2299"/>
      </w:tblGrid>
      <w:tr w:rsidR="00C51369" w14:paraId="7755885C" w14:textId="77777777" w:rsidTr="00C51369">
        <w:tc>
          <w:tcPr>
            <w:tcW w:w="2337" w:type="dxa"/>
          </w:tcPr>
          <w:p w14:paraId="30E12935" w14:textId="0A37E32B" w:rsidR="00C51369" w:rsidRDefault="00C51369" w:rsidP="00C51369">
            <w:r>
              <w:t>Method</w:t>
            </w:r>
          </w:p>
        </w:tc>
        <w:tc>
          <w:tcPr>
            <w:tcW w:w="2337" w:type="dxa"/>
          </w:tcPr>
          <w:p w14:paraId="48F69CFC" w14:textId="6F2ECEEA" w:rsidR="00C51369" w:rsidRDefault="00C51369" w:rsidP="00C51369">
            <w:r>
              <w:t>Antagonist</w:t>
            </w:r>
          </w:p>
        </w:tc>
        <w:tc>
          <w:tcPr>
            <w:tcW w:w="2338" w:type="dxa"/>
          </w:tcPr>
          <w:p w14:paraId="37F15B5F" w14:textId="26FE55C9" w:rsidR="00C51369" w:rsidRDefault="00C51369" w:rsidP="00C51369">
            <w:r>
              <w:t>Immunohistochemistry</w:t>
            </w:r>
          </w:p>
        </w:tc>
        <w:tc>
          <w:tcPr>
            <w:tcW w:w="2338" w:type="dxa"/>
          </w:tcPr>
          <w:p w14:paraId="414B0D99" w14:textId="26F7AB03" w:rsidR="00C51369" w:rsidRDefault="00C51369" w:rsidP="00C51369">
            <w:r>
              <w:t>Knockout</w:t>
            </w:r>
          </w:p>
        </w:tc>
      </w:tr>
      <w:tr w:rsidR="00C51369" w14:paraId="5192DD12" w14:textId="77777777" w:rsidTr="00C51369">
        <w:tc>
          <w:tcPr>
            <w:tcW w:w="2337" w:type="dxa"/>
          </w:tcPr>
          <w:p w14:paraId="275D3333" w14:textId="1D12A41E" w:rsidR="00C51369" w:rsidRDefault="00C51369" w:rsidP="00C51369">
            <w:r>
              <w:t>Number of Publications</w:t>
            </w:r>
          </w:p>
        </w:tc>
        <w:tc>
          <w:tcPr>
            <w:tcW w:w="2337" w:type="dxa"/>
          </w:tcPr>
          <w:p w14:paraId="3D81F615" w14:textId="71C4D3CD" w:rsidR="00C51369" w:rsidRDefault="00C51369" w:rsidP="00C51369">
            <w:r>
              <w:t>6</w:t>
            </w:r>
          </w:p>
        </w:tc>
        <w:tc>
          <w:tcPr>
            <w:tcW w:w="2338" w:type="dxa"/>
          </w:tcPr>
          <w:p w14:paraId="3DCA5334" w14:textId="062DD2AB" w:rsidR="00C51369" w:rsidRDefault="00C51369" w:rsidP="00C51369">
            <w:r>
              <w:t>1</w:t>
            </w:r>
          </w:p>
        </w:tc>
        <w:tc>
          <w:tcPr>
            <w:tcW w:w="2338" w:type="dxa"/>
          </w:tcPr>
          <w:p w14:paraId="15E6C7FC" w14:textId="0668511C" w:rsidR="00C51369" w:rsidRDefault="00C51369" w:rsidP="00C51369">
            <w:r>
              <w:t>1</w:t>
            </w:r>
          </w:p>
        </w:tc>
      </w:tr>
      <w:tr w:rsidR="00C51369" w14:paraId="204E823D" w14:textId="77777777" w:rsidTr="00C51369">
        <w:tc>
          <w:tcPr>
            <w:tcW w:w="2337" w:type="dxa"/>
          </w:tcPr>
          <w:p w14:paraId="1556F95C" w14:textId="482BD3B0" w:rsidR="00C51369" w:rsidRDefault="00C51369" w:rsidP="00C51369">
            <w:r>
              <w:t>Percent of Total Publications</w:t>
            </w:r>
          </w:p>
        </w:tc>
        <w:tc>
          <w:tcPr>
            <w:tcW w:w="2337" w:type="dxa"/>
          </w:tcPr>
          <w:p w14:paraId="44A8EAEE" w14:textId="7E11B053" w:rsidR="00C51369" w:rsidRDefault="00C51369" w:rsidP="00C51369">
            <w:r>
              <w:t>75.0%</w:t>
            </w:r>
          </w:p>
        </w:tc>
        <w:tc>
          <w:tcPr>
            <w:tcW w:w="2338" w:type="dxa"/>
          </w:tcPr>
          <w:p w14:paraId="1F498242" w14:textId="6B0277C6" w:rsidR="00C51369" w:rsidRDefault="00C51369" w:rsidP="00C51369">
            <w:r>
              <w:t>12.5%</w:t>
            </w:r>
          </w:p>
        </w:tc>
        <w:tc>
          <w:tcPr>
            <w:tcW w:w="2338" w:type="dxa"/>
          </w:tcPr>
          <w:p w14:paraId="6216D0A0" w14:textId="58B9C976" w:rsidR="00C51369" w:rsidRDefault="00C51369" w:rsidP="00C51369">
            <w:r>
              <w:t>12.5%</w:t>
            </w:r>
          </w:p>
        </w:tc>
      </w:tr>
    </w:tbl>
    <w:p w14:paraId="743B5DE0" w14:textId="77777777" w:rsidR="00C51369" w:rsidRPr="00C51369" w:rsidRDefault="00C51369" w:rsidP="00C51369"/>
    <w:p w14:paraId="0AFB1EBD" w14:textId="30EAF549" w:rsidR="00C51369" w:rsidRDefault="00C51369" w:rsidP="00C51369">
      <w:r>
        <w:t>Table 4</w:t>
      </w:r>
    </w:p>
    <w:p w14:paraId="5ED6DFD9" w14:textId="6F4BD2A4" w:rsidR="00C51369" w:rsidRDefault="00C51369" w:rsidP="00C51369">
      <w:pPr>
        <w:rPr>
          <w:i/>
        </w:rPr>
      </w:pPr>
      <w:r>
        <w:rPr>
          <w:i/>
        </w:rPr>
        <w:t>5-HT</w:t>
      </w:r>
      <w:r>
        <w:rPr>
          <w:i/>
          <w:vertAlign w:val="subscript"/>
        </w:rPr>
        <w:t>5A</w:t>
      </w:r>
      <w:r>
        <w:rPr>
          <w:i/>
        </w:rPr>
        <w:t xml:space="preserve"> Publications by Antagonists</w:t>
      </w:r>
    </w:p>
    <w:p w14:paraId="25A613A1" w14:textId="77777777" w:rsidR="00C51369" w:rsidRDefault="00C51369" w:rsidP="00C51369">
      <w:pPr>
        <w:rPr>
          <w:i/>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51369" w14:paraId="4FCBE9FE" w14:textId="77777777" w:rsidTr="00C51369">
        <w:tc>
          <w:tcPr>
            <w:tcW w:w="1558" w:type="dxa"/>
          </w:tcPr>
          <w:p w14:paraId="4ADEB2B0" w14:textId="0E836E69" w:rsidR="00C51369" w:rsidRDefault="00C51369" w:rsidP="00C51369">
            <w:r>
              <w:t>Antagonist</w:t>
            </w:r>
          </w:p>
        </w:tc>
        <w:tc>
          <w:tcPr>
            <w:tcW w:w="1558" w:type="dxa"/>
          </w:tcPr>
          <w:p w14:paraId="5C79DB29" w14:textId="2EA1DC2F" w:rsidR="00C51369" w:rsidRDefault="00C51369" w:rsidP="00C51369">
            <w:r>
              <w:t>SB-699551</w:t>
            </w:r>
          </w:p>
        </w:tc>
        <w:tc>
          <w:tcPr>
            <w:tcW w:w="1558" w:type="dxa"/>
          </w:tcPr>
          <w:p w14:paraId="49D989D6" w14:textId="50C86166" w:rsidR="00C51369" w:rsidRDefault="00C51369" w:rsidP="00C51369">
            <w:r>
              <w:t>ASP</w:t>
            </w:r>
            <w:r w:rsidR="00447EBC">
              <w:t>-</w:t>
            </w:r>
            <w:r>
              <w:t>5736</w:t>
            </w:r>
          </w:p>
        </w:tc>
        <w:tc>
          <w:tcPr>
            <w:tcW w:w="1558" w:type="dxa"/>
          </w:tcPr>
          <w:p w14:paraId="3989BDB2" w14:textId="210F08DF" w:rsidR="00C51369" w:rsidRDefault="00C51369" w:rsidP="00C51369">
            <w:r>
              <w:t>A-843277</w:t>
            </w:r>
          </w:p>
        </w:tc>
        <w:tc>
          <w:tcPr>
            <w:tcW w:w="1559" w:type="dxa"/>
          </w:tcPr>
          <w:p w14:paraId="743F1F2A" w14:textId="324D795F" w:rsidR="00C51369" w:rsidRDefault="00C51369" w:rsidP="00C51369">
            <w:r>
              <w:t>AS</w:t>
            </w:r>
            <w:r w:rsidR="00447EBC">
              <w:t>-</w:t>
            </w:r>
            <w:r>
              <w:t>2030680</w:t>
            </w:r>
          </w:p>
        </w:tc>
        <w:tc>
          <w:tcPr>
            <w:tcW w:w="1559" w:type="dxa"/>
          </w:tcPr>
          <w:p w14:paraId="349B95BB" w14:textId="6135F9E4" w:rsidR="00C51369" w:rsidRDefault="00C51369" w:rsidP="00C51369">
            <w:r>
              <w:t>AS</w:t>
            </w:r>
            <w:r w:rsidR="00447EBC">
              <w:t>-</w:t>
            </w:r>
            <w:r>
              <w:t>2674723</w:t>
            </w:r>
          </w:p>
        </w:tc>
      </w:tr>
      <w:tr w:rsidR="00C51369" w14:paraId="504BFF06" w14:textId="77777777" w:rsidTr="00C51369">
        <w:tc>
          <w:tcPr>
            <w:tcW w:w="1558" w:type="dxa"/>
          </w:tcPr>
          <w:p w14:paraId="5CDCA4EA" w14:textId="632F74D4" w:rsidR="00C51369" w:rsidRDefault="00C51369" w:rsidP="00C51369">
            <w:r>
              <w:t>Number of Publications</w:t>
            </w:r>
          </w:p>
        </w:tc>
        <w:tc>
          <w:tcPr>
            <w:tcW w:w="1558" w:type="dxa"/>
          </w:tcPr>
          <w:p w14:paraId="17AF9793" w14:textId="77148420" w:rsidR="00C51369" w:rsidRDefault="00C51369" w:rsidP="00C51369">
            <w:r>
              <w:t>4</w:t>
            </w:r>
          </w:p>
        </w:tc>
        <w:tc>
          <w:tcPr>
            <w:tcW w:w="1558" w:type="dxa"/>
          </w:tcPr>
          <w:p w14:paraId="4656B1D4" w14:textId="691DB3D6" w:rsidR="00C51369" w:rsidRDefault="00C51369" w:rsidP="00C51369">
            <w:r>
              <w:t>2</w:t>
            </w:r>
          </w:p>
        </w:tc>
        <w:tc>
          <w:tcPr>
            <w:tcW w:w="1558" w:type="dxa"/>
          </w:tcPr>
          <w:p w14:paraId="06F0DA2D" w14:textId="33890E75" w:rsidR="00C51369" w:rsidRDefault="00C51369" w:rsidP="00C51369">
            <w:r>
              <w:t>1</w:t>
            </w:r>
          </w:p>
        </w:tc>
        <w:tc>
          <w:tcPr>
            <w:tcW w:w="1559" w:type="dxa"/>
          </w:tcPr>
          <w:p w14:paraId="60EEA0C0" w14:textId="2BFC5FB1" w:rsidR="00C51369" w:rsidRDefault="00C51369" w:rsidP="00C51369">
            <w:r>
              <w:t>1</w:t>
            </w:r>
          </w:p>
        </w:tc>
        <w:tc>
          <w:tcPr>
            <w:tcW w:w="1559" w:type="dxa"/>
          </w:tcPr>
          <w:p w14:paraId="3D99CCA1" w14:textId="0BEFE431" w:rsidR="00C51369" w:rsidRDefault="00C51369" w:rsidP="00C51369">
            <w:r>
              <w:t>1</w:t>
            </w:r>
          </w:p>
        </w:tc>
      </w:tr>
      <w:tr w:rsidR="00C51369" w14:paraId="167A3DA3" w14:textId="77777777" w:rsidTr="00C51369">
        <w:tc>
          <w:tcPr>
            <w:tcW w:w="1558" w:type="dxa"/>
          </w:tcPr>
          <w:p w14:paraId="75865267" w14:textId="5464ECC4" w:rsidR="00C51369" w:rsidRDefault="00C51369" w:rsidP="00C51369">
            <w:r>
              <w:t>Percent of Total Publications</w:t>
            </w:r>
          </w:p>
        </w:tc>
        <w:tc>
          <w:tcPr>
            <w:tcW w:w="1558" w:type="dxa"/>
          </w:tcPr>
          <w:p w14:paraId="3D14223E" w14:textId="6A72884F" w:rsidR="00C51369" w:rsidRDefault="00C51369" w:rsidP="00C51369">
            <w:r>
              <w:t>44.4%</w:t>
            </w:r>
          </w:p>
        </w:tc>
        <w:tc>
          <w:tcPr>
            <w:tcW w:w="1558" w:type="dxa"/>
          </w:tcPr>
          <w:p w14:paraId="487282DC" w14:textId="46E433BD" w:rsidR="00C51369" w:rsidRDefault="00C51369" w:rsidP="00C51369">
            <w:r>
              <w:t>22.2%</w:t>
            </w:r>
          </w:p>
        </w:tc>
        <w:tc>
          <w:tcPr>
            <w:tcW w:w="1558" w:type="dxa"/>
          </w:tcPr>
          <w:p w14:paraId="6C12FFB2" w14:textId="3BA1A8DC" w:rsidR="00C51369" w:rsidRDefault="00C51369" w:rsidP="00C51369">
            <w:r>
              <w:t>11.1%</w:t>
            </w:r>
          </w:p>
        </w:tc>
        <w:tc>
          <w:tcPr>
            <w:tcW w:w="1559" w:type="dxa"/>
          </w:tcPr>
          <w:p w14:paraId="2FE83E56" w14:textId="72BD404E" w:rsidR="00C51369" w:rsidRDefault="00C51369" w:rsidP="00C51369">
            <w:r>
              <w:t>11.1%</w:t>
            </w:r>
          </w:p>
        </w:tc>
        <w:tc>
          <w:tcPr>
            <w:tcW w:w="1559" w:type="dxa"/>
          </w:tcPr>
          <w:p w14:paraId="7BAC27A7" w14:textId="6158E3CC" w:rsidR="00C51369" w:rsidRDefault="00C51369" w:rsidP="00C51369">
            <w:r>
              <w:t>11.1%</w:t>
            </w:r>
          </w:p>
        </w:tc>
      </w:tr>
    </w:tbl>
    <w:p w14:paraId="4ADCBE89" w14:textId="77777777" w:rsidR="00C51369" w:rsidRPr="00C51369" w:rsidRDefault="00C51369" w:rsidP="00C51369"/>
    <w:p w14:paraId="25478E95" w14:textId="69D9CC6B" w:rsidR="002C4574" w:rsidRDefault="00D049C8" w:rsidP="002C4574">
      <w:r>
        <w:t>Table 5</w:t>
      </w:r>
    </w:p>
    <w:p w14:paraId="4535B4E8" w14:textId="5BCEB936" w:rsidR="002C4574" w:rsidRDefault="002C4574" w:rsidP="002C4574">
      <w:pPr>
        <w:rPr>
          <w:i/>
        </w:rPr>
      </w:pPr>
      <w:r>
        <w:rPr>
          <w:i/>
        </w:rPr>
        <w:t>5-HT</w:t>
      </w:r>
      <w:r>
        <w:rPr>
          <w:i/>
          <w:vertAlign w:val="subscript"/>
        </w:rPr>
        <w:t>5A</w:t>
      </w:r>
      <w:r>
        <w:rPr>
          <w:i/>
        </w:rPr>
        <w:t xml:space="preserve"> Publications by </w:t>
      </w:r>
      <w:r w:rsidR="00D049C8">
        <w:rPr>
          <w:i/>
        </w:rPr>
        <w:t>Brain Regions</w:t>
      </w:r>
    </w:p>
    <w:p w14:paraId="5A7BD607" w14:textId="77777777" w:rsidR="00D049C8" w:rsidRDefault="00D049C8" w:rsidP="002C4574">
      <w:pPr>
        <w:rPr>
          <w:i/>
        </w:rPr>
      </w:pPr>
    </w:p>
    <w:tbl>
      <w:tblPr>
        <w:tblStyle w:val="TableGrid"/>
        <w:tblW w:w="9823" w:type="dxa"/>
        <w:tblLook w:val="04A0" w:firstRow="1" w:lastRow="0" w:firstColumn="1" w:lastColumn="0" w:noHBand="0" w:noVBand="1"/>
      </w:tblPr>
      <w:tblGrid>
        <w:gridCol w:w="1403"/>
        <w:gridCol w:w="1550"/>
        <w:gridCol w:w="963"/>
        <w:gridCol w:w="1136"/>
        <w:gridCol w:w="1216"/>
        <w:gridCol w:w="1136"/>
        <w:gridCol w:w="1243"/>
        <w:gridCol w:w="1176"/>
      </w:tblGrid>
      <w:tr w:rsidR="00D049C8" w14:paraId="55DF9DA6" w14:textId="77777777" w:rsidTr="00D049C8">
        <w:tc>
          <w:tcPr>
            <w:tcW w:w="1403" w:type="dxa"/>
          </w:tcPr>
          <w:p w14:paraId="646064BD" w14:textId="35905967" w:rsidR="00D049C8" w:rsidRDefault="00D049C8" w:rsidP="002C4574">
            <w:r>
              <w:lastRenderedPageBreak/>
              <w:t>Brain Region</w:t>
            </w:r>
          </w:p>
        </w:tc>
        <w:tc>
          <w:tcPr>
            <w:tcW w:w="1550" w:type="dxa"/>
          </w:tcPr>
          <w:p w14:paraId="610589B7" w14:textId="2CF0AAA7" w:rsidR="00D049C8" w:rsidRDefault="00D049C8" w:rsidP="002C4574">
            <w:r>
              <w:t>Hippocampus</w:t>
            </w:r>
          </w:p>
        </w:tc>
        <w:tc>
          <w:tcPr>
            <w:tcW w:w="963" w:type="dxa"/>
          </w:tcPr>
          <w:p w14:paraId="2C811044" w14:textId="27CF8D87" w:rsidR="00D049C8" w:rsidRDefault="00D049C8" w:rsidP="002C4574">
            <w:r>
              <w:t>Dentate Gyrus</w:t>
            </w:r>
          </w:p>
        </w:tc>
        <w:tc>
          <w:tcPr>
            <w:tcW w:w="1136" w:type="dxa"/>
          </w:tcPr>
          <w:p w14:paraId="6E59D1EC" w14:textId="60754B1C" w:rsidR="00D049C8" w:rsidRDefault="00D049C8" w:rsidP="002C4574">
            <w:r>
              <w:t>Olfactory Bulb</w:t>
            </w:r>
          </w:p>
        </w:tc>
        <w:tc>
          <w:tcPr>
            <w:tcW w:w="1216" w:type="dxa"/>
          </w:tcPr>
          <w:p w14:paraId="06D7470B" w14:textId="0ECF4D90" w:rsidR="00D049C8" w:rsidRDefault="00D049C8" w:rsidP="002C4574">
            <w:r>
              <w:t>Neocortex</w:t>
            </w:r>
          </w:p>
        </w:tc>
        <w:tc>
          <w:tcPr>
            <w:tcW w:w="1136" w:type="dxa"/>
          </w:tcPr>
          <w:p w14:paraId="0BCD31AA" w14:textId="41DF3F5D" w:rsidR="00D049C8" w:rsidRDefault="00D049C8" w:rsidP="002C4574">
            <w:r>
              <w:t>Medial Habenula</w:t>
            </w:r>
          </w:p>
        </w:tc>
        <w:tc>
          <w:tcPr>
            <w:tcW w:w="1243" w:type="dxa"/>
          </w:tcPr>
          <w:p w14:paraId="59F6F0DE" w14:textId="2C8EB983" w:rsidR="00D049C8" w:rsidRDefault="00D049C8" w:rsidP="002C4574">
            <w:r>
              <w:t>Ventral Tegmental Area</w:t>
            </w:r>
          </w:p>
        </w:tc>
        <w:tc>
          <w:tcPr>
            <w:tcW w:w="1176" w:type="dxa"/>
          </w:tcPr>
          <w:p w14:paraId="718351A2" w14:textId="7A6FB18D" w:rsidR="00D049C8" w:rsidRDefault="00D049C8" w:rsidP="002C4574">
            <w:r>
              <w:t>Prefrontal Cortex</w:t>
            </w:r>
          </w:p>
        </w:tc>
      </w:tr>
      <w:tr w:rsidR="00D049C8" w14:paraId="760EEC68" w14:textId="77777777" w:rsidTr="00D049C8">
        <w:tc>
          <w:tcPr>
            <w:tcW w:w="1403" w:type="dxa"/>
          </w:tcPr>
          <w:p w14:paraId="7EAFD56C" w14:textId="7DC29590" w:rsidR="00D049C8" w:rsidRDefault="00D049C8" w:rsidP="002C4574">
            <w:r>
              <w:t>Number of Publications</w:t>
            </w:r>
          </w:p>
        </w:tc>
        <w:tc>
          <w:tcPr>
            <w:tcW w:w="1550" w:type="dxa"/>
          </w:tcPr>
          <w:p w14:paraId="3A9B948F" w14:textId="29FB5BB2" w:rsidR="00D049C8" w:rsidRDefault="00D049C8" w:rsidP="002C4574">
            <w:r>
              <w:t>1</w:t>
            </w:r>
          </w:p>
        </w:tc>
        <w:tc>
          <w:tcPr>
            <w:tcW w:w="963" w:type="dxa"/>
          </w:tcPr>
          <w:p w14:paraId="7D9F0365" w14:textId="2AF97DAD" w:rsidR="00D049C8" w:rsidRDefault="00D049C8" w:rsidP="002C4574">
            <w:r>
              <w:t>1</w:t>
            </w:r>
          </w:p>
        </w:tc>
        <w:tc>
          <w:tcPr>
            <w:tcW w:w="1136" w:type="dxa"/>
          </w:tcPr>
          <w:p w14:paraId="5852248A" w14:textId="405730A9" w:rsidR="00D049C8" w:rsidRDefault="00D049C8" w:rsidP="002C4574">
            <w:r>
              <w:t>1</w:t>
            </w:r>
          </w:p>
        </w:tc>
        <w:tc>
          <w:tcPr>
            <w:tcW w:w="1216" w:type="dxa"/>
          </w:tcPr>
          <w:p w14:paraId="62509CDF" w14:textId="6BF2A2ED" w:rsidR="00D049C8" w:rsidRDefault="00D049C8" w:rsidP="002C4574">
            <w:r>
              <w:t>1</w:t>
            </w:r>
          </w:p>
        </w:tc>
        <w:tc>
          <w:tcPr>
            <w:tcW w:w="1136" w:type="dxa"/>
          </w:tcPr>
          <w:p w14:paraId="499EEF94" w14:textId="56614EA4" w:rsidR="00D049C8" w:rsidRDefault="00D049C8" w:rsidP="002C4574">
            <w:r>
              <w:t>1</w:t>
            </w:r>
          </w:p>
        </w:tc>
        <w:tc>
          <w:tcPr>
            <w:tcW w:w="1243" w:type="dxa"/>
          </w:tcPr>
          <w:p w14:paraId="7159CF10" w14:textId="6E12BCD2" w:rsidR="00D049C8" w:rsidRDefault="00D049C8" w:rsidP="002C4574">
            <w:r>
              <w:t>1</w:t>
            </w:r>
          </w:p>
        </w:tc>
        <w:tc>
          <w:tcPr>
            <w:tcW w:w="1176" w:type="dxa"/>
          </w:tcPr>
          <w:p w14:paraId="1D6991E6" w14:textId="5FE2BCEC" w:rsidR="00D049C8" w:rsidRDefault="00D049C8" w:rsidP="002C4574">
            <w:r>
              <w:t>1</w:t>
            </w:r>
          </w:p>
        </w:tc>
      </w:tr>
      <w:tr w:rsidR="00D049C8" w14:paraId="21E33F5C" w14:textId="77777777" w:rsidTr="00D049C8">
        <w:tc>
          <w:tcPr>
            <w:tcW w:w="1403" w:type="dxa"/>
          </w:tcPr>
          <w:p w14:paraId="0D6F35C8" w14:textId="46FA2BA3" w:rsidR="00D049C8" w:rsidRDefault="00D049C8" w:rsidP="002C4574">
            <w:r>
              <w:t>Percent of Total Publications</w:t>
            </w:r>
          </w:p>
        </w:tc>
        <w:tc>
          <w:tcPr>
            <w:tcW w:w="1550" w:type="dxa"/>
          </w:tcPr>
          <w:p w14:paraId="7E6EF7D8" w14:textId="0668E2E9" w:rsidR="00D049C8" w:rsidRDefault="00D049C8" w:rsidP="002C4574">
            <w:r>
              <w:t>14.3%</w:t>
            </w:r>
          </w:p>
        </w:tc>
        <w:tc>
          <w:tcPr>
            <w:tcW w:w="963" w:type="dxa"/>
          </w:tcPr>
          <w:p w14:paraId="02271089" w14:textId="24F9815C" w:rsidR="00D049C8" w:rsidRDefault="00D049C8" w:rsidP="002C4574">
            <w:r>
              <w:t>14.3%</w:t>
            </w:r>
          </w:p>
        </w:tc>
        <w:tc>
          <w:tcPr>
            <w:tcW w:w="1136" w:type="dxa"/>
          </w:tcPr>
          <w:p w14:paraId="2FB1FD03" w14:textId="12E47822" w:rsidR="00D049C8" w:rsidRDefault="00D049C8" w:rsidP="002C4574">
            <w:r>
              <w:t>14.3%</w:t>
            </w:r>
          </w:p>
        </w:tc>
        <w:tc>
          <w:tcPr>
            <w:tcW w:w="1216" w:type="dxa"/>
          </w:tcPr>
          <w:p w14:paraId="5A441A22" w14:textId="61E17A0B" w:rsidR="00D049C8" w:rsidRDefault="00D049C8" w:rsidP="002C4574">
            <w:r>
              <w:t>14.3%</w:t>
            </w:r>
          </w:p>
        </w:tc>
        <w:tc>
          <w:tcPr>
            <w:tcW w:w="1136" w:type="dxa"/>
          </w:tcPr>
          <w:p w14:paraId="01AB641F" w14:textId="2213D758" w:rsidR="00D049C8" w:rsidRDefault="00D049C8" w:rsidP="002C4574">
            <w:r>
              <w:t>14.3%</w:t>
            </w:r>
          </w:p>
        </w:tc>
        <w:tc>
          <w:tcPr>
            <w:tcW w:w="1243" w:type="dxa"/>
          </w:tcPr>
          <w:p w14:paraId="272C9D9B" w14:textId="6E3916F2" w:rsidR="00D049C8" w:rsidRDefault="00D049C8" w:rsidP="002C4574">
            <w:r>
              <w:t>14.3%</w:t>
            </w:r>
          </w:p>
        </w:tc>
        <w:tc>
          <w:tcPr>
            <w:tcW w:w="1176" w:type="dxa"/>
          </w:tcPr>
          <w:p w14:paraId="75A6FA75" w14:textId="1F3222CC" w:rsidR="00D049C8" w:rsidRDefault="00D049C8" w:rsidP="002C4574">
            <w:r>
              <w:t>14.3%</w:t>
            </w:r>
          </w:p>
        </w:tc>
      </w:tr>
    </w:tbl>
    <w:p w14:paraId="24A43153" w14:textId="77777777" w:rsidR="00D049C8" w:rsidRPr="00D049C8" w:rsidRDefault="00D049C8" w:rsidP="002C4574"/>
    <w:p w14:paraId="163E1EBA" w14:textId="0ACCCE14" w:rsidR="00352462" w:rsidRDefault="00352462" w:rsidP="00352462">
      <w:r>
        <w:t>Table 6</w:t>
      </w:r>
    </w:p>
    <w:p w14:paraId="682D7466" w14:textId="7DBDA0FC" w:rsidR="00352462" w:rsidRDefault="00352462" w:rsidP="00352462">
      <w:pPr>
        <w:rPr>
          <w:i/>
        </w:rPr>
      </w:pPr>
      <w:r>
        <w:rPr>
          <w:i/>
        </w:rPr>
        <w:t>5-HT</w:t>
      </w:r>
      <w:r>
        <w:rPr>
          <w:i/>
          <w:vertAlign w:val="subscript"/>
        </w:rPr>
        <w:t>5A</w:t>
      </w:r>
      <w:r>
        <w:rPr>
          <w:i/>
        </w:rPr>
        <w:t xml:space="preserve"> Publications by Topic</w:t>
      </w:r>
    </w:p>
    <w:p w14:paraId="25B3CC9E" w14:textId="77777777" w:rsidR="00352462" w:rsidRDefault="00352462" w:rsidP="00352462"/>
    <w:tbl>
      <w:tblPr>
        <w:tblStyle w:val="TableGrid"/>
        <w:tblW w:w="0" w:type="auto"/>
        <w:tblLook w:val="04A0" w:firstRow="1" w:lastRow="0" w:firstColumn="1" w:lastColumn="0" w:noHBand="0" w:noVBand="1"/>
      </w:tblPr>
      <w:tblGrid>
        <w:gridCol w:w="1404"/>
        <w:gridCol w:w="1162"/>
        <w:gridCol w:w="1131"/>
        <w:gridCol w:w="1312"/>
        <w:gridCol w:w="1363"/>
        <w:gridCol w:w="1389"/>
        <w:gridCol w:w="1589"/>
      </w:tblGrid>
      <w:tr w:rsidR="00352462" w14:paraId="39DD578D" w14:textId="77777777" w:rsidTr="00352462">
        <w:tc>
          <w:tcPr>
            <w:tcW w:w="1335" w:type="dxa"/>
          </w:tcPr>
          <w:p w14:paraId="64238DDF" w14:textId="1A3B8011" w:rsidR="00352462" w:rsidRDefault="00352462" w:rsidP="00352462">
            <w:r>
              <w:t>Topic</w:t>
            </w:r>
          </w:p>
        </w:tc>
        <w:tc>
          <w:tcPr>
            <w:tcW w:w="1335" w:type="dxa"/>
          </w:tcPr>
          <w:p w14:paraId="43068AD0" w14:textId="25E48FB1" w:rsidR="00352462" w:rsidRDefault="00352462" w:rsidP="00352462">
            <w:r>
              <w:t>Memory</w:t>
            </w:r>
          </w:p>
        </w:tc>
        <w:tc>
          <w:tcPr>
            <w:tcW w:w="1336" w:type="dxa"/>
          </w:tcPr>
          <w:p w14:paraId="6D082F7E" w14:textId="4C692EF3" w:rsidR="00352462" w:rsidRDefault="00352462" w:rsidP="00352462">
            <w:r>
              <w:t>Anxiety</w:t>
            </w:r>
          </w:p>
        </w:tc>
        <w:tc>
          <w:tcPr>
            <w:tcW w:w="1336" w:type="dxa"/>
          </w:tcPr>
          <w:p w14:paraId="6E12DE1F" w14:textId="7A3AFC36" w:rsidR="00352462" w:rsidRDefault="00352462" w:rsidP="00352462">
            <w:r>
              <w:t>Depression</w:t>
            </w:r>
          </w:p>
        </w:tc>
        <w:tc>
          <w:tcPr>
            <w:tcW w:w="1336" w:type="dxa"/>
          </w:tcPr>
          <w:p w14:paraId="64E03416" w14:textId="43EA9EF3" w:rsidR="00352462" w:rsidRDefault="00352462" w:rsidP="00352462">
            <w:r>
              <w:t>Exploratory</w:t>
            </w:r>
          </w:p>
        </w:tc>
        <w:tc>
          <w:tcPr>
            <w:tcW w:w="1336" w:type="dxa"/>
          </w:tcPr>
          <w:p w14:paraId="083B0E55" w14:textId="1AE0A985" w:rsidR="00352462" w:rsidRDefault="00352462" w:rsidP="00352462">
            <w:r>
              <w:t>Nociception</w:t>
            </w:r>
          </w:p>
        </w:tc>
        <w:tc>
          <w:tcPr>
            <w:tcW w:w="1336" w:type="dxa"/>
          </w:tcPr>
          <w:p w14:paraId="5CA17A4A" w14:textId="37D4139B" w:rsidR="00352462" w:rsidRDefault="00352462" w:rsidP="00352462">
            <w:r>
              <w:t>Schizophrenia</w:t>
            </w:r>
          </w:p>
        </w:tc>
      </w:tr>
      <w:tr w:rsidR="00352462" w14:paraId="5916A179" w14:textId="77777777" w:rsidTr="00352462">
        <w:tc>
          <w:tcPr>
            <w:tcW w:w="1335" w:type="dxa"/>
          </w:tcPr>
          <w:p w14:paraId="7B74A0EC" w14:textId="77ACD05C" w:rsidR="00352462" w:rsidRDefault="00352462" w:rsidP="00352462">
            <w:r>
              <w:t>Number of Publications</w:t>
            </w:r>
          </w:p>
        </w:tc>
        <w:tc>
          <w:tcPr>
            <w:tcW w:w="1335" w:type="dxa"/>
          </w:tcPr>
          <w:p w14:paraId="444E82BB" w14:textId="5E00F54D" w:rsidR="00352462" w:rsidRDefault="00352462" w:rsidP="00352462">
            <w:r>
              <w:t>4</w:t>
            </w:r>
          </w:p>
        </w:tc>
        <w:tc>
          <w:tcPr>
            <w:tcW w:w="1336" w:type="dxa"/>
          </w:tcPr>
          <w:p w14:paraId="12FA29A9" w14:textId="65CF7C90" w:rsidR="00352462" w:rsidRDefault="00352462" w:rsidP="00352462">
            <w:r>
              <w:t>1</w:t>
            </w:r>
          </w:p>
        </w:tc>
        <w:tc>
          <w:tcPr>
            <w:tcW w:w="1336" w:type="dxa"/>
          </w:tcPr>
          <w:p w14:paraId="221CF730" w14:textId="63EA883C" w:rsidR="00352462" w:rsidRDefault="00352462" w:rsidP="00352462">
            <w:r>
              <w:t>1</w:t>
            </w:r>
          </w:p>
        </w:tc>
        <w:tc>
          <w:tcPr>
            <w:tcW w:w="1336" w:type="dxa"/>
          </w:tcPr>
          <w:p w14:paraId="4C43A828" w14:textId="37796387" w:rsidR="00352462" w:rsidRDefault="00352462" w:rsidP="00352462">
            <w:r>
              <w:t>1</w:t>
            </w:r>
          </w:p>
        </w:tc>
        <w:tc>
          <w:tcPr>
            <w:tcW w:w="1336" w:type="dxa"/>
          </w:tcPr>
          <w:p w14:paraId="5A96D774" w14:textId="46EC03F1" w:rsidR="00352462" w:rsidRDefault="00352462" w:rsidP="00352462">
            <w:r>
              <w:t>1</w:t>
            </w:r>
          </w:p>
        </w:tc>
        <w:tc>
          <w:tcPr>
            <w:tcW w:w="1336" w:type="dxa"/>
          </w:tcPr>
          <w:p w14:paraId="67D45D92" w14:textId="675FFC7B" w:rsidR="00352462" w:rsidRDefault="00352462" w:rsidP="00352462">
            <w:r>
              <w:t>1</w:t>
            </w:r>
          </w:p>
        </w:tc>
      </w:tr>
      <w:tr w:rsidR="00352462" w14:paraId="2AA1BF7A" w14:textId="77777777" w:rsidTr="00352462">
        <w:tc>
          <w:tcPr>
            <w:tcW w:w="1335" w:type="dxa"/>
          </w:tcPr>
          <w:p w14:paraId="543D8D53" w14:textId="3BC23E80" w:rsidR="00352462" w:rsidRDefault="00352462" w:rsidP="00352462">
            <w:r>
              <w:t>Percent of Total Publications</w:t>
            </w:r>
          </w:p>
        </w:tc>
        <w:tc>
          <w:tcPr>
            <w:tcW w:w="1335" w:type="dxa"/>
          </w:tcPr>
          <w:p w14:paraId="58639858" w14:textId="6865E2E8" w:rsidR="00352462" w:rsidRDefault="00352462" w:rsidP="00352462">
            <w:r>
              <w:t>44.4%</w:t>
            </w:r>
          </w:p>
        </w:tc>
        <w:tc>
          <w:tcPr>
            <w:tcW w:w="1336" w:type="dxa"/>
          </w:tcPr>
          <w:p w14:paraId="7FD85715" w14:textId="27BED186" w:rsidR="00352462" w:rsidRDefault="00352462" w:rsidP="00352462">
            <w:r>
              <w:t>11.1%</w:t>
            </w:r>
          </w:p>
        </w:tc>
        <w:tc>
          <w:tcPr>
            <w:tcW w:w="1336" w:type="dxa"/>
          </w:tcPr>
          <w:p w14:paraId="2991CF25" w14:textId="59E13926" w:rsidR="00352462" w:rsidRDefault="00352462" w:rsidP="00352462">
            <w:r>
              <w:t>11.1%</w:t>
            </w:r>
          </w:p>
        </w:tc>
        <w:tc>
          <w:tcPr>
            <w:tcW w:w="1336" w:type="dxa"/>
          </w:tcPr>
          <w:p w14:paraId="59C48480" w14:textId="305A40F2" w:rsidR="00352462" w:rsidRDefault="00352462" w:rsidP="00352462">
            <w:r>
              <w:t>11.1%</w:t>
            </w:r>
          </w:p>
        </w:tc>
        <w:tc>
          <w:tcPr>
            <w:tcW w:w="1336" w:type="dxa"/>
          </w:tcPr>
          <w:p w14:paraId="631BF5F8" w14:textId="117A4B19" w:rsidR="00352462" w:rsidRDefault="00352462" w:rsidP="00352462">
            <w:r>
              <w:t>11.1%</w:t>
            </w:r>
          </w:p>
        </w:tc>
        <w:tc>
          <w:tcPr>
            <w:tcW w:w="1336" w:type="dxa"/>
          </w:tcPr>
          <w:p w14:paraId="42B81245" w14:textId="1B9FC6FD" w:rsidR="00352462" w:rsidRDefault="00352462" w:rsidP="00352462">
            <w:r>
              <w:t>11.1%</w:t>
            </w:r>
          </w:p>
        </w:tc>
      </w:tr>
    </w:tbl>
    <w:p w14:paraId="6ED5F0B6" w14:textId="77777777" w:rsidR="00352462" w:rsidRPr="00352462" w:rsidRDefault="00352462" w:rsidP="00352462"/>
    <w:p w14:paraId="3A5C8E34" w14:textId="77777777" w:rsidR="0054156B" w:rsidRDefault="0054156B" w:rsidP="00C51369"/>
    <w:p w14:paraId="51F88F77" w14:textId="16E96700" w:rsidR="00215792" w:rsidRDefault="00213734" w:rsidP="00213734">
      <w:pPr>
        <w:spacing w:line="480" w:lineRule="auto"/>
      </w:pPr>
      <w:r>
        <w:rPr>
          <w:b/>
        </w:rPr>
        <w:t>Overview</w:t>
      </w:r>
      <w:r w:rsidRPr="00213734">
        <w:rPr>
          <w:b/>
        </w:rPr>
        <w:t xml:space="preserve">. </w:t>
      </w:r>
      <w:r w:rsidRPr="00213734">
        <w:t>The 5-HT</w:t>
      </w:r>
      <w:r w:rsidRPr="00213734">
        <w:rPr>
          <w:vertAlign w:val="subscript"/>
        </w:rPr>
        <w:t>5</w:t>
      </w:r>
      <w:r w:rsidRPr="00213734">
        <w:t xml:space="preserve"> receptor family is relatively understudied and not as well understood as more researched families such as 5-HT</w:t>
      </w:r>
      <w:r w:rsidRPr="00213734">
        <w:rPr>
          <w:vertAlign w:val="subscript"/>
        </w:rPr>
        <w:t xml:space="preserve">1 </w:t>
      </w:r>
      <w:r w:rsidRPr="00213734">
        <w:t>or 5-HT</w:t>
      </w:r>
      <w:r w:rsidRPr="00213734">
        <w:rPr>
          <w:vertAlign w:val="subscript"/>
        </w:rPr>
        <w:t>2</w:t>
      </w:r>
      <w:r w:rsidRPr="00213734">
        <w:t>.</w:t>
      </w:r>
      <w:r w:rsidRPr="00213734">
        <w:rPr>
          <w:vertAlign w:val="subscript"/>
        </w:rPr>
        <w:t xml:space="preserve"> </w:t>
      </w:r>
      <w:r w:rsidRPr="00213734">
        <w:t>The 5-HT</w:t>
      </w:r>
      <w:r w:rsidRPr="00213734">
        <w:rPr>
          <w:vertAlign w:val="subscript"/>
        </w:rPr>
        <w:t xml:space="preserve">5A </w:t>
      </w:r>
      <w:r w:rsidRPr="00213734">
        <w:t xml:space="preserve">receptor has been identified in the mouse (Plassat, Boschert, Amlaiky, &amp; Hen, </w:t>
      </w:r>
      <w:commentRangeStart w:id="1"/>
      <w:r w:rsidRPr="00213734">
        <w:t>1992</w:t>
      </w:r>
      <w:commentRangeEnd w:id="1"/>
      <w:r w:rsidRPr="00213734">
        <w:rPr>
          <w:rStyle w:val="CommentReference"/>
        </w:rPr>
        <w:commentReference w:id="1"/>
      </w:r>
      <w:r w:rsidRPr="00213734">
        <w:t xml:space="preserve">; Matthes et al., </w:t>
      </w:r>
      <w:commentRangeStart w:id="2"/>
      <w:r w:rsidRPr="00213734">
        <w:t>1993</w:t>
      </w:r>
      <w:commentRangeEnd w:id="2"/>
      <w:r w:rsidRPr="00213734">
        <w:rPr>
          <w:rStyle w:val="CommentReference"/>
        </w:rPr>
        <w:commentReference w:id="2"/>
      </w:r>
      <w:r w:rsidRPr="00213734">
        <w:t xml:space="preserve">), rat (Erlander et al., </w:t>
      </w:r>
      <w:commentRangeStart w:id="3"/>
      <w:r w:rsidRPr="00213734">
        <w:t>1993</w:t>
      </w:r>
      <w:commentRangeEnd w:id="3"/>
      <w:r w:rsidRPr="00213734">
        <w:rPr>
          <w:rStyle w:val="CommentReference"/>
        </w:rPr>
        <w:commentReference w:id="3"/>
      </w:r>
      <w:r w:rsidRPr="00213734">
        <w:t xml:space="preserve">), and human (Pasqualetti et al., </w:t>
      </w:r>
      <w:commentRangeStart w:id="4"/>
      <w:r w:rsidRPr="00213734">
        <w:t>1998</w:t>
      </w:r>
      <w:commentRangeEnd w:id="4"/>
      <w:r w:rsidRPr="00213734">
        <w:rPr>
          <w:rStyle w:val="CommentReference"/>
        </w:rPr>
        <w:commentReference w:id="4"/>
      </w:r>
      <w:r w:rsidRPr="00213734">
        <w:t>) brains, namely in regions including, but not limited to, the hippocampus, cerebral cortex, and hypothalamus. Thomas (</w:t>
      </w:r>
      <w:commentRangeStart w:id="5"/>
      <w:r w:rsidRPr="00213734">
        <w:t>2006</w:t>
      </w:r>
      <w:commentRangeEnd w:id="5"/>
      <w:r w:rsidRPr="00213734">
        <w:rPr>
          <w:rStyle w:val="CommentReference"/>
        </w:rPr>
        <w:commentReference w:id="5"/>
      </w:r>
      <w:r w:rsidRPr="00213734">
        <w:t>) reviewed several tentative therapeutic roles for the 5-HT</w:t>
      </w:r>
      <w:r w:rsidRPr="00213734">
        <w:rPr>
          <w:vertAlign w:val="subscript"/>
        </w:rPr>
        <w:t xml:space="preserve">5A </w:t>
      </w:r>
      <w:r w:rsidRPr="00213734">
        <w:t xml:space="preserve">receptor, and also summarizes its gene localization, structure, and sequencing. </w:t>
      </w:r>
    </w:p>
    <w:p w14:paraId="13212958" w14:textId="77777777" w:rsidR="00BE5BB2" w:rsidRDefault="00BE5BB2" w:rsidP="00213734">
      <w:pPr>
        <w:spacing w:line="480" w:lineRule="auto"/>
      </w:pPr>
    </w:p>
    <w:p w14:paraId="061E3F72" w14:textId="237BFB67" w:rsidR="00213734" w:rsidRDefault="00213734" w:rsidP="00213734">
      <w:pPr>
        <w:spacing w:line="480" w:lineRule="auto"/>
        <w:rPr>
          <w:color w:val="000000"/>
        </w:rPr>
      </w:pPr>
      <w:r>
        <w:rPr>
          <w:b/>
        </w:rPr>
        <w:t>Discussion of Results.</w:t>
      </w:r>
      <w:r>
        <w:t xml:space="preserve"> </w:t>
      </w:r>
      <w:r w:rsidR="00E038D6">
        <w:t>The majority of publications studying the role of 5-HT</w:t>
      </w:r>
      <w:r w:rsidR="00E038D6">
        <w:rPr>
          <w:vertAlign w:val="subscript"/>
        </w:rPr>
        <w:t>5A</w:t>
      </w:r>
      <w:r w:rsidR="00E038D6">
        <w:t xml:space="preserve"> on behavior have been published after 2010, likely due to </w:t>
      </w:r>
      <w:r w:rsidR="005D5BD3">
        <w:t>somewhat recent discovery</w:t>
      </w:r>
      <w:r w:rsidR="00E038D6">
        <w:t xml:space="preserve"> of selective ligands. These publications overwhelmingly focus on rodent (primarily rat) animal models. Furthermore, the method of choice for the majority of studies is antagonism. </w:t>
      </w:r>
      <w:r w:rsidR="006C3F8E">
        <w:t xml:space="preserve">This is </w:t>
      </w:r>
      <w:r w:rsidR="009C0DDA">
        <w:t xml:space="preserve">partially </w:t>
      </w:r>
      <w:r w:rsidR="006C3F8E">
        <w:t>because there are no known selective 5-HT</w:t>
      </w:r>
      <w:r w:rsidR="006C3F8E">
        <w:rPr>
          <w:vertAlign w:val="subscript"/>
        </w:rPr>
        <w:t>5A</w:t>
      </w:r>
      <w:r w:rsidR="006C3F8E">
        <w:t xml:space="preserve"> agonists</w:t>
      </w:r>
      <w:r w:rsidR="00115CE1">
        <w:t xml:space="preserve"> </w:t>
      </w:r>
      <w:r w:rsidR="006C3F8E">
        <w:t xml:space="preserve">(Gonzalez, Chávez-Pascacio, &amp; Meneses, </w:t>
      </w:r>
      <w:commentRangeStart w:id="6"/>
      <w:commentRangeStart w:id="7"/>
      <w:r w:rsidR="006C3F8E">
        <w:t>2013</w:t>
      </w:r>
      <w:commentRangeEnd w:id="6"/>
      <w:r w:rsidR="006C3F8E">
        <w:rPr>
          <w:rStyle w:val="CommentReference"/>
        </w:rPr>
        <w:commentReference w:id="6"/>
      </w:r>
      <w:commentRangeEnd w:id="7"/>
      <w:r w:rsidR="006C3F8E">
        <w:rPr>
          <w:rStyle w:val="CommentReference"/>
        </w:rPr>
        <w:commentReference w:id="7"/>
      </w:r>
      <w:r w:rsidR="006C3F8E">
        <w:t xml:space="preserve">). </w:t>
      </w:r>
      <w:r w:rsidR="00E038D6">
        <w:t xml:space="preserve">While five </w:t>
      </w:r>
      <w:r w:rsidR="005D5BD3">
        <w:t>different antagonists were found to be used, the selective antagonist SB-699551 was by far the most researched. This may be in part because it was the first selective antagonist developed for 5-HT</w:t>
      </w:r>
      <w:r w:rsidR="005D5BD3">
        <w:rPr>
          <w:vertAlign w:val="subscript"/>
        </w:rPr>
        <w:t>5A</w:t>
      </w:r>
      <w:r w:rsidR="005D5BD3">
        <w:t xml:space="preserve"> (Corbett et al., </w:t>
      </w:r>
      <w:commentRangeStart w:id="8"/>
      <w:r w:rsidR="005D5BD3">
        <w:t>2005</w:t>
      </w:r>
      <w:commentRangeEnd w:id="8"/>
      <w:r w:rsidR="005D5BD3">
        <w:rPr>
          <w:rStyle w:val="CommentReference"/>
        </w:rPr>
        <w:commentReference w:id="8"/>
      </w:r>
      <w:r w:rsidR="005D5BD3">
        <w:t>).</w:t>
      </w:r>
      <w:r w:rsidR="004F4060">
        <w:t xml:space="preserve"> By analyzing the topics of the collected 5-HT</w:t>
      </w:r>
      <w:r w:rsidR="004F4060">
        <w:rPr>
          <w:vertAlign w:val="subscript"/>
        </w:rPr>
        <w:t>5A</w:t>
      </w:r>
      <w:r w:rsidR="004F4060">
        <w:t xml:space="preserve"> studies, we also found that nearly half of publications focused on the role of 5-HT</w:t>
      </w:r>
      <w:r w:rsidR="004F4060">
        <w:rPr>
          <w:vertAlign w:val="subscript"/>
        </w:rPr>
        <w:t>5A</w:t>
      </w:r>
      <w:r w:rsidR="004F4060">
        <w:t xml:space="preserve"> in memory and learning. This is a departure from the topics typically studied in publications focusing on the 5-HT</w:t>
      </w:r>
      <w:r w:rsidR="004F4060">
        <w:rPr>
          <w:vertAlign w:val="subscript"/>
        </w:rPr>
        <w:t xml:space="preserve">1 </w:t>
      </w:r>
      <w:r w:rsidR="004F4060">
        <w:t>or 5-HT</w:t>
      </w:r>
      <w:r w:rsidR="004F4060">
        <w:rPr>
          <w:vertAlign w:val="subscript"/>
        </w:rPr>
        <w:t>2</w:t>
      </w:r>
      <w:r w:rsidR="004F4060">
        <w:t xml:space="preserve"> families, such as anxiety and depression. In fact</w:t>
      </w:r>
      <w:r w:rsidR="004F4060" w:rsidRPr="004F4060">
        <w:t xml:space="preserve">, </w:t>
      </w:r>
      <w:r w:rsidR="004F4060">
        <w:t>l</w:t>
      </w:r>
      <w:r w:rsidR="004F4060" w:rsidRPr="004F4060">
        <w:t>ittle existing research has looked at the relationship between the 5-HT</w:t>
      </w:r>
      <w:r w:rsidR="004F4060" w:rsidRPr="004F4060">
        <w:rPr>
          <w:vertAlign w:val="subscript"/>
        </w:rPr>
        <w:t>5A</w:t>
      </w:r>
      <w:r w:rsidR="004F4060" w:rsidRPr="004F4060">
        <w:t xml:space="preserve"> receptor and </w:t>
      </w:r>
      <w:r w:rsidR="004F4060">
        <w:t>models of depression (</w:t>
      </w:r>
      <w:r w:rsidR="004F4060">
        <w:rPr>
          <w:color w:val="000000"/>
        </w:rPr>
        <w:t xml:space="preserve">Carr &amp; Lucki, </w:t>
      </w:r>
      <w:commentRangeStart w:id="9"/>
      <w:r w:rsidR="004F4060" w:rsidRPr="004F4060">
        <w:rPr>
          <w:color w:val="000000"/>
        </w:rPr>
        <w:t>2010</w:t>
      </w:r>
      <w:commentRangeEnd w:id="9"/>
      <w:r w:rsidR="004F4060">
        <w:rPr>
          <w:rStyle w:val="CommentReference"/>
        </w:rPr>
        <w:commentReference w:id="9"/>
      </w:r>
      <w:r w:rsidR="004F4060" w:rsidRPr="004F4060">
        <w:rPr>
          <w:color w:val="000000"/>
        </w:rPr>
        <w:t>).</w:t>
      </w:r>
      <w:r w:rsidR="00532788">
        <w:rPr>
          <w:color w:val="000000"/>
        </w:rPr>
        <w:t xml:space="preserve"> Such a focus on memory and learning may be due </w:t>
      </w:r>
      <w:r w:rsidR="00AF03AD">
        <w:rPr>
          <w:color w:val="000000"/>
        </w:rPr>
        <w:t xml:space="preserve">findings suggesting relatively high expression and wide distribution of </w:t>
      </w:r>
      <w:r w:rsidR="00AF03AD">
        <w:t>5-HT</w:t>
      </w:r>
      <w:r w:rsidR="00AF03AD">
        <w:rPr>
          <w:vertAlign w:val="subscript"/>
        </w:rPr>
        <w:t>5A</w:t>
      </w:r>
      <w:r w:rsidR="00AF03AD">
        <w:rPr>
          <w:color w:val="000000"/>
        </w:rPr>
        <w:t xml:space="preserve"> receptors in the rat hippocampus (García-Alcocer et al., 2010). </w:t>
      </w:r>
    </w:p>
    <w:p w14:paraId="24310A6D" w14:textId="77777777" w:rsidR="00036046" w:rsidRDefault="00036046" w:rsidP="00213734">
      <w:pPr>
        <w:spacing w:line="480" w:lineRule="auto"/>
        <w:rPr>
          <w:color w:val="000000"/>
        </w:rPr>
      </w:pPr>
    </w:p>
    <w:p w14:paraId="54790A16" w14:textId="4284D385" w:rsidR="00425199" w:rsidRPr="00476965" w:rsidRDefault="00425199" w:rsidP="00213734">
      <w:pPr>
        <w:spacing w:line="480" w:lineRule="auto"/>
        <w:rPr>
          <w:color w:val="000000"/>
        </w:rPr>
      </w:pPr>
      <w:r>
        <w:rPr>
          <w:b/>
          <w:color w:val="000000"/>
        </w:rPr>
        <w:t>Select Brief Literature Reviews.</w:t>
      </w:r>
    </w:p>
    <w:p w14:paraId="14F9F6AD" w14:textId="77777777" w:rsidR="00425199" w:rsidRDefault="00425199" w:rsidP="00213734">
      <w:pPr>
        <w:spacing w:line="480" w:lineRule="auto"/>
        <w:rPr>
          <w:color w:val="000000"/>
        </w:rPr>
      </w:pPr>
    </w:p>
    <w:p w14:paraId="0869CBE5" w14:textId="6410D1E9" w:rsidR="00036046" w:rsidRDefault="00036046" w:rsidP="00213734">
      <w:pPr>
        <w:spacing w:line="480" w:lineRule="auto"/>
      </w:pPr>
      <w:r>
        <w:rPr>
          <w:b/>
          <w:color w:val="000000"/>
        </w:rPr>
        <w:t xml:space="preserve">Brief Summary of </w:t>
      </w:r>
      <w:r w:rsidR="00CC2B85">
        <w:rPr>
          <w:b/>
          <w:color w:val="000000"/>
        </w:rPr>
        <w:t xml:space="preserve">Memory </w:t>
      </w:r>
      <w:r>
        <w:rPr>
          <w:b/>
          <w:color w:val="000000"/>
        </w:rPr>
        <w:t xml:space="preserve">Literature. </w:t>
      </w:r>
      <w:r w:rsidR="00B75662">
        <w:rPr>
          <w:color w:val="000000"/>
        </w:rPr>
        <w:t>The</w:t>
      </w:r>
      <w:r w:rsidR="00F94CA3" w:rsidRPr="00F94CA3">
        <w:t xml:space="preserve"> </w:t>
      </w:r>
      <w:r w:rsidR="00F94CA3">
        <w:t xml:space="preserve">selective antagonist SB-699551 has been linked to decreased responses in associative learning for both short- and long-term memory tasks (Gonzalez et al., 2013), and has been shown to produce amnesia-like effects </w:t>
      </w:r>
      <w:r w:rsidR="00F94CA3" w:rsidRPr="00F94CA3">
        <w:t xml:space="preserve">(Aparicio-Nava, Márquex-García, &amp; Meneses, </w:t>
      </w:r>
      <w:commentRangeStart w:id="10"/>
      <w:r w:rsidR="00F94CA3" w:rsidRPr="00F94CA3">
        <w:t>2018</w:t>
      </w:r>
      <w:commentRangeEnd w:id="10"/>
      <w:r w:rsidR="00F94CA3" w:rsidRPr="00F94CA3">
        <w:rPr>
          <w:rStyle w:val="CommentReference"/>
          <w:sz w:val="24"/>
        </w:rPr>
        <w:commentReference w:id="10"/>
      </w:r>
      <w:r w:rsidR="00F94CA3" w:rsidRPr="00F94CA3">
        <w:t>).</w:t>
      </w:r>
      <w:r w:rsidR="00F94CA3">
        <w:t xml:space="preserve"> However, SB-699551 has also reversed forgetting effects in object recognition (Yamazaki et al., </w:t>
      </w:r>
      <w:commentRangeStart w:id="11"/>
      <w:r w:rsidR="00F94CA3">
        <w:t>2018</w:t>
      </w:r>
      <w:commentRangeEnd w:id="11"/>
      <w:r w:rsidR="00F94CA3">
        <w:rPr>
          <w:rStyle w:val="CommentReference"/>
        </w:rPr>
        <w:commentReference w:id="11"/>
      </w:r>
      <w:r w:rsidR="00F94CA3">
        <w:t xml:space="preserve">; </w:t>
      </w:r>
      <w:r w:rsidR="00F94CA3" w:rsidRPr="00F94CA3">
        <w:t xml:space="preserve">Nikiforuk, Hołuj, Kos, &amp; Popik, </w:t>
      </w:r>
      <w:commentRangeStart w:id="12"/>
      <w:r w:rsidR="00F94CA3" w:rsidRPr="00F94CA3">
        <w:t>2016</w:t>
      </w:r>
      <w:commentRangeEnd w:id="12"/>
      <w:r w:rsidR="00F94CA3" w:rsidRPr="00F94CA3">
        <w:rPr>
          <w:rStyle w:val="CommentReference"/>
          <w:sz w:val="24"/>
        </w:rPr>
        <w:commentReference w:id="12"/>
      </w:r>
      <w:r w:rsidR="00F94CA3" w:rsidRPr="00F94CA3">
        <w:t>)</w:t>
      </w:r>
      <w:r w:rsidR="00F94CA3">
        <w:t xml:space="preserve">. </w:t>
      </w:r>
      <w:r w:rsidR="00F0315A" w:rsidRPr="00F0315A">
        <w:t>The 5-HT</w:t>
      </w:r>
      <w:r w:rsidR="00F0315A" w:rsidRPr="00F0315A">
        <w:rPr>
          <w:vertAlign w:val="subscript"/>
        </w:rPr>
        <w:t xml:space="preserve">5A </w:t>
      </w:r>
      <w:r w:rsidR="00F0315A" w:rsidRPr="00F0315A">
        <w:t xml:space="preserve">antagonists ASP5736, AS2030680, and AS2674723 were also assessed regarding their role in rodent models of dementia and age-related cognitive dysfunction, and analyses suggest that all three agents actually decreased scopolamine-induced working memory deficits and improved reference memory impairments in mice and rats, respectively (Yamazaki, Okabe, Yamamoto, Yarimizu, &amp; Harada, </w:t>
      </w:r>
      <w:commentRangeStart w:id="13"/>
      <w:r w:rsidR="00F0315A" w:rsidRPr="00F0315A">
        <w:t>2015</w:t>
      </w:r>
      <w:commentRangeEnd w:id="13"/>
      <w:r w:rsidR="00F0315A" w:rsidRPr="00F0315A">
        <w:commentReference w:id="13"/>
      </w:r>
      <w:r w:rsidR="00F0315A" w:rsidRPr="00F0315A">
        <w:t xml:space="preserve">). </w:t>
      </w:r>
      <w:r w:rsidR="00F94CA3">
        <w:t xml:space="preserve">Therefore, while SB-699551 </w:t>
      </w:r>
      <w:r w:rsidR="00F0315A">
        <w:t>may be useful in studying therapeutic approaches for dementia and memory functions, the precise role of 5-HT</w:t>
      </w:r>
      <w:r w:rsidR="00F0315A">
        <w:rPr>
          <w:vertAlign w:val="subscript"/>
        </w:rPr>
        <w:t>5A</w:t>
      </w:r>
      <w:r w:rsidR="00F0315A">
        <w:t xml:space="preserve"> remains unclear in memory and learning remains unclear.</w:t>
      </w:r>
    </w:p>
    <w:p w14:paraId="1D60F59B" w14:textId="77777777" w:rsidR="00436BBE" w:rsidRDefault="00436BBE" w:rsidP="00213734">
      <w:pPr>
        <w:spacing w:line="480" w:lineRule="auto"/>
      </w:pPr>
    </w:p>
    <w:p w14:paraId="25C2266B" w14:textId="43497C3E" w:rsidR="00CC2B85" w:rsidRDefault="00CC2B85" w:rsidP="00CC2B85">
      <w:pPr>
        <w:spacing w:line="480" w:lineRule="auto"/>
      </w:pPr>
      <w:r>
        <w:rPr>
          <w:b/>
          <w:color w:val="000000"/>
        </w:rPr>
        <w:t xml:space="preserve">Brief Summary of Schizophrenia Literature. </w:t>
      </w:r>
      <w:r w:rsidR="00F0315A">
        <w:t>Furthermore, 5-HT</w:t>
      </w:r>
      <w:r w:rsidR="00F0315A">
        <w:rPr>
          <w:vertAlign w:val="subscript"/>
        </w:rPr>
        <w:t xml:space="preserve">5A </w:t>
      </w:r>
      <w:r w:rsidR="00F0315A">
        <w:t xml:space="preserve">has also been examined in animal models of schizophrenia. Antagonist </w:t>
      </w:r>
      <w:r w:rsidR="00F0315A" w:rsidRPr="00F0315A">
        <w:t xml:space="preserve">ASP5736 may reduce positive symptoms associated with animal models of schizophrenia (Yamazaki et al., </w:t>
      </w:r>
      <w:commentRangeStart w:id="14"/>
      <w:r w:rsidR="00F0315A" w:rsidRPr="00F0315A">
        <w:t>2014</w:t>
      </w:r>
      <w:commentRangeEnd w:id="14"/>
      <w:r w:rsidR="00F0315A" w:rsidRPr="00F0315A">
        <w:commentReference w:id="14"/>
      </w:r>
      <w:r w:rsidR="00F0315A" w:rsidRPr="00F0315A">
        <w:t>),</w:t>
      </w:r>
      <w:r>
        <w:t xml:space="preserve"> and SB-699551 has been demonstrated to reduce ketamine-induced social withdrawal, a negative symptom in animal models of schizophrenia (Nikiforuk et al., 2016). 5-HT</w:t>
      </w:r>
      <w:r>
        <w:rPr>
          <w:vertAlign w:val="subscript"/>
        </w:rPr>
        <w:t>5A</w:t>
      </w:r>
      <w:r>
        <w:t xml:space="preserve"> may be a promising target in therapeutic research on schizophrenia. </w:t>
      </w:r>
    </w:p>
    <w:p w14:paraId="0CF68463" w14:textId="77777777" w:rsidR="00CC2B85" w:rsidRDefault="00CC2B85" w:rsidP="00CC2B85">
      <w:pPr>
        <w:spacing w:line="480" w:lineRule="auto"/>
      </w:pPr>
    </w:p>
    <w:p w14:paraId="70E02D28" w14:textId="32BAB670" w:rsidR="00CC2B85" w:rsidRPr="00CC2B85" w:rsidRDefault="00CC2B85" w:rsidP="00CC2B85">
      <w:pPr>
        <w:spacing w:line="480" w:lineRule="auto"/>
      </w:pPr>
      <w:r>
        <w:rPr>
          <w:b/>
          <w:color w:val="000000"/>
        </w:rPr>
        <w:t>Brief Summary of Anxiety &amp; Depression Literature</w:t>
      </w:r>
      <w:r w:rsidR="00DE18E4">
        <w:rPr>
          <w:b/>
          <w:color w:val="000000"/>
        </w:rPr>
        <w:t>.</w:t>
      </w:r>
      <w:r w:rsidRPr="00CC2B85">
        <w:t xml:space="preserve"> SB-699551 exhibited an anxiolytic-like effect in the vocalization test, and compound A-843277 demonstrated an antidepressant-like property in the forced swim test (though this may have resulted from abdominal irritation; Kassai et al., </w:t>
      </w:r>
      <w:commentRangeStart w:id="15"/>
      <w:r w:rsidRPr="00CC2B85">
        <w:t>2012</w:t>
      </w:r>
      <w:commentRangeEnd w:id="15"/>
      <w:r>
        <w:rPr>
          <w:rStyle w:val="CommentReference"/>
        </w:rPr>
        <w:commentReference w:id="15"/>
      </w:r>
      <w:r w:rsidRPr="00CC2B85">
        <w:t>). Further analyses of 5-HT</w:t>
      </w:r>
      <w:r w:rsidRPr="00CC2B85">
        <w:rPr>
          <w:vertAlign w:val="subscript"/>
        </w:rPr>
        <w:t xml:space="preserve">5A </w:t>
      </w:r>
      <w:r w:rsidRPr="00CC2B85">
        <w:t>antagonists and their role in antidepressive function should be performed.</w:t>
      </w:r>
    </w:p>
    <w:p w14:paraId="0139EDB7" w14:textId="77777777" w:rsidR="00CC2B85" w:rsidRDefault="00CC2B85" w:rsidP="00CC2B85">
      <w:pPr>
        <w:spacing w:line="480" w:lineRule="auto"/>
      </w:pPr>
    </w:p>
    <w:p w14:paraId="079037DC" w14:textId="3F307221" w:rsidR="00DE18E4" w:rsidRDefault="00DE18E4" w:rsidP="00CC2B85">
      <w:pPr>
        <w:spacing w:line="480" w:lineRule="auto"/>
      </w:pPr>
      <w:r>
        <w:rPr>
          <w:b/>
        </w:rPr>
        <w:t>Future Directions.</w:t>
      </w:r>
      <w:r w:rsidR="00436BBE">
        <w:rPr>
          <w:b/>
        </w:rPr>
        <w:t xml:space="preserve"> </w:t>
      </w:r>
      <w:r w:rsidR="00436BBE">
        <w:t>The 5-HT</w:t>
      </w:r>
      <w:r w:rsidR="00436BBE">
        <w:rPr>
          <w:vertAlign w:val="subscript"/>
        </w:rPr>
        <w:t xml:space="preserve">5A </w:t>
      </w:r>
      <w:r w:rsidR="00436BBE">
        <w:t>receptor is one of the least studied of the various 5-HT receptor subtypes. Because there are no available selective agonists, the majority of publications focus on antagonist functions. Until a greater number of selective ligands are identified, research on 5-HT</w:t>
      </w:r>
      <w:r w:rsidR="00436BBE">
        <w:rPr>
          <w:vertAlign w:val="subscript"/>
        </w:rPr>
        <w:t xml:space="preserve">5A </w:t>
      </w:r>
      <w:r w:rsidR="00436BBE">
        <w:t>may be limited in comparison to research on other 5-HT receptor subtypes. However, several recent publications suggest a causal role of 5-HT</w:t>
      </w:r>
      <w:r w:rsidR="00436BBE">
        <w:rPr>
          <w:vertAlign w:val="subscript"/>
        </w:rPr>
        <w:t xml:space="preserve">5A </w:t>
      </w:r>
      <w:r w:rsidR="00436BBE">
        <w:t xml:space="preserve">in memory functions, as well as in animal models of schizophrenia, anxiety, and depression. In particular, there is yet to be a clear consensus as to the role of the selective antagonist </w:t>
      </w:r>
      <w:r w:rsidR="00436BBE" w:rsidRPr="00CC2B85">
        <w:t>SB-699551</w:t>
      </w:r>
      <w:r w:rsidR="00436BBE">
        <w:t xml:space="preserve"> in any of these topics, and conflicting findings exist in the memory domain. </w:t>
      </w:r>
    </w:p>
    <w:p w14:paraId="3B27D82B" w14:textId="77777777" w:rsidR="009E4881" w:rsidRDefault="009E4881" w:rsidP="00CC2B85">
      <w:pPr>
        <w:spacing w:line="480" w:lineRule="auto"/>
      </w:pPr>
    </w:p>
    <w:p w14:paraId="029CB3A8" w14:textId="50A4D2D3" w:rsidR="009E4881" w:rsidRPr="00436BBE" w:rsidRDefault="009E4881" w:rsidP="00CC2B85">
      <w:pPr>
        <w:spacing w:line="480" w:lineRule="auto"/>
      </w:pPr>
      <w:r>
        <w:t>---------------------------------------------------------------------------------------------------------------------</w:t>
      </w:r>
    </w:p>
    <w:p w14:paraId="7AB92560" w14:textId="1F02CFC9" w:rsidR="00F0315A" w:rsidRDefault="00F0315A" w:rsidP="00213734">
      <w:pPr>
        <w:spacing w:line="480" w:lineRule="auto"/>
        <w:rPr>
          <w:color w:val="000000"/>
        </w:rPr>
      </w:pPr>
    </w:p>
    <w:p w14:paraId="66162447" w14:textId="3F3615E4" w:rsidR="00E77F67" w:rsidRDefault="0017732C" w:rsidP="00213734">
      <w:pPr>
        <w:spacing w:line="480" w:lineRule="auto"/>
        <w:rPr>
          <w:color w:val="000000"/>
        </w:rPr>
      </w:pPr>
      <w:r w:rsidRPr="0017732C">
        <w:rPr>
          <w:color w:val="000000"/>
          <w:highlight w:val="yellow"/>
        </w:rPr>
        <w:t>A FEW COMMENTS/CONCERNS FOR FEEDBACK @ HANNAH &amp; STEVE:</w:t>
      </w:r>
    </w:p>
    <w:p w14:paraId="543231AB" w14:textId="6BDD6D72" w:rsidR="00E77F67" w:rsidRPr="0017732C" w:rsidRDefault="00062364" w:rsidP="0017732C">
      <w:pPr>
        <w:pStyle w:val="ListParagraph"/>
        <w:numPr>
          <w:ilvl w:val="0"/>
          <w:numId w:val="1"/>
        </w:numPr>
        <w:spacing w:line="480" w:lineRule="auto"/>
        <w:rPr>
          <w:rFonts w:ascii="Times New Roman" w:hAnsi="Times New Roman" w:cs="Times New Roman"/>
          <w:color w:val="000000"/>
        </w:rPr>
      </w:pPr>
      <w:r>
        <w:rPr>
          <w:rFonts w:ascii="Times New Roman" w:hAnsi="Times New Roman" w:cs="Times New Roman"/>
          <w:color w:val="000000"/>
        </w:rPr>
        <w:t xml:space="preserve">When compiling tallies for various variables of interest (e.g., species, antagonists, etc.), I think it might be best to “double-count” publications for certain variables (I did this above). This means: although there may be 10 studies for a receptor subtype, the sums of each table may not add up to 10 if the same study does multiple techniques in the same variable type. For example, if a publication looks at ‘mice’ AND ‘rats’, I would count that as +1 for mice and +1 for rats, meaning that the species table will have an n greater than the number of actual publications. Do you think this is a good idea, or should there just be another column for “mice &amp; rats”. The latter, I think, would get more confusing and would certainly be more difficult to code. </w:t>
      </w:r>
    </w:p>
    <w:p w14:paraId="24A842C4" w14:textId="77777777" w:rsidR="00E77F67" w:rsidRPr="00F0315A" w:rsidRDefault="00E77F67" w:rsidP="00213734">
      <w:pPr>
        <w:spacing w:line="480" w:lineRule="auto"/>
        <w:rPr>
          <w:color w:val="000000"/>
        </w:rPr>
      </w:pPr>
    </w:p>
    <w:p w14:paraId="675059C4" w14:textId="5F449686" w:rsidR="00062364" w:rsidRDefault="00062364" w:rsidP="00062364">
      <w:pPr>
        <w:pStyle w:val="ListParagraph"/>
        <w:numPr>
          <w:ilvl w:val="0"/>
          <w:numId w:val="1"/>
        </w:numPr>
        <w:spacing w:line="480" w:lineRule="auto"/>
        <w:rPr>
          <w:rFonts w:ascii="Times New Roman" w:hAnsi="Times New Roman" w:cs="Times New Roman"/>
          <w:color w:val="000000"/>
        </w:rPr>
      </w:pPr>
      <w:r>
        <w:rPr>
          <w:rFonts w:ascii="Times New Roman" w:hAnsi="Times New Roman" w:cs="Times New Roman"/>
          <w:color w:val="000000"/>
        </w:rPr>
        <w:t>Since we’ll be automating the text mining, I may re-run the PubMed and Web of Science library search and omit the term “behav*”, since this is a somewhat specific (and sometimes too exclusionary) term that was mostly added to reduce our article count. Any objections?</w:t>
      </w:r>
    </w:p>
    <w:p w14:paraId="654F78E1" w14:textId="77777777" w:rsidR="00062364" w:rsidRPr="00062364" w:rsidRDefault="00062364" w:rsidP="00062364">
      <w:pPr>
        <w:spacing w:line="480" w:lineRule="auto"/>
        <w:rPr>
          <w:color w:val="000000"/>
        </w:rPr>
      </w:pPr>
    </w:p>
    <w:p w14:paraId="40E93920" w14:textId="77777777" w:rsidR="0002708F" w:rsidRDefault="00062364" w:rsidP="0002708F">
      <w:pPr>
        <w:pStyle w:val="ListParagraph"/>
        <w:numPr>
          <w:ilvl w:val="0"/>
          <w:numId w:val="1"/>
        </w:numPr>
        <w:spacing w:line="480" w:lineRule="auto"/>
        <w:rPr>
          <w:rFonts w:ascii="Times New Roman" w:hAnsi="Times New Roman" w:cs="Times New Roman"/>
          <w:color w:val="000000"/>
        </w:rPr>
      </w:pPr>
      <w:r>
        <w:rPr>
          <w:rFonts w:ascii="Times New Roman" w:hAnsi="Times New Roman" w:cs="Times New Roman"/>
          <w:color w:val="000000"/>
        </w:rPr>
        <w:t>For studies that look at multiple receptor subtypes (this happens often), publications will be double-counted – BUT since the ‘results’ tables will be made from receptor-specific subsets, this shouldn’t affect the total number of publications per receptor, which would be untouched in the studies/year table.</w:t>
      </w:r>
    </w:p>
    <w:p w14:paraId="68D27BE4" w14:textId="77777777" w:rsidR="00C92E44" w:rsidRPr="00C92E44" w:rsidRDefault="00C92E44" w:rsidP="00C92E44">
      <w:pPr>
        <w:spacing w:line="480" w:lineRule="auto"/>
        <w:rPr>
          <w:color w:val="000000"/>
        </w:rPr>
      </w:pPr>
    </w:p>
    <w:p w14:paraId="1B7B6B5C" w14:textId="7D5F3442" w:rsidR="00C92E44" w:rsidRDefault="00C92E44" w:rsidP="0002708F">
      <w:pPr>
        <w:pStyle w:val="ListParagraph"/>
        <w:numPr>
          <w:ilvl w:val="0"/>
          <w:numId w:val="1"/>
        </w:numPr>
        <w:spacing w:line="480" w:lineRule="auto"/>
        <w:rPr>
          <w:rFonts w:ascii="Times New Roman" w:hAnsi="Times New Roman" w:cs="Times New Roman"/>
          <w:color w:val="000000"/>
        </w:rPr>
      </w:pPr>
      <w:r>
        <w:rPr>
          <w:rFonts w:ascii="Times New Roman" w:hAnsi="Times New Roman" w:cs="Times New Roman"/>
          <w:color w:val="000000"/>
        </w:rPr>
        <w:t xml:space="preserve">Other than these few concerns, let me know what you think about the general format of the results section. </w:t>
      </w:r>
      <w:r w:rsidR="00E14C06">
        <w:rPr>
          <w:rFonts w:ascii="Times New Roman" w:hAnsi="Times New Roman" w:cs="Times New Roman"/>
          <w:color w:val="000000"/>
        </w:rPr>
        <w:t xml:space="preserve">For more studied receptors, this section will obviously be much longer (and have more meaningful statistics in the tables), but I think having </w:t>
      </w:r>
      <w:r w:rsidR="00E14C06">
        <w:rPr>
          <w:rFonts w:ascii="Times New Roman" w:hAnsi="Times New Roman" w:cs="Times New Roman"/>
          <w:i/>
          <w:color w:val="000000"/>
        </w:rPr>
        <w:t>brief</w:t>
      </w:r>
      <w:r w:rsidR="00E14C06">
        <w:rPr>
          <w:rFonts w:ascii="Times New Roman" w:hAnsi="Times New Roman" w:cs="Times New Roman"/>
          <w:color w:val="000000"/>
        </w:rPr>
        <w:t xml:space="preserve"> literature reviews for the major topics will be manageable – especially since reviews exist for some of the more studied receptors which can be referenced. </w:t>
      </w:r>
    </w:p>
    <w:p w14:paraId="3B4CA382" w14:textId="77777777" w:rsidR="0002708F" w:rsidRPr="0002708F" w:rsidRDefault="0002708F" w:rsidP="0002708F">
      <w:pPr>
        <w:spacing w:line="480" w:lineRule="auto"/>
        <w:rPr>
          <w:color w:val="000000"/>
          <w:highlight w:val="yellow"/>
        </w:rPr>
      </w:pPr>
    </w:p>
    <w:p w14:paraId="6899D89C" w14:textId="41B13215" w:rsidR="0002708F" w:rsidRPr="0002708F" w:rsidRDefault="00FE4893" w:rsidP="0002708F">
      <w:pPr>
        <w:spacing w:line="480" w:lineRule="auto"/>
        <w:rPr>
          <w:color w:val="000000"/>
        </w:rPr>
      </w:pPr>
      <w:r>
        <w:rPr>
          <w:color w:val="000000"/>
          <w:highlight w:val="yellow"/>
        </w:rPr>
        <w:t>CODING UPDATE &amp; PSEUDOCODE EXAMPLE</w:t>
      </w:r>
      <w:r w:rsidR="0002708F" w:rsidRPr="0002708F">
        <w:rPr>
          <w:color w:val="000000"/>
          <w:highlight w:val="yellow"/>
        </w:rPr>
        <w:t>:</w:t>
      </w:r>
    </w:p>
    <w:p w14:paraId="32DB150C" w14:textId="482C87BF" w:rsidR="00884DAC" w:rsidRDefault="00884DAC" w:rsidP="00062364">
      <w:pPr>
        <w:spacing w:line="480" w:lineRule="auto"/>
        <w:rPr>
          <w:color w:val="000000"/>
        </w:rPr>
      </w:pPr>
      <w:r>
        <w:rPr>
          <w:color w:val="000000"/>
        </w:rPr>
        <w:t>Good news: the text mining required for this paper is doable!</w:t>
      </w:r>
      <w:r w:rsidR="00D46547">
        <w:rPr>
          <w:color w:val="000000"/>
        </w:rPr>
        <w:t xml:space="preserve"> I’m still working out the details of some of the R packages I’ll be working with (pdftools, tm, tidytext, etc.), but I’ve spent some time outlining the general structure of extraction.</w:t>
      </w:r>
    </w:p>
    <w:p w14:paraId="365B76C5" w14:textId="77777777" w:rsidR="00AE74CD" w:rsidRDefault="00AE74CD" w:rsidP="00062364">
      <w:pPr>
        <w:spacing w:line="480" w:lineRule="auto"/>
        <w:rPr>
          <w:color w:val="000000"/>
        </w:rPr>
      </w:pPr>
    </w:p>
    <w:p w14:paraId="23F64AC3" w14:textId="77777777" w:rsidR="00AE74CD" w:rsidRDefault="00AE74CD" w:rsidP="00062364">
      <w:pPr>
        <w:spacing w:line="480" w:lineRule="auto"/>
        <w:rPr>
          <w:color w:val="000000"/>
        </w:rPr>
      </w:pPr>
      <w:r>
        <w:rPr>
          <w:color w:val="000000"/>
        </w:rPr>
        <w:t>Here’s the basic outline:</w:t>
      </w:r>
    </w:p>
    <w:p w14:paraId="0A84308B" w14:textId="3A9EEB50" w:rsidR="00B6651B" w:rsidRDefault="00B46AA4" w:rsidP="00062364">
      <w:pPr>
        <w:spacing w:line="480" w:lineRule="auto"/>
        <w:rPr>
          <w:color w:val="000000"/>
        </w:rPr>
      </w:pPr>
      <w:r>
        <w:rPr>
          <w:color w:val="000000"/>
        </w:rPr>
        <w:t># read in pdf of paper</w:t>
      </w:r>
    </w:p>
    <w:p w14:paraId="52B76B28" w14:textId="47C2195B" w:rsidR="00AE74CD" w:rsidRDefault="00B46AA4" w:rsidP="00AE74CD">
      <w:pPr>
        <w:spacing w:line="480" w:lineRule="auto"/>
        <w:rPr>
          <w:rFonts w:eastAsia="Times New Roman"/>
        </w:rPr>
      </w:pPr>
      <w:r>
        <w:rPr>
          <w:rFonts w:eastAsia="Times New Roman"/>
        </w:rPr>
        <w:t xml:space="preserve">file &lt;- system.file('pdf', </w:t>
      </w:r>
      <w:r w:rsidR="00AE74CD">
        <w:rPr>
          <w:rFonts w:eastAsia="Times New Roman"/>
        </w:rPr>
        <w:t>SEROTONIN</w:t>
      </w:r>
      <w:r>
        <w:rPr>
          <w:rFonts w:eastAsia="Times New Roman"/>
        </w:rPr>
        <w:t>.pdf', package = 'pdfsearch')</w:t>
      </w:r>
    </w:p>
    <w:p w14:paraId="7C538F92" w14:textId="2CB7DA3D" w:rsidR="00AE74CD" w:rsidRDefault="00AE74CD" w:rsidP="00AE74CD">
      <w:pPr>
        <w:spacing w:line="480" w:lineRule="auto"/>
        <w:rPr>
          <w:rFonts w:eastAsia="Times New Roman"/>
        </w:rPr>
      </w:pPr>
      <w:r>
        <w:rPr>
          <w:rFonts w:eastAsia="Times New Roman"/>
        </w:rPr>
        <w:t># convert to all lower case, and split by lines and spaces</w:t>
      </w:r>
    </w:p>
    <w:p w14:paraId="27857C79" w14:textId="138AFC69" w:rsidR="00AE74CD" w:rsidRDefault="00AE74CD" w:rsidP="00AE74CD">
      <w:pPr>
        <w:spacing w:line="480" w:lineRule="auto"/>
        <w:rPr>
          <w:rFonts w:eastAsia="Times New Roman"/>
        </w:rPr>
      </w:pPr>
      <w:r>
        <w:rPr>
          <w:rFonts w:eastAsia="Times New Roman"/>
        </w:rPr>
        <w:t>file&lt;- sapply(file, tolower)</w:t>
      </w:r>
    </w:p>
    <w:p w14:paraId="1708E870" w14:textId="6850633F" w:rsidR="00AE74CD" w:rsidRPr="00AE74CD" w:rsidRDefault="009E3DA1" w:rsidP="00AE74CD">
      <w:pPr>
        <w:spacing w:line="480" w:lineRule="auto"/>
        <w:rPr>
          <w:rFonts w:eastAsia="Times New Roman"/>
        </w:rPr>
      </w:pPr>
      <w:r>
        <w:rPr>
          <w:rFonts w:eastAsia="Times New Roman"/>
        </w:rPr>
        <w:t>file</w:t>
      </w:r>
      <w:r w:rsidR="00AE74CD" w:rsidRPr="00AE74CD">
        <w:rPr>
          <w:rFonts w:eastAsia="Times New Roman"/>
        </w:rPr>
        <w:t xml:space="preserve"> &lt;- strsplit(</w:t>
      </w:r>
      <w:r>
        <w:rPr>
          <w:rFonts w:eastAsia="Times New Roman"/>
        </w:rPr>
        <w:t>file</w:t>
      </w:r>
      <w:r w:rsidR="00AE74CD" w:rsidRPr="00AE74CD">
        <w:rPr>
          <w:rFonts w:eastAsia="Times New Roman"/>
        </w:rPr>
        <w:t>, "\n")</w:t>
      </w:r>
    </w:p>
    <w:p w14:paraId="30C51387" w14:textId="41C897CF" w:rsidR="00AE74CD" w:rsidRDefault="009E3DA1" w:rsidP="00AE74CD">
      <w:pPr>
        <w:spacing w:line="480" w:lineRule="auto"/>
        <w:rPr>
          <w:rFonts w:eastAsia="Times New Roman"/>
        </w:rPr>
      </w:pPr>
      <w:r>
        <w:rPr>
          <w:rFonts w:eastAsia="Times New Roman"/>
        </w:rPr>
        <w:t>file</w:t>
      </w:r>
      <w:r w:rsidR="00AE74CD" w:rsidRPr="00AE74CD">
        <w:rPr>
          <w:rFonts w:eastAsia="Times New Roman"/>
        </w:rPr>
        <w:t xml:space="preserve"> &lt;- strsplit(</w:t>
      </w:r>
      <w:r>
        <w:rPr>
          <w:rFonts w:eastAsia="Times New Roman"/>
        </w:rPr>
        <w:t>file</w:t>
      </w:r>
      <w:r w:rsidR="00AE74CD" w:rsidRPr="00AE74CD">
        <w:rPr>
          <w:rFonts w:eastAsia="Times New Roman"/>
        </w:rPr>
        <w:t>, " ")</w:t>
      </w:r>
    </w:p>
    <w:p w14:paraId="26C22FC4" w14:textId="14F1CE20" w:rsidR="00247ED3" w:rsidRDefault="00247ED3" w:rsidP="00AE74CD">
      <w:pPr>
        <w:spacing w:line="480" w:lineRule="auto"/>
        <w:rPr>
          <w:rFonts w:eastAsia="Times New Roman"/>
        </w:rPr>
      </w:pPr>
      <w:r>
        <w:rPr>
          <w:rFonts w:eastAsia="Times New Roman"/>
        </w:rPr>
        <w:t># convert to DocumentTermMatrix format</w:t>
      </w:r>
    </w:p>
    <w:p w14:paraId="6E157F43" w14:textId="77777777" w:rsidR="00247ED3" w:rsidRDefault="00247ED3" w:rsidP="00AE74CD">
      <w:pPr>
        <w:spacing w:line="480" w:lineRule="auto"/>
        <w:rPr>
          <w:rFonts w:eastAsia="Times New Roman"/>
        </w:rPr>
      </w:pPr>
      <w:r>
        <w:rPr>
          <w:rFonts w:eastAsia="Times New Roman"/>
        </w:rPr>
        <w:t xml:space="preserve">file &lt;- VCorpus(DirSource(file), readerControl = list(reader = readPDF)) </w:t>
      </w:r>
    </w:p>
    <w:p w14:paraId="02AF2A2E" w14:textId="49C022FA" w:rsidR="00247ED3" w:rsidRDefault="00247ED3" w:rsidP="00247ED3">
      <w:pPr>
        <w:spacing w:line="480" w:lineRule="auto"/>
        <w:ind w:firstLine="720"/>
        <w:rPr>
          <w:rFonts w:eastAsia="Times New Roman"/>
        </w:rPr>
      </w:pPr>
      <w:r>
        <w:rPr>
          <w:rFonts w:eastAsia="Times New Roman"/>
        </w:rPr>
        <w:t>Document Term Matrix()</w:t>
      </w:r>
    </w:p>
    <w:p w14:paraId="7148499E" w14:textId="10B70231" w:rsidR="00FD6D28" w:rsidRDefault="009E3DA1" w:rsidP="00AE74CD">
      <w:pPr>
        <w:spacing w:line="480" w:lineRule="auto"/>
        <w:rPr>
          <w:rFonts w:eastAsia="Times New Roman"/>
        </w:rPr>
      </w:pPr>
      <w:r>
        <w:rPr>
          <w:rFonts w:eastAsia="Times New Roman"/>
        </w:rPr>
        <w:t># extract date</w:t>
      </w:r>
    </w:p>
    <w:p w14:paraId="42488F38" w14:textId="35259101" w:rsidR="00CE756F" w:rsidRDefault="00CE756F" w:rsidP="00AE74CD">
      <w:pPr>
        <w:spacing w:line="480" w:lineRule="auto"/>
        <w:rPr>
          <w:rFonts w:eastAsia="Times New Roman"/>
        </w:rPr>
      </w:pPr>
      <w:r>
        <w:rPr>
          <w:rFonts w:eastAsia="Times New Roman"/>
        </w:rPr>
        <w:t>for i in 1:lengthofpdf{</w:t>
      </w:r>
    </w:p>
    <w:p w14:paraId="20A6AC1D" w14:textId="7FF5311B" w:rsidR="00CE756F" w:rsidRDefault="00CE756F" w:rsidP="00AE74CD">
      <w:pPr>
        <w:spacing w:line="480" w:lineRule="auto"/>
        <w:rPr>
          <w:rFonts w:eastAsia="Times New Roman"/>
        </w:rPr>
      </w:pPr>
      <w:r>
        <w:rPr>
          <w:rFonts w:eastAsia="Times New Roman"/>
        </w:rPr>
        <w:t>if format = %Y{</w:t>
      </w:r>
    </w:p>
    <w:p w14:paraId="1270E968" w14:textId="7C69D410" w:rsidR="009E3DA1" w:rsidRDefault="009E3DA1" w:rsidP="00AE74CD">
      <w:pPr>
        <w:spacing w:line="480" w:lineRule="auto"/>
        <w:rPr>
          <w:rFonts w:eastAsia="Times New Roman"/>
        </w:rPr>
      </w:pPr>
      <w:r>
        <w:rPr>
          <w:rFonts w:eastAsia="Times New Roman"/>
        </w:rPr>
        <w:t>gsub(“.*”, “”, file</w:t>
      </w:r>
      <w:r w:rsidR="00CE756F">
        <w:rPr>
          <w:rFonts w:eastAsia="Times New Roman"/>
        </w:rPr>
        <w:t>[i]</w:t>
      </w:r>
      <w:r>
        <w:rPr>
          <w:rFonts w:eastAsia="Times New Roman"/>
        </w:rPr>
        <w:t>)</w:t>
      </w:r>
      <w:r w:rsidR="00CE756F">
        <w:rPr>
          <w:rFonts w:eastAsia="Times New Roman"/>
        </w:rPr>
        <w:t>}}</w:t>
      </w:r>
    </w:p>
    <w:p w14:paraId="70C2E9A0" w14:textId="008996CA" w:rsidR="00AE74CD" w:rsidRDefault="00AE74CD" w:rsidP="00AE74CD">
      <w:pPr>
        <w:spacing w:line="480" w:lineRule="auto"/>
        <w:rPr>
          <w:rFonts w:eastAsia="Times New Roman"/>
        </w:rPr>
      </w:pPr>
      <w:r>
        <w:rPr>
          <w:rFonts w:eastAsia="Times New Roman"/>
        </w:rPr>
        <w:t># perform a heading search to locate sections of paper</w:t>
      </w:r>
    </w:p>
    <w:p w14:paraId="1668F194" w14:textId="53088265" w:rsidR="00AE74CD" w:rsidRDefault="00AE74CD" w:rsidP="00AE74CD">
      <w:pPr>
        <w:spacing w:line="480" w:lineRule="auto"/>
        <w:rPr>
          <w:rFonts w:eastAsia="Times New Roman"/>
        </w:rPr>
      </w:pPr>
      <w:r>
        <w:rPr>
          <w:rFonts w:eastAsia="Times New Roman"/>
        </w:rPr>
        <w:t xml:space="preserve">file &lt;- system.file('pdf', SEROTONIN.pdf', package = 'pdfsearch') </w:t>
      </w:r>
    </w:p>
    <w:p w14:paraId="611DA3C9" w14:textId="016538BA" w:rsidR="0015138C" w:rsidRDefault="0015138C" w:rsidP="00AE74CD">
      <w:pPr>
        <w:spacing w:line="480" w:lineRule="auto"/>
        <w:rPr>
          <w:rFonts w:eastAsia="Times New Roman"/>
        </w:rPr>
      </w:pPr>
      <w:r>
        <w:rPr>
          <w:rFonts w:eastAsia="Times New Roman"/>
        </w:rPr>
        <w:t># identify abstract (this will contain receptor(s), method(s), etc.) and subjects (identify species if # not in abstract) (NOTE: I may also include identification of ‘Methods’, but this is named # differently based on publication so this will be more difficult)</w:t>
      </w:r>
    </w:p>
    <w:p w14:paraId="332077EC" w14:textId="1572049F" w:rsidR="00AE74CD" w:rsidRDefault="00AE74CD" w:rsidP="00AE74CD">
      <w:pPr>
        <w:spacing w:line="480" w:lineRule="auto"/>
        <w:rPr>
          <w:rFonts w:eastAsia="Times New Roman"/>
        </w:rPr>
      </w:pPr>
      <w:r>
        <w:rPr>
          <w:rFonts w:eastAsia="Times New Roman"/>
        </w:rPr>
        <w:t xml:space="preserve">heading_search(file, headings = c('abstract', </w:t>
      </w:r>
      <w:r w:rsidR="0015138C">
        <w:rPr>
          <w:rFonts w:eastAsia="Times New Roman"/>
        </w:rPr>
        <w:t>‘subjects’, ‘OTHER HEADERS TO INSERT’</w:t>
      </w:r>
      <w:r>
        <w:rPr>
          <w:rFonts w:eastAsia="Times New Roman"/>
        </w:rPr>
        <w:t>), path = TRUE)</w:t>
      </w:r>
    </w:p>
    <w:p w14:paraId="51517190" w14:textId="73F55F06" w:rsidR="001C6A21" w:rsidRDefault="001C6A21" w:rsidP="00AE74CD">
      <w:pPr>
        <w:spacing w:line="480" w:lineRule="auto"/>
        <w:rPr>
          <w:rFonts w:eastAsia="Times New Roman"/>
        </w:rPr>
      </w:pPr>
      <w:r>
        <w:rPr>
          <w:rFonts w:eastAsia="Times New Roman"/>
        </w:rPr>
        <w:t>#</w:t>
      </w:r>
      <w:r w:rsidR="0015138C">
        <w:rPr>
          <w:rFonts w:eastAsia="Times New Roman"/>
        </w:rPr>
        <w:t xml:space="preserve"> </w:t>
      </w:r>
      <w:r w:rsidR="00C375C5">
        <w:rPr>
          <w:rFonts w:eastAsia="Times New Roman"/>
        </w:rPr>
        <w:t>grab everything in the abstract</w:t>
      </w:r>
    </w:p>
    <w:p w14:paraId="04964D2A" w14:textId="1EAEC2F8" w:rsidR="00162560" w:rsidRDefault="00162560" w:rsidP="00AE74CD">
      <w:pPr>
        <w:spacing w:line="480" w:lineRule="auto"/>
        <w:rPr>
          <w:rFonts w:eastAsia="Times New Roman"/>
        </w:rPr>
      </w:pPr>
      <w:r>
        <w:rPr>
          <w:rFonts w:eastAsia="Times New Roman"/>
        </w:rPr>
        <w:t>first &lt;- “Abstract”</w:t>
      </w:r>
    </w:p>
    <w:p w14:paraId="317A6967" w14:textId="2C13BA23" w:rsidR="00162560" w:rsidRDefault="00162560" w:rsidP="00AE74CD">
      <w:pPr>
        <w:spacing w:line="480" w:lineRule="auto"/>
        <w:rPr>
          <w:rFonts w:eastAsia="Times New Roman"/>
        </w:rPr>
      </w:pPr>
      <w:r>
        <w:rPr>
          <w:rFonts w:eastAsia="Times New Roman"/>
        </w:rPr>
        <w:t>last &lt;- “Introduction\\.”</w:t>
      </w:r>
    </w:p>
    <w:p w14:paraId="49A551AB" w14:textId="4396317D" w:rsidR="00C375C5" w:rsidRDefault="00C375C5" w:rsidP="00AE74CD">
      <w:pPr>
        <w:spacing w:line="480" w:lineRule="auto"/>
        <w:rPr>
          <w:rFonts w:eastAsia="Times New Roman"/>
        </w:rPr>
      </w:pPr>
      <w:r>
        <w:rPr>
          <w:rFonts w:eastAsia="Times New Roman"/>
        </w:rPr>
        <w:t>abs &lt;- paste0(“.*”, first, “(.*)”, “\n”, last, “.*)</w:t>
      </w:r>
    </w:p>
    <w:p w14:paraId="12F427E7" w14:textId="3F7381F9" w:rsidR="00C375C5" w:rsidRDefault="00C375C5" w:rsidP="00AE74CD">
      <w:pPr>
        <w:spacing w:line="480" w:lineRule="auto"/>
        <w:rPr>
          <w:rFonts w:eastAsia="Times New Roman"/>
        </w:rPr>
      </w:pPr>
      <w:r>
        <w:rPr>
          <w:rFonts w:eastAsia="Times New Roman"/>
        </w:rPr>
        <w:t>[do same for subjects/methods section]</w:t>
      </w:r>
    </w:p>
    <w:p w14:paraId="3BAB8E01" w14:textId="62649ADC" w:rsidR="00C375C5" w:rsidRDefault="00864FA6" w:rsidP="00AE74CD">
      <w:pPr>
        <w:spacing w:line="480" w:lineRule="auto"/>
        <w:rPr>
          <w:rFonts w:eastAsia="Times New Roman"/>
        </w:rPr>
      </w:pPr>
      <w:r>
        <w:rPr>
          <w:rFonts w:eastAsia="Times New Roman"/>
        </w:rPr>
        <w:t xml:space="preserve"># keyword text-match search </w:t>
      </w:r>
      <w:r w:rsidR="0069782E">
        <w:rPr>
          <w:rFonts w:eastAsia="Times New Roman"/>
        </w:rPr>
        <w:t>abstract and methods sections for variables of interest</w:t>
      </w:r>
    </w:p>
    <w:p w14:paraId="46BEA933" w14:textId="41051164" w:rsidR="0069782E" w:rsidRDefault="0069782E" w:rsidP="00AE74CD">
      <w:pPr>
        <w:spacing w:line="480" w:lineRule="auto"/>
        <w:rPr>
          <w:rFonts w:eastAsia="Times New Roman"/>
        </w:rPr>
      </w:pPr>
      <w:r>
        <w:rPr>
          <w:rFonts w:eastAsia="Times New Roman"/>
        </w:rPr>
        <w:t>txtmatch &lt;- function(PartOfText) {</w:t>
      </w:r>
    </w:p>
    <w:p w14:paraId="3AD9C011" w14:textId="681E300D" w:rsidR="0069782E" w:rsidRDefault="0069782E" w:rsidP="0069782E">
      <w:pPr>
        <w:spacing w:line="480" w:lineRule="auto"/>
        <w:rPr>
          <w:rFonts w:eastAsia="Times New Roman"/>
        </w:rPr>
      </w:pPr>
      <w:r>
        <w:rPr>
          <w:rFonts w:eastAsia="Times New Roman"/>
        </w:rPr>
        <w:t>keyword_search(PartOfText, keyword = c(‘HT1A', ‘HT1B’, [etc…]), path = TRUE</w:t>
      </w:r>
      <w:r w:rsidR="00047C7D">
        <w:rPr>
          <w:rFonts w:eastAsia="Times New Roman"/>
        </w:rPr>
        <w:t>, split_pdf = TRUE</w:t>
      </w:r>
      <w:r>
        <w:rPr>
          <w:rFonts w:eastAsia="Times New Roman"/>
        </w:rPr>
        <w:t>)</w:t>
      </w:r>
    </w:p>
    <w:p w14:paraId="7F5E9A0D" w14:textId="43A1C49A" w:rsidR="0069782E" w:rsidRDefault="0069782E" w:rsidP="0069782E">
      <w:pPr>
        <w:spacing w:line="480" w:lineRule="auto"/>
        <w:rPr>
          <w:rFonts w:eastAsia="Times New Roman"/>
        </w:rPr>
      </w:pPr>
      <w:r>
        <w:rPr>
          <w:rFonts w:eastAsia="Times New Roman"/>
        </w:rPr>
        <w:t>keyword_search(PartOfText, keyword = c(‘knockout, ‘antagonist’, [etc…]), path = TRUE</w:t>
      </w:r>
      <w:r w:rsidR="00047C7D">
        <w:rPr>
          <w:rFonts w:eastAsia="Times New Roman"/>
        </w:rPr>
        <w:t>, split_pdf = TRUE</w:t>
      </w:r>
      <w:r>
        <w:rPr>
          <w:rFonts w:eastAsia="Times New Roman"/>
        </w:rPr>
        <w:t>)</w:t>
      </w:r>
    </w:p>
    <w:p w14:paraId="64EAFC35" w14:textId="30001323" w:rsidR="0069782E" w:rsidRDefault="0069782E" w:rsidP="0069782E">
      <w:pPr>
        <w:spacing w:line="480" w:lineRule="auto"/>
        <w:rPr>
          <w:rFonts w:eastAsia="Times New Roman"/>
        </w:rPr>
      </w:pPr>
      <w:r>
        <w:rPr>
          <w:rFonts w:eastAsia="Times New Roman"/>
        </w:rPr>
        <w:t>keyword_search(PartOfText, keyword = c(‘rat*’, ‘mice’, [etc…]), path = TRUE</w:t>
      </w:r>
      <w:r w:rsidR="00047C7D">
        <w:rPr>
          <w:rFonts w:eastAsia="Times New Roman"/>
        </w:rPr>
        <w:t>, split_pdf = TRUE</w:t>
      </w:r>
      <w:r>
        <w:rPr>
          <w:rFonts w:eastAsia="Times New Roman"/>
        </w:rPr>
        <w:t>)</w:t>
      </w:r>
    </w:p>
    <w:p w14:paraId="2CA04F86" w14:textId="0DEAF6F1" w:rsidR="0069782E" w:rsidRDefault="0069782E" w:rsidP="0069782E">
      <w:pPr>
        <w:spacing w:line="480" w:lineRule="auto"/>
        <w:rPr>
          <w:rFonts w:eastAsia="Times New Roman"/>
        </w:rPr>
      </w:pPr>
      <w:r>
        <w:rPr>
          <w:rFonts w:eastAsia="Times New Roman"/>
        </w:rPr>
        <w:t>keyword_search(PartOfText, keyword = c(‘AGONIST1’, ‘AGONIST2’, [etc…]), path = TRUE</w:t>
      </w:r>
      <w:r w:rsidR="00047C7D">
        <w:rPr>
          <w:rFonts w:eastAsia="Times New Roman"/>
        </w:rPr>
        <w:t>, split_pdf = TRUE</w:t>
      </w:r>
      <w:r>
        <w:rPr>
          <w:rFonts w:eastAsia="Times New Roman"/>
        </w:rPr>
        <w:t>)</w:t>
      </w:r>
    </w:p>
    <w:p w14:paraId="29F58858" w14:textId="0A102B22" w:rsidR="0069782E" w:rsidRDefault="0069782E" w:rsidP="0069782E">
      <w:pPr>
        <w:spacing w:line="480" w:lineRule="auto"/>
        <w:rPr>
          <w:rFonts w:eastAsia="Times New Roman"/>
        </w:rPr>
      </w:pPr>
      <w:r>
        <w:rPr>
          <w:rFonts w:eastAsia="Times New Roman"/>
        </w:rPr>
        <w:t>keyword_search(PartOfText, keyword = c(‘BRAINREG1, ‘BRAINREG2, [etc…]), path = TRUE</w:t>
      </w:r>
      <w:r w:rsidR="00047C7D">
        <w:rPr>
          <w:rFonts w:eastAsia="Times New Roman"/>
        </w:rPr>
        <w:t>, split_pdf = TRUE</w:t>
      </w:r>
      <w:r>
        <w:rPr>
          <w:rFonts w:eastAsia="Times New Roman"/>
        </w:rPr>
        <w:t>)</w:t>
      </w:r>
    </w:p>
    <w:p w14:paraId="25DA676E" w14:textId="5F3FFB45" w:rsidR="0069782E" w:rsidRDefault="0069782E" w:rsidP="0069782E">
      <w:pPr>
        <w:spacing w:line="480" w:lineRule="auto"/>
        <w:rPr>
          <w:rFonts w:eastAsia="Times New Roman"/>
        </w:rPr>
      </w:pPr>
      <w:r>
        <w:rPr>
          <w:rFonts w:eastAsia="Times New Roman"/>
        </w:rPr>
        <w:t>}</w:t>
      </w:r>
    </w:p>
    <w:p w14:paraId="6B48DA48" w14:textId="6CE1658F" w:rsidR="0069782E" w:rsidRDefault="0069782E" w:rsidP="0069782E">
      <w:pPr>
        <w:spacing w:line="480" w:lineRule="auto"/>
      </w:pPr>
      <w:r>
        <w:rPr>
          <w:rFonts w:eastAsia="Times New Roman"/>
        </w:rPr>
        <w:t xml:space="preserve"># Note: the best way to pull specific agonists, antagonists, and brain regions of study is likely #also text-match. Comprehensive lists of all three of these variables exist, and therefore I do not #think we risk anything significant slipping through the cracks so long as we account for #different precise spellings (e.g., </w:t>
      </w:r>
      <w:r>
        <w:t>SB-699551 versus SB699551)</w:t>
      </w:r>
    </w:p>
    <w:p w14:paraId="537BC032" w14:textId="77777777" w:rsidR="002A19DC" w:rsidRDefault="002A19DC" w:rsidP="0069782E">
      <w:pPr>
        <w:spacing w:line="480" w:lineRule="auto"/>
      </w:pPr>
    </w:p>
    <w:p w14:paraId="36EF1750" w14:textId="0DAF43DD" w:rsidR="00047C7D" w:rsidRDefault="00047C7D" w:rsidP="0069782E">
      <w:pPr>
        <w:spacing w:line="480" w:lineRule="auto"/>
      </w:pPr>
      <w:r>
        <w:t># text-match function then produces tibble data frames with keyword, location of match, line of #text match, and tokens associated with line of text match</w:t>
      </w:r>
    </w:p>
    <w:p w14:paraId="6637C4EC" w14:textId="6841949C" w:rsidR="00551E9F" w:rsidRDefault="00047C7D" w:rsidP="0069782E">
      <w:pPr>
        <w:spacing w:line="480" w:lineRule="auto"/>
      </w:pPr>
      <w:r>
        <w:t>abs_tab &lt;- txtmatch(abs)</w:t>
      </w:r>
    </w:p>
    <w:p w14:paraId="2DB77998" w14:textId="17CB2A30" w:rsidR="00047C7D" w:rsidRDefault="00047C7D" w:rsidP="0069782E">
      <w:pPr>
        <w:spacing w:line="480" w:lineRule="auto"/>
      </w:pPr>
      <w:r>
        <w:t>methods_tab &lt;- txtmatch(methods)</w:t>
      </w:r>
    </w:p>
    <w:p w14:paraId="317475E8" w14:textId="5F0454A3" w:rsidR="002A19DC" w:rsidRDefault="0092777B" w:rsidP="0069782E">
      <w:pPr>
        <w:spacing w:line="480" w:lineRule="auto"/>
      </w:pPr>
      <w:r>
        <w:t># then look at the most frequent text matches for each variable</w:t>
      </w:r>
    </w:p>
    <w:p w14:paraId="4D890E69" w14:textId="5E1D9F48" w:rsidR="002A19DC" w:rsidRDefault="002A19DC" w:rsidP="0069782E">
      <w:pPr>
        <w:spacing w:line="480" w:lineRule="auto"/>
      </w:pPr>
      <w:r>
        <w:t>sort(table(abs_tab[1]))</w:t>
      </w:r>
    </w:p>
    <w:p w14:paraId="521B60D5" w14:textId="77777777" w:rsidR="0069782E" w:rsidRDefault="0069782E" w:rsidP="0069782E">
      <w:pPr>
        <w:spacing w:line="480" w:lineRule="auto"/>
      </w:pPr>
    </w:p>
    <w:p w14:paraId="6B0AB18D" w14:textId="03985EA9" w:rsidR="00247ED3" w:rsidRDefault="00247ED3" w:rsidP="0069782E">
      <w:pPr>
        <w:spacing w:line="480" w:lineRule="auto"/>
      </w:pPr>
      <w:r>
        <w:t>After this step, I will need to figure out more precisely how to best identify the proper classification for when multiple different variables in the same category are found in given sections. This will probably involve cross-referencing between sections and eliminating anything only mentioned once.</w:t>
      </w:r>
    </w:p>
    <w:p w14:paraId="144A5B2C" w14:textId="77777777" w:rsidR="00247ED3" w:rsidRDefault="00247ED3" w:rsidP="0069782E">
      <w:pPr>
        <w:spacing w:line="480" w:lineRule="auto"/>
      </w:pPr>
    </w:p>
    <w:p w14:paraId="2000A2A3" w14:textId="1E6DF690" w:rsidR="00742486" w:rsidRDefault="00247ED3" w:rsidP="0069782E">
      <w:pPr>
        <w:spacing w:line="480" w:lineRule="auto"/>
      </w:pPr>
      <w:r>
        <w:t xml:space="preserve">Furthermore, I have yet to determine how to extract an overall ‘topic’ for each paper. While text-matching is a possibility, it would require a less constrained </w:t>
      </w:r>
      <w:r>
        <w:rPr>
          <w:i/>
        </w:rPr>
        <w:t>a priori</w:t>
      </w:r>
      <w:r>
        <w:t xml:space="preserve"> list of topics (e.g., aggression, depression, etc. etc.) which would likely result in the omission of several somewhat important minor topics in the field.</w:t>
      </w:r>
      <w:r w:rsidR="00742486">
        <w:t xml:space="preserve"> However, I’m meeting with a friend who does NLP several times in the next several weeks, and hopefully we’ll be able to put together something better.</w:t>
      </w:r>
      <w:r w:rsidR="004133C3">
        <w:t xml:space="preserve"> This may include a sentiment analysis of the text, in which elimination of any common words or non-relevant words should produce a refined list of topic-specific tokens which we could then work with. </w:t>
      </w:r>
    </w:p>
    <w:p w14:paraId="710443E4" w14:textId="77777777" w:rsidR="00742486" w:rsidRPr="00247ED3" w:rsidRDefault="00742486" w:rsidP="0069782E">
      <w:pPr>
        <w:spacing w:line="480" w:lineRule="auto"/>
        <w:rPr>
          <w:rFonts w:eastAsia="Times New Roman"/>
        </w:rPr>
      </w:pPr>
    </w:p>
    <w:p w14:paraId="100FF651" w14:textId="13B1C17D" w:rsidR="00816FD1" w:rsidRPr="0002708F" w:rsidRDefault="00816FD1" w:rsidP="00816FD1">
      <w:pPr>
        <w:spacing w:line="480" w:lineRule="auto"/>
        <w:rPr>
          <w:color w:val="000000"/>
        </w:rPr>
      </w:pPr>
      <w:r>
        <w:rPr>
          <w:color w:val="000000"/>
          <w:highlight w:val="yellow"/>
        </w:rPr>
        <w:t>PLAN FOR THE REST OF THE SEMESTER</w:t>
      </w:r>
      <w:r w:rsidRPr="0002708F">
        <w:rPr>
          <w:color w:val="000000"/>
          <w:highlight w:val="yellow"/>
        </w:rPr>
        <w:t>:</w:t>
      </w:r>
    </w:p>
    <w:p w14:paraId="493EF830" w14:textId="7444D88C" w:rsidR="003D5117" w:rsidRDefault="00816FD1" w:rsidP="00AE74CD">
      <w:pPr>
        <w:spacing w:line="480" w:lineRule="auto"/>
        <w:rPr>
          <w:rFonts w:eastAsia="Times New Roman"/>
        </w:rPr>
      </w:pPr>
      <w:r>
        <w:rPr>
          <w:rFonts w:eastAsia="Times New Roman"/>
        </w:rPr>
        <w:t>Here’s a tentative timeline for finishing the paper</w:t>
      </w:r>
      <w:r w:rsidR="003D5117">
        <w:rPr>
          <w:rFonts w:eastAsia="Times New Roman"/>
        </w:rPr>
        <w:t xml:space="preserve"> </w:t>
      </w:r>
      <w:r>
        <w:rPr>
          <w:rFonts w:eastAsia="Times New Roman"/>
        </w:rPr>
        <w:t>-</w:t>
      </w:r>
    </w:p>
    <w:p w14:paraId="588A29C3" w14:textId="0E264932" w:rsidR="00816FD1" w:rsidRDefault="003D5117" w:rsidP="00AE74CD">
      <w:pPr>
        <w:spacing w:line="480" w:lineRule="auto"/>
        <w:rPr>
          <w:rFonts w:eastAsia="Times New Roman"/>
        </w:rPr>
      </w:pPr>
      <w:r>
        <w:rPr>
          <w:rFonts w:eastAsia="Times New Roman"/>
        </w:rPr>
        <w:t>4/14: Working pilot code that can accurately extract data from ~10-20 papers that can be checked by hand.</w:t>
      </w:r>
    </w:p>
    <w:p w14:paraId="515956AC" w14:textId="6C254ED0" w:rsidR="003D5117" w:rsidRDefault="003D5117" w:rsidP="00AE74CD">
      <w:pPr>
        <w:spacing w:line="480" w:lineRule="auto"/>
        <w:rPr>
          <w:rFonts w:eastAsia="Times New Roman"/>
        </w:rPr>
      </w:pPr>
      <w:r>
        <w:rPr>
          <w:rFonts w:eastAsia="Times New Roman"/>
        </w:rPr>
        <w:t>4/</w:t>
      </w:r>
      <w:r w:rsidR="001F629A">
        <w:rPr>
          <w:rFonts w:eastAsia="Times New Roman"/>
        </w:rPr>
        <w:t>28: Generalized &amp; debugged code;</w:t>
      </w:r>
      <w:r>
        <w:rPr>
          <w:rFonts w:eastAsia="Times New Roman"/>
        </w:rPr>
        <w:t xml:space="preserve"> run on updated library</w:t>
      </w:r>
    </w:p>
    <w:p w14:paraId="6B5EDD92" w14:textId="753745FB" w:rsidR="003D5117" w:rsidRDefault="003D5117" w:rsidP="00AE74CD">
      <w:pPr>
        <w:spacing w:line="480" w:lineRule="auto"/>
        <w:rPr>
          <w:rFonts w:eastAsia="Times New Roman"/>
        </w:rPr>
      </w:pPr>
      <w:r>
        <w:rPr>
          <w:rFonts w:eastAsia="Times New Roman"/>
        </w:rPr>
        <w:t>5/9: Complete draft of paper with introduction, complete methods, 14 results sections with complete tables and mini-literature reviews, and tentative discussion section</w:t>
      </w:r>
    </w:p>
    <w:p w14:paraId="1309ACCF" w14:textId="77777777" w:rsidR="003D5117" w:rsidRDefault="003D5117" w:rsidP="00AE74CD">
      <w:pPr>
        <w:spacing w:line="480" w:lineRule="auto"/>
        <w:rPr>
          <w:rFonts w:eastAsia="Times New Roman"/>
        </w:rPr>
      </w:pPr>
    </w:p>
    <w:p w14:paraId="6484A4A5" w14:textId="7E4F74C0" w:rsidR="003D5117" w:rsidRDefault="003D5117" w:rsidP="00AE74CD">
      <w:pPr>
        <w:spacing w:line="480" w:lineRule="auto"/>
        <w:rPr>
          <w:rFonts w:eastAsia="Times New Roman"/>
        </w:rPr>
      </w:pPr>
      <w:r>
        <w:rPr>
          <w:rFonts w:eastAsia="Times New Roman"/>
        </w:rPr>
        <w:t>Then I’ll be in New Haven from about June 1 to June 23, and I can continue to refine any sections of the paper in need of revisions before it is submission-ready.</w:t>
      </w:r>
    </w:p>
    <w:p w14:paraId="743B258B" w14:textId="77777777" w:rsidR="00B46AA4" w:rsidRDefault="00B46AA4" w:rsidP="00062364">
      <w:pPr>
        <w:spacing w:line="480" w:lineRule="auto"/>
        <w:rPr>
          <w:color w:val="000000"/>
        </w:rPr>
      </w:pPr>
    </w:p>
    <w:p w14:paraId="10345DC9" w14:textId="77777777" w:rsidR="003D5117" w:rsidRPr="00062364" w:rsidRDefault="003D5117" w:rsidP="00062364">
      <w:pPr>
        <w:spacing w:line="480" w:lineRule="auto"/>
        <w:rPr>
          <w:color w:val="000000"/>
        </w:rPr>
      </w:pPr>
    </w:p>
    <w:p w14:paraId="7C5734AE" w14:textId="77777777" w:rsidR="005C08A4" w:rsidRDefault="005C08A4"/>
    <w:p w14:paraId="28F191DA" w14:textId="77777777" w:rsidR="00221B51" w:rsidRPr="00221B51" w:rsidRDefault="00221B51"/>
    <w:sectPr w:rsidR="00221B51" w:rsidRPr="00221B51" w:rsidSect="00A93B6F">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ameron Martel" w:date="2018-12-17T23:42:00Z" w:initials="CM">
    <w:p w14:paraId="52DB7A12" w14:textId="77777777" w:rsidR="00213734" w:rsidRDefault="00213734" w:rsidP="00213734">
      <w:r>
        <w:rPr>
          <w:rStyle w:val="CommentReference"/>
        </w:rPr>
        <w:annotationRef/>
      </w:r>
      <w:r>
        <w:rPr>
          <w:rFonts w:ascii="Arial" w:hAnsi="Arial" w:cs="Arial"/>
          <w:color w:val="222222"/>
          <w:sz w:val="20"/>
          <w:szCs w:val="20"/>
          <w:shd w:val="clear" w:color="auto" w:fill="FFFFFF"/>
        </w:rPr>
        <w:t>Plassat, J. L., Boschert, U., Amlaiky, N., &amp; Hen, R. (1992). The mouse 5HT5 receptor reveals a remarkable heterogeneity within the 5HT1D receptor family. </w:t>
      </w:r>
      <w:r>
        <w:rPr>
          <w:rFonts w:ascii="Arial" w:hAnsi="Arial" w:cs="Arial"/>
          <w:i/>
          <w:iCs/>
          <w:color w:val="222222"/>
          <w:sz w:val="20"/>
          <w:szCs w:val="20"/>
          <w:shd w:val="clear" w:color="auto" w:fill="FFFFFF"/>
        </w:rPr>
        <w:t>The EMBO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(13), 4779-4786.</w:t>
      </w:r>
    </w:p>
  </w:comment>
  <w:comment w:id="2" w:author="Cameron Martel" w:date="2018-12-17T23:42:00Z" w:initials="CM">
    <w:p w14:paraId="48E6E45F" w14:textId="77777777" w:rsidR="00213734" w:rsidRDefault="00213734" w:rsidP="00213734">
      <w:r>
        <w:rPr>
          <w:rStyle w:val="CommentReference"/>
        </w:rPr>
        <w:annotationRef/>
      </w:r>
      <w:r>
        <w:rPr>
          <w:rFonts w:ascii="Arial" w:hAnsi="Arial" w:cs="Arial"/>
          <w:color w:val="222222"/>
          <w:sz w:val="20"/>
          <w:szCs w:val="20"/>
          <w:shd w:val="clear" w:color="auto" w:fill="FFFFFF"/>
        </w:rPr>
        <w:t>Matthes, H., Boschert, U., Amlaiky, N., Grailhe, R., Plassat, J. L., Muscatelli, F., ... &amp; Hen, R. (1993). Mouse 5-hydroxytryptamine5A and 5-hydroxytryptamine5B receptors define a new family of serotonin receptors: cloning, functional expression, and chromosomal localization. </w:t>
      </w:r>
      <w:r>
        <w:rPr>
          <w:rFonts w:ascii="Arial" w:hAnsi="Arial" w:cs="Arial"/>
          <w:i/>
          <w:iCs/>
          <w:color w:val="222222"/>
          <w:sz w:val="20"/>
          <w:szCs w:val="20"/>
          <w:shd w:val="clear" w:color="auto" w:fill="FFFFFF"/>
        </w:rPr>
        <w:t>Molecular pharmacology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(3), 313-319.</w:t>
      </w:r>
    </w:p>
  </w:comment>
  <w:comment w:id="3" w:author="Cameron Martel" w:date="2018-12-17T23:43:00Z" w:initials="CM">
    <w:p w14:paraId="5CD3F690" w14:textId="77777777" w:rsidR="00213734" w:rsidRDefault="00213734" w:rsidP="00213734">
      <w:r>
        <w:rPr>
          <w:rStyle w:val="CommentReference"/>
        </w:rPr>
        <w:annotationRef/>
      </w:r>
      <w:r>
        <w:rPr>
          <w:rFonts w:ascii="Arial" w:hAnsi="Arial" w:cs="Arial"/>
          <w:color w:val="222222"/>
          <w:sz w:val="20"/>
          <w:szCs w:val="20"/>
          <w:shd w:val="clear" w:color="auto" w:fill="FFFFFF"/>
        </w:rPr>
        <w:t>Erlander, M. G., Lovenberg, T. W., Baron, B. M., de Lecea, L., Danielson, P. E., Racke, M., ... &amp; Cannon, K. (1993). Two members of a distinct subfamily of 5-hydroxytryptamine receptors differentially expressed in rat brain.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90</w:t>
      </w:r>
      <w:r>
        <w:rPr>
          <w:rFonts w:ascii="Arial" w:hAnsi="Arial" w:cs="Arial"/>
          <w:color w:val="222222"/>
          <w:sz w:val="20"/>
          <w:szCs w:val="20"/>
          <w:shd w:val="clear" w:color="auto" w:fill="FFFFFF"/>
        </w:rPr>
        <w:t>(8), 3452-3456.</w:t>
      </w:r>
    </w:p>
  </w:comment>
  <w:comment w:id="4" w:author="Cameron Martel" w:date="2018-12-17T23:44:00Z" w:initials="CM">
    <w:p w14:paraId="4AA6DB49" w14:textId="77777777" w:rsidR="00213734" w:rsidRDefault="00213734" w:rsidP="00213734">
      <w:r>
        <w:rPr>
          <w:rStyle w:val="CommentReference"/>
        </w:rPr>
        <w:annotationRef/>
      </w:r>
      <w:r>
        <w:rPr>
          <w:rFonts w:ascii="Arial" w:hAnsi="Arial" w:cs="Arial"/>
          <w:color w:val="222222"/>
          <w:sz w:val="20"/>
          <w:szCs w:val="20"/>
          <w:shd w:val="clear" w:color="auto" w:fill="FFFFFF"/>
        </w:rPr>
        <w:t>Pasqualetti, M., Ori, M., Nardi, I., Castagna, M., Cassano, G. B., &amp; Marazziti, D. (1998). Distribution of the 5-HT5A serotonin receptor mRNA in the human brain. </w:t>
      </w:r>
      <w:r>
        <w:rPr>
          <w:rFonts w:ascii="Arial" w:hAnsi="Arial" w:cs="Arial"/>
          <w:i/>
          <w:iCs/>
          <w:color w:val="222222"/>
          <w:sz w:val="20"/>
          <w:szCs w:val="20"/>
          <w:shd w:val="clear" w:color="auto" w:fill="FFFFFF"/>
        </w:rPr>
        <w:t>Molecular brain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56</w:t>
      </w:r>
      <w:r>
        <w:rPr>
          <w:rFonts w:ascii="Arial" w:hAnsi="Arial" w:cs="Arial"/>
          <w:color w:val="222222"/>
          <w:sz w:val="20"/>
          <w:szCs w:val="20"/>
          <w:shd w:val="clear" w:color="auto" w:fill="FFFFFF"/>
        </w:rPr>
        <w:t>(1-2), 1-8.</w:t>
      </w:r>
    </w:p>
  </w:comment>
  <w:comment w:id="5" w:author="Cameron Martel" w:date="2018-12-17T23:51:00Z" w:initials="CM">
    <w:p w14:paraId="7E376BB6" w14:textId="77777777" w:rsidR="00213734" w:rsidRDefault="00213734" w:rsidP="00213734">
      <w:r>
        <w:rPr>
          <w:rStyle w:val="CommentReference"/>
        </w:rPr>
        <w:annotationRef/>
      </w:r>
      <w:r>
        <w:rPr>
          <w:rFonts w:ascii="Arial" w:hAnsi="Arial" w:cs="Arial"/>
          <w:color w:val="222222"/>
          <w:sz w:val="20"/>
          <w:szCs w:val="20"/>
          <w:shd w:val="clear" w:color="auto" w:fill="FFFFFF"/>
        </w:rPr>
        <w:t>Thomas, D. R. (2006). 5-ht5A receptors as a therapeutic target. </w:t>
      </w:r>
      <w:r>
        <w:rPr>
          <w:rFonts w:ascii="Arial" w:hAnsi="Arial" w:cs="Arial"/>
          <w:i/>
          <w:iCs/>
          <w:color w:val="222222"/>
          <w:sz w:val="20"/>
          <w:szCs w:val="20"/>
          <w:shd w:val="clear" w:color="auto" w:fill="FFFFFF"/>
        </w:rPr>
        <w:t>Pharmacology &amp; therapeutics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111</w:t>
      </w:r>
      <w:r>
        <w:rPr>
          <w:rFonts w:ascii="Arial" w:hAnsi="Arial" w:cs="Arial"/>
          <w:color w:val="222222"/>
          <w:sz w:val="20"/>
          <w:szCs w:val="20"/>
          <w:shd w:val="clear" w:color="auto" w:fill="FFFFFF"/>
        </w:rPr>
        <w:t>(3), 707-714.</w:t>
      </w:r>
    </w:p>
  </w:comment>
  <w:comment w:id="6" w:author="Cameron Martel" w:date="2019-03-08T11:42:00Z" w:initials="CM">
    <w:tbl>
      <w:tblPr>
        <w:tblW w:w="960" w:type="dxa"/>
        <w:shd w:val="clear" w:color="auto" w:fill="FFFFFF"/>
        <w:tblCellMar>
          <w:left w:w="0" w:type="dxa"/>
          <w:right w:w="0" w:type="dxa"/>
        </w:tblCellMar>
        <w:tblLook w:val="04A0" w:firstRow="1" w:lastRow="0" w:firstColumn="1" w:lastColumn="0" w:noHBand="0" w:noVBand="1"/>
      </w:tblPr>
      <w:tblGrid>
        <w:gridCol w:w="480"/>
        <w:gridCol w:w="480"/>
      </w:tblGrid>
      <w:tr w:rsidR="006C3F8E" w:rsidRPr="006C3F8E" w14:paraId="1CA54919" w14:textId="77777777" w:rsidTr="006C3F8E">
        <w:tc>
          <w:tcPr>
            <w:tcW w:w="0" w:type="auto"/>
            <w:shd w:val="clear" w:color="auto" w:fill="FFFFFF"/>
            <w:noWrap/>
            <w:tcMar>
              <w:top w:w="120" w:type="dxa"/>
              <w:left w:w="0" w:type="dxa"/>
              <w:bottom w:w="120" w:type="dxa"/>
              <w:right w:w="240" w:type="dxa"/>
            </w:tcMar>
            <w:hideMark/>
          </w:tcPr>
          <w:p w14:paraId="2E777C19" w14:textId="47FB2CBF" w:rsidR="006C3F8E" w:rsidRPr="006C3F8E" w:rsidRDefault="006C3F8E" w:rsidP="004656CD">
            <w:pPr>
              <w:ind w:left="180"/>
              <w:jc w:val="right"/>
              <w:rPr>
                <w:rFonts w:ascii="Arial" w:eastAsia="Times New Roman" w:hAnsi="Arial" w:cs="Arial"/>
                <w:color w:val="777777"/>
                <w:sz w:val="20"/>
                <w:szCs w:val="20"/>
              </w:rPr>
            </w:pPr>
            <w:r>
              <w:rPr>
                <w:rStyle w:val="CommentReference"/>
              </w:rPr>
              <w:annotationRef/>
            </w:r>
          </w:p>
        </w:tc>
        <w:tc>
          <w:tcPr>
            <w:tcW w:w="0" w:type="auto"/>
            <w:shd w:val="clear" w:color="auto" w:fill="FFFFFF"/>
            <w:tcMar>
              <w:top w:w="120" w:type="dxa"/>
              <w:left w:w="0" w:type="dxa"/>
              <w:bottom w:w="120" w:type="dxa"/>
              <w:right w:w="0" w:type="dxa"/>
            </w:tcMar>
            <w:hideMark/>
          </w:tcPr>
          <w:p w14:paraId="38E0A1A0" w14:textId="77777777" w:rsidR="006C3F8E" w:rsidRPr="006C3F8E" w:rsidRDefault="006C3F8E" w:rsidP="006C3F8E">
            <w:pPr>
              <w:jc w:val="right"/>
              <w:rPr>
                <w:rFonts w:ascii="Arial" w:eastAsia="Times New Roman" w:hAnsi="Arial" w:cs="Arial"/>
                <w:color w:val="777777"/>
                <w:sz w:val="20"/>
                <w:szCs w:val="20"/>
              </w:rPr>
            </w:pPr>
          </w:p>
        </w:tc>
      </w:tr>
    </w:tbl>
    <w:p w14:paraId="0BF212FC" w14:textId="77777777" w:rsidR="006C3F8E" w:rsidRPr="006C3F8E" w:rsidRDefault="006C3F8E" w:rsidP="006C3F8E">
      <w:pPr>
        <w:rPr>
          <w:rFonts w:eastAsia="Times New Roman"/>
        </w:rPr>
      </w:pPr>
    </w:p>
    <w:p w14:paraId="5B244B97" w14:textId="5743C025" w:rsidR="006C3F8E" w:rsidRDefault="006C3F8E">
      <w:pPr>
        <w:pStyle w:val="CommentText"/>
      </w:pPr>
    </w:p>
  </w:comment>
  <w:comment w:id="7" w:author="Cameron Martel" w:date="2019-03-08T11:42:00Z" w:initials="CM">
    <w:p w14:paraId="0D80C1A2" w14:textId="0504A0C5" w:rsidR="006C3F8E" w:rsidRPr="006C3F8E" w:rsidRDefault="006C3F8E" w:rsidP="006C3F8E">
      <w:pPr>
        <w:rPr>
          <w:rFonts w:ascii="Arial" w:eastAsia="Times New Roman" w:hAnsi="Arial" w:cs="Arial"/>
          <w:color w:val="222222"/>
          <w:sz w:val="20"/>
          <w:szCs w:val="20"/>
        </w:rPr>
      </w:pPr>
      <w:r>
        <w:rPr>
          <w:rStyle w:val="CommentReference"/>
        </w:rPr>
        <w:annotationRef/>
      </w:r>
      <w:r w:rsidRPr="006C3F8E">
        <w:rPr>
          <w:rFonts w:ascii="Arial" w:eastAsia="Times New Roman" w:hAnsi="Arial" w:cs="Arial"/>
          <w:color w:val="222222"/>
          <w:sz w:val="20"/>
          <w:szCs w:val="20"/>
        </w:rPr>
        <w:t>Gonzalez, R., Chávez-Pascacio, K., &amp; Meneses, A. (2013). Role of 5-HT5A receptors in the consolidation of memory. </w:t>
      </w:r>
      <w:r w:rsidRPr="006C3F8E">
        <w:rPr>
          <w:rFonts w:ascii="Arial" w:eastAsia="Times New Roman" w:hAnsi="Arial" w:cs="Arial"/>
          <w:i/>
          <w:iCs/>
          <w:color w:val="222222"/>
          <w:sz w:val="20"/>
          <w:szCs w:val="20"/>
        </w:rPr>
        <w:t>Behavioural brain research</w:t>
      </w:r>
      <w:r w:rsidRPr="006C3F8E">
        <w:rPr>
          <w:rFonts w:ascii="Arial" w:eastAsia="Times New Roman" w:hAnsi="Arial" w:cs="Arial"/>
          <w:color w:val="222222"/>
          <w:sz w:val="20"/>
          <w:szCs w:val="20"/>
        </w:rPr>
        <w:t>, </w:t>
      </w:r>
      <w:r w:rsidRPr="006C3F8E">
        <w:rPr>
          <w:rFonts w:ascii="Arial" w:eastAsia="Times New Roman" w:hAnsi="Arial" w:cs="Arial"/>
          <w:i/>
          <w:iCs/>
          <w:color w:val="222222"/>
          <w:sz w:val="20"/>
          <w:szCs w:val="20"/>
        </w:rPr>
        <w:t>252</w:t>
      </w:r>
      <w:r w:rsidRPr="006C3F8E">
        <w:rPr>
          <w:rFonts w:ascii="Arial" w:eastAsia="Times New Roman" w:hAnsi="Arial" w:cs="Arial"/>
          <w:color w:val="222222"/>
          <w:sz w:val="20"/>
          <w:szCs w:val="20"/>
        </w:rPr>
        <w:t>, 246-251.</w:t>
      </w:r>
    </w:p>
  </w:comment>
  <w:comment w:id="8" w:author="Cameron Martel" w:date="2019-03-08T11:26:00Z" w:initials="CM">
    <w:p w14:paraId="427CF02E" w14:textId="2E784E40" w:rsidR="005D5BD3" w:rsidRPr="005D5BD3" w:rsidRDefault="005D5BD3" w:rsidP="005D5BD3">
      <w:pPr>
        <w:rPr>
          <w:rFonts w:eastAsia="Times New Roman"/>
        </w:rPr>
      </w:pPr>
      <w:r>
        <w:rPr>
          <w:rStyle w:val="CommentReference"/>
        </w:rPr>
        <w:annotationRef/>
      </w:r>
      <w:r w:rsidRPr="005D5BD3">
        <w:rPr>
          <w:rFonts w:ascii="Arial" w:eastAsia="Times New Roman" w:hAnsi="Arial" w:cs="Arial"/>
          <w:color w:val="222222"/>
          <w:sz w:val="20"/>
          <w:szCs w:val="20"/>
          <w:shd w:val="clear" w:color="auto" w:fill="FFFFFF"/>
        </w:rPr>
        <w:t>Corbett, D. F., Heightman, T. D., Moss, S. F., Bromidge, S. M., Coggon, S. A., Longley, M. J., ... &amp; Thomas, D. R. (2005). Discovery of a potent and selective 5-ht5A receptor antagonist by high-throughput chemistry. </w:t>
      </w:r>
      <w:r w:rsidRPr="005D5BD3">
        <w:rPr>
          <w:rFonts w:ascii="Arial" w:eastAsia="Times New Roman" w:hAnsi="Arial" w:cs="Arial"/>
          <w:i/>
          <w:iCs/>
          <w:color w:val="222222"/>
          <w:sz w:val="20"/>
          <w:szCs w:val="20"/>
          <w:shd w:val="clear" w:color="auto" w:fill="FFFFFF"/>
        </w:rPr>
        <w:t>Bioorganic &amp; medicinal chemistry letters</w:t>
      </w:r>
      <w:r w:rsidRPr="005D5BD3">
        <w:rPr>
          <w:rFonts w:ascii="Arial" w:eastAsia="Times New Roman" w:hAnsi="Arial" w:cs="Arial"/>
          <w:color w:val="222222"/>
          <w:sz w:val="20"/>
          <w:szCs w:val="20"/>
          <w:shd w:val="clear" w:color="auto" w:fill="FFFFFF"/>
        </w:rPr>
        <w:t>, </w:t>
      </w:r>
      <w:r w:rsidRPr="005D5BD3">
        <w:rPr>
          <w:rFonts w:ascii="Arial" w:eastAsia="Times New Roman" w:hAnsi="Arial" w:cs="Arial"/>
          <w:i/>
          <w:iCs/>
          <w:color w:val="222222"/>
          <w:sz w:val="20"/>
          <w:szCs w:val="20"/>
          <w:shd w:val="clear" w:color="auto" w:fill="FFFFFF"/>
        </w:rPr>
        <w:t>15</w:t>
      </w:r>
      <w:r w:rsidRPr="005D5BD3">
        <w:rPr>
          <w:rFonts w:ascii="Arial" w:eastAsia="Times New Roman" w:hAnsi="Arial" w:cs="Arial"/>
          <w:color w:val="222222"/>
          <w:sz w:val="20"/>
          <w:szCs w:val="20"/>
          <w:shd w:val="clear" w:color="auto" w:fill="FFFFFF"/>
        </w:rPr>
        <w:t>(18), 4014-4018.</w:t>
      </w:r>
    </w:p>
  </w:comment>
  <w:comment w:id="9" w:author="Cameron Martel" w:date="2019-03-08T11:33:00Z" w:initials="CM">
    <w:p w14:paraId="32606CCC" w14:textId="7EF242F9" w:rsidR="004F4060" w:rsidRDefault="004F4060">
      <w:pPr>
        <w:pStyle w:val="CommentText"/>
      </w:pPr>
      <w:r>
        <w:rPr>
          <w:rStyle w:val="CommentReference"/>
        </w:rPr>
        <w:annotationRef/>
      </w:r>
      <w:r>
        <w:rPr>
          <w:rFonts w:ascii="Arial" w:hAnsi="Arial" w:cs="Arial"/>
          <w:color w:val="222222"/>
          <w:sz w:val="20"/>
          <w:szCs w:val="20"/>
          <w:shd w:val="clear" w:color="auto" w:fill="FFFFFF"/>
        </w:rPr>
        <w:t>Carr, G. V., &amp; Lucki, I. (2011). The role of serotonin receptor subtypes in treating depression: a review of animal studies. </w:t>
      </w:r>
      <w:r>
        <w:rPr>
          <w:rFonts w:ascii="Arial" w:hAnsi="Arial" w:cs="Arial"/>
          <w:i/>
          <w:iCs/>
          <w:color w:val="222222"/>
          <w:sz w:val="20"/>
          <w:szCs w:val="20"/>
          <w:shd w:val="clear" w:color="auto" w:fill="FFFFFF"/>
        </w:rPr>
        <w:t>Psychopharmacology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213</w:t>
      </w:r>
      <w:r>
        <w:rPr>
          <w:rFonts w:ascii="Arial" w:hAnsi="Arial" w:cs="Arial"/>
          <w:color w:val="222222"/>
          <w:sz w:val="20"/>
          <w:szCs w:val="20"/>
          <w:shd w:val="clear" w:color="auto" w:fill="FFFFFF"/>
        </w:rPr>
        <w:t>(2-3), 265-287.</w:t>
      </w:r>
    </w:p>
  </w:comment>
  <w:comment w:id="10" w:author="Cameron Martel" w:date="2018-12-18T00:44:00Z" w:initials="CM">
    <w:p w14:paraId="2D51648E" w14:textId="77777777" w:rsidR="00F94CA3" w:rsidRDefault="00F94CA3" w:rsidP="00F94CA3">
      <w:r>
        <w:rPr>
          <w:rStyle w:val="CommentReference"/>
        </w:rPr>
        <w:annotationRef/>
      </w:r>
      <w:r>
        <w:rPr>
          <w:rFonts w:ascii="Arial" w:hAnsi="Arial" w:cs="Arial"/>
          <w:color w:val="222222"/>
          <w:sz w:val="20"/>
          <w:szCs w:val="20"/>
          <w:shd w:val="clear" w:color="auto" w:fill="FFFFFF"/>
        </w:rPr>
        <w:t>Aparicio-Nava, L., Márquez-García, L. A., &amp; Meneses, A. (2018). Effects of 5-HT5A receptor blockade on amnesia or forgetting. </w:t>
      </w:r>
      <w:r>
        <w:rPr>
          <w:rFonts w:ascii="Arial" w:hAnsi="Arial" w:cs="Arial"/>
          <w:i/>
          <w:iCs/>
          <w:color w:val="222222"/>
          <w:sz w:val="20"/>
          <w:szCs w:val="20"/>
          <w:shd w:val="clear" w:color="auto" w:fill="FFFFFF"/>
        </w:rPr>
        <w:t>Behavioural brain research</w:t>
      </w:r>
      <w:r>
        <w:rPr>
          <w:rFonts w:ascii="Arial" w:hAnsi="Arial" w:cs="Arial"/>
          <w:color w:val="222222"/>
          <w:sz w:val="20"/>
          <w:szCs w:val="20"/>
          <w:shd w:val="clear" w:color="auto" w:fill="FFFFFF"/>
        </w:rPr>
        <w:t>.</w:t>
      </w:r>
    </w:p>
  </w:comment>
  <w:comment w:id="11" w:author="Cameron Martel" w:date="2019-03-08T11:50:00Z" w:initials="CM">
    <w:p w14:paraId="30D3700B" w14:textId="60C7CF74" w:rsidR="00F94CA3" w:rsidRDefault="00F94CA3" w:rsidP="00F94CA3">
      <w:r>
        <w:rPr>
          <w:rStyle w:val="CommentReference"/>
        </w:rPr>
        <w:annotationRef/>
      </w:r>
      <w:r>
        <w:rPr>
          <w:rStyle w:val="CommentReference"/>
        </w:rPr>
        <w:annotationRef/>
      </w:r>
      <w:r>
        <w:rPr>
          <w:rFonts w:ascii="Arial" w:hAnsi="Arial" w:cs="Arial"/>
          <w:color w:val="222222"/>
          <w:sz w:val="20"/>
          <w:szCs w:val="20"/>
          <w:shd w:val="clear" w:color="auto" w:fill="FFFFFF"/>
        </w:rPr>
        <w:t>Yamazaki, M., Yamamoto, N., Yarimizu, J., Okabe, M., Moriyama, A., Furutani, M., ... &amp; Harada, K. (2018). Functional mechanism of ASP5736, a selective serotonin 5-HT5A receptor antagonist with potential utility for the treatment of cognitive dysfunction in schizophrenia. </w:t>
      </w:r>
      <w:r>
        <w:rPr>
          <w:rFonts w:ascii="Arial" w:hAnsi="Arial" w:cs="Arial"/>
          <w:i/>
          <w:iCs/>
          <w:color w:val="222222"/>
          <w:sz w:val="20"/>
          <w:szCs w:val="20"/>
          <w:shd w:val="clear" w:color="auto" w:fill="FFFFFF"/>
        </w:rPr>
        <w:t>European Neuropsychopharmacology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(5), 620-629.</w:t>
      </w:r>
    </w:p>
  </w:comment>
  <w:comment w:id="12" w:author="Cameron Martel" w:date="2018-12-18T00:42:00Z" w:initials="CM">
    <w:p w14:paraId="427FCA4A" w14:textId="77777777" w:rsidR="00F94CA3" w:rsidRDefault="00F94CA3" w:rsidP="00F94CA3">
      <w:r>
        <w:rPr>
          <w:rStyle w:val="CommentReference"/>
        </w:rPr>
        <w:annotationRef/>
      </w:r>
      <w:r>
        <w:rPr>
          <w:rFonts w:ascii="Arial" w:hAnsi="Arial" w:cs="Arial"/>
          <w:color w:val="222222"/>
          <w:sz w:val="20"/>
          <w:szCs w:val="20"/>
          <w:shd w:val="clear" w:color="auto" w:fill="FFFFFF"/>
        </w:rPr>
        <w:t>Nikiforuk, A., Hołuj, M., Kos, T., &amp; Popik, P. (2016). The effects of a 5-HT5A receptor antagonist in a ketamine-based rat model of cognitive dysfunction and the negative symptoms of schizophrenia. </w:t>
      </w:r>
      <w:r>
        <w:rPr>
          <w:rFonts w:ascii="Arial" w:hAnsi="Arial" w:cs="Arial"/>
          <w:i/>
          <w:iCs/>
          <w:color w:val="222222"/>
          <w:sz w:val="20"/>
          <w:szCs w:val="20"/>
          <w:shd w:val="clear" w:color="auto" w:fill="FFFFFF"/>
        </w:rPr>
        <w:t>Neuropharmacology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105</w:t>
      </w:r>
      <w:r>
        <w:rPr>
          <w:rFonts w:ascii="Arial" w:hAnsi="Arial" w:cs="Arial"/>
          <w:color w:val="222222"/>
          <w:sz w:val="20"/>
          <w:szCs w:val="20"/>
          <w:shd w:val="clear" w:color="auto" w:fill="FFFFFF"/>
        </w:rPr>
        <w:t>, 351-360.</w:t>
      </w:r>
    </w:p>
  </w:comment>
  <w:comment w:id="13" w:author="Cameron Martel" w:date="2018-12-18T00:27:00Z" w:initials="CM">
    <w:p w14:paraId="4B020D3F" w14:textId="77777777" w:rsidR="00F0315A" w:rsidRDefault="00F0315A" w:rsidP="00F0315A">
      <w:r>
        <w:rPr>
          <w:rStyle w:val="CommentReference"/>
        </w:rPr>
        <w:annotationRef/>
      </w:r>
      <w:r>
        <w:rPr>
          <w:rFonts w:ascii="Arial" w:hAnsi="Arial" w:cs="Arial"/>
          <w:color w:val="222222"/>
          <w:sz w:val="20"/>
          <w:szCs w:val="20"/>
          <w:shd w:val="clear" w:color="auto" w:fill="FFFFFF"/>
        </w:rPr>
        <w:t>Yamazaki, M., Okabe, M., Yamamoto, N., Yarimizu, J., &amp; Harada, K. (2015). Novel 5-HT5A receptor antagonists ameliorate scopolamine-induced working memory deficit in mice and reference memory impairment in aged rats. </w:t>
      </w:r>
      <w:r>
        <w:rPr>
          <w:rFonts w:ascii="Arial" w:hAnsi="Arial" w:cs="Arial"/>
          <w:i/>
          <w:iCs/>
          <w:color w:val="222222"/>
          <w:sz w:val="20"/>
          <w:szCs w:val="20"/>
          <w:shd w:val="clear" w:color="auto" w:fill="FFFFFF"/>
        </w:rPr>
        <w:t>Journal of pharmacological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127</w:t>
      </w:r>
      <w:r>
        <w:rPr>
          <w:rFonts w:ascii="Arial" w:hAnsi="Arial" w:cs="Arial"/>
          <w:color w:val="222222"/>
          <w:sz w:val="20"/>
          <w:szCs w:val="20"/>
          <w:shd w:val="clear" w:color="auto" w:fill="FFFFFF"/>
        </w:rPr>
        <w:t>(3), 362-369.</w:t>
      </w:r>
    </w:p>
  </w:comment>
  <w:comment w:id="14" w:author="Cameron Martel" w:date="2018-12-18T00:30:00Z" w:initials="CM">
    <w:p w14:paraId="60BC81EF" w14:textId="77777777" w:rsidR="00F0315A" w:rsidRDefault="00F0315A" w:rsidP="00F0315A">
      <w:r>
        <w:rPr>
          <w:rStyle w:val="CommentReference"/>
        </w:rPr>
        <w:annotationRef/>
      </w:r>
      <w:r>
        <w:rPr>
          <w:rFonts w:ascii="Arial" w:hAnsi="Arial" w:cs="Arial"/>
          <w:color w:val="222222"/>
          <w:sz w:val="20"/>
          <w:szCs w:val="20"/>
          <w:shd w:val="clear" w:color="auto" w:fill="FFFFFF"/>
        </w:rPr>
        <w:t>Yamazaki, M., Harada, K., Yamamoto, N., Yarimizu, J., Okabe, M., Shimada, T., ... &amp; Matsuoka, N. (2014). ASP5736, a novel 5-HT5A receptor antagonist, ameliorates positive symptoms and cognitive impairment in animal models of schizophrenia. </w:t>
      </w:r>
      <w:r>
        <w:rPr>
          <w:rFonts w:ascii="Arial" w:hAnsi="Arial" w:cs="Arial"/>
          <w:i/>
          <w:iCs/>
          <w:color w:val="222222"/>
          <w:sz w:val="20"/>
          <w:szCs w:val="20"/>
          <w:shd w:val="clear" w:color="auto" w:fill="FFFFFF"/>
        </w:rPr>
        <w:t>European Neuropsychopharmacology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(10), 1698-1708.</w:t>
      </w:r>
    </w:p>
  </w:comment>
  <w:comment w:id="15" w:author="Cameron Martel" w:date="2019-03-08T11:58:00Z" w:initials="CM">
    <w:p w14:paraId="01797A7C" w14:textId="7CBCE09C" w:rsidR="00CC2B85" w:rsidRDefault="00CC2B85" w:rsidP="00CC2B85">
      <w:r>
        <w:rPr>
          <w:rStyle w:val="CommentReference"/>
        </w:rPr>
        <w:annotationRef/>
      </w:r>
      <w:r>
        <w:rPr>
          <w:rStyle w:val="CommentReference"/>
        </w:rPr>
        <w:annotationRef/>
      </w:r>
      <w:r>
        <w:rPr>
          <w:rFonts w:ascii="Arial" w:hAnsi="Arial" w:cs="Arial"/>
          <w:color w:val="222222"/>
          <w:sz w:val="20"/>
          <w:szCs w:val="20"/>
          <w:shd w:val="clear" w:color="auto" w:fill="FFFFFF"/>
        </w:rPr>
        <w:t>Kassai, F., Schlumberger, C., Kedves, R., Pietraszek, M., Jatzke, C., Lendvai, B., ... &amp; Danysz, W. (2012). Effect of 5-HT5A antagonists in animal models of schizophrenia, anxiety and depression. </w:t>
      </w:r>
      <w:r>
        <w:rPr>
          <w:rFonts w:ascii="Arial" w:hAnsi="Arial" w:cs="Arial"/>
          <w:i/>
          <w:iCs/>
          <w:color w:val="222222"/>
          <w:sz w:val="20"/>
          <w:szCs w:val="20"/>
          <w:shd w:val="clear" w:color="auto" w:fill="FFFFFF"/>
        </w:rPr>
        <w:t>Behavioural pharmacology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(4), 397-406.</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DB7A12" w15:done="0"/>
  <w15:commentEx w15:paraId="48E6E45F" w15:done="0"/>
  <w15:commentEx w15:paraId="5CD3F690" w15:done="0"/>
  <w15:commentEx w15:paraId="4AA6DB49" w15:done="0"/>
  <w15:commentEx w15:paraId="7E376BB6" w15:done="0"/>
  <w15:commentEx w15:paraId="5B244B97" w15:done="0"/>
  <w15:commentEx w15:paraId="0D80C1A2" w15:done="0"/>
  <w15:commentEx w15:paraId="427CF02E" w15:done="0"/>
  <w15:commentEx w15:paraId="32606CCC" w15:done="0"/>
  <w15:commentEx w15:paraId="2D51648E" w15:done="0"/>
  <w15:commentEx w15:paraId="30D3700B" w15:done="0"/>
  <w15:commentEx w15:paraId="427FCA4A" w15:done="0"/>
  <w15:commentEx w15:paraId="4B020D3F" w15:done="0"/>
  <w15:commentEx w15:paraId="60BC81EF" w15:done="0"/>
  <w15:commentEx w15:paraId="01797A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4F35"/>
    <w:multiLevelType w:val="hybridMultilevel"/>
    <w:tmpl w:val="715A2596"/>
    <w:lvl w:ilvl="0" w:tplc="A744709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eron Martel">
    <w15:presenceInfo w15:providerId="Windows Live" w15:userId="6c3c1b02550cef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B51"/>
    <w:rsid w:val="00026AE1"/>
    <w:rsid w:val="0002708F"/>
    <w:rsid w:val="00031F67"/>
    <w:rsid w:val="00036046"/>
    <w:rsid w:val="00047C7D"/>
    <w:rsid w:val="00062364"/>
    <w:rsid w:val="000D6780"/>
    <w:rsid w:val="00115CE1"/>
    <w:rsid w:val="0015138C"/>
    <w:rsid w:val="00162560"/>
    <w:rsid w:val="0017732C"/>
    <w:rsid w:val="001859F5"/>
    <w:rsid w:val="0019413D"/>
    <w:rsid w:val="001C6A21"/>
    <w:rsid w:val="001D270B"/>
    <w:rsid w:val="001F629A"/>
    <w:rsid w:val="00213734"/>
    <w:rsid w:val="00215792"/>
    <w:rsid w:val="00221B51"/>
    <w:rsid w:val="00247ED3"/>
    <w:rsid w:val="002858E8"/>
    <w:rsid w:val="002A19DC"/>
    <w:rsid w:val="002C4574"/>
    <w:rsid w:val="00352462"/>
    <w:rsid w:val="003C21F0"/>
    <w:rsid w:val="003D5117"/>
    <w:rsid w:val="0041115C"/>
    <w:rsid w:val="004133C3"/>
    <w:rsid w:val="00425199"/>
    <w:rsid w:val="00436BBE"/>
    <w:rsid w:val="00447EBC"/>
    <w:rsid w:val="00476965"/>
    <w:rsid w:val="004F4060"/>
    <w:rsid w:val="004F5C78"/>
    <w:rsid w:val="00532788"/>
    <w:rsid w:val="0054156B"/>
    <w:rsid w:val="00551E9F"/>
    <w:rsid w:val="00590403"/>
    <w:rsid w:val="005B5968"/>
    <w:rsid w:val="005C08A4"/>
    <w:rsid w:val="005D5BD3"/>
    <w:rsid w:val="00681C17"/>
    <w:rsid w:val="0069782E"/>
    <w:rsid w:val="006C3F8E"/>
    <w:rsid w:val="006C62F9"/>
    <w:rsid w:val="0070617F"/>
    <w:rsid w:val="00742486"/>
    <w:rsid w:val="007B01BA"/>
    <w:rsid w:val="007B6C85"/>
    <w:rsid w:val="007D5C6B"/>
    <w:rsid w:val="00816FD1"/>
    <w:rsid w:val="00864FA6"/>
    <w:rsid w:val="00884DAC"/>
    <w:rsid w:val="0092777B"/>
    <w:rsid w:val="00934FB0"/>
    <w:rsid w:val="00960782"/>
    <w:rsid w:val="00963D14"/>
    <w:rsid w:val="00973510"/>
    <w:rsid w:val="009C0DDA"/>
    <w:rsid w:val="009E3DA1"/>
    <w:rsid w:val="009E4881"/>
    <w:rsid w:val="009E7015"/>
    <w:rsid w:val="00A76277"/>
    <w:rsid w:val="00A93B6F"/>
    <w:rsid w:val="00AE74CD"/>
    <w:rsid w:val="00AF03AD"/>
    <w:rsid w:val="00B116F2"/>
    <w:rsid w:val="00B252F3"/>
    <w:rsid w:val="00B46AA4"/>
    <w:rsid w:val="00B6651B"/>
    <w:rsid w:val="00B72D3D"/>
    <w:rsid w:val="00B75662"/>
    <w:rsid w:val="00BE5BB2"/>
    <w:rsid w:val="00C375C5"/>
    <w:rsid w:val="00C51369"/>
    <w:rsid w:val="00C92E44"/>
    <w:rsid w:val="00C941EA"/>
    <w:rsid w:val="00CA181F"/>
    <w:rsid w:val="00CC2B85"/>
    <w:rsid w:val="00CE756F"/>
    <w:rsid w:val="00D049C8"/>
    <w:rsid w:val="00D46547"/>
    <w:rsid w:val="00DE18E4"/>
    <w:rsid w:val="00E038D6"/>
    <w:rsid w:val="00E14C06"/>
    <w:rsid w:val="00E534DC"/>
    <w:rsid w:val="00E77F67"/>
    <w:rsid w:val="00F0315A"/>
    <w:rsid w:val="00F21ED3"/>
    <w:rsid w:val="00F77371"/>
    <w:rsid w:val="00F94CA3"/>
    <w:rsid w:val="00FA0A42"/>
    <w:rsid w:val="00FD6D28"/>
    <w:rsid w:val="00FE4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8CD6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6AA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35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rsid w:val="00213734"/>
    <w:rPr>
      <w:sz w:val="18"/>
    </w:rPr>
  </w:style>
  <w:style w:type="paragraph" w:styleId="BalloonText">
    <w:name w:val="Balloon Text"/>
    <w:basedOn w:val="Normal"/>
    <w:link w:val="BalloonTextChar"/>
    <w:uiPriority w:val="99"/>
    <w:semiHidden/>
    <w:unhideWhenUsed/>
    <w:rsid w:val="00213734"/>
    <w:rPr>
      <w:sz w:val="18"/>
      <w:szCs w:val="18"/>
    </w:rPr>
  </w:style>
  <w:style w:type="character" w:customStyle="1" w:styleId="BalloonTextChar">
    <w:name w:val="Balloon Text Char"/>
    <w:basedOn w:val="DefaultParagraphFont"/>
    <w:link w:val="BalloonText"/>
    <w:uiPriority w:val="99"/>
    <w:semiHidden/>
    <w:rsid w:val="00213734"/>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5D5BD3"/>
    <w:rPr>
      <w:rFonts w:asciiTheme="minorHAnsi" w:hAnsiTheme="minorHAnsi" w:cstheme="minorBidi"/>
    </w:rPr>
  </w:style>
  <w:style w:type="character" w:customStyle="1" w:styleId="CommentTextChar">
    <w:name w:val="Comment Text Char"/>
    <w:basedOn w:val="DefaultParagraphFont"/>
    <w:link w:val="CommentText"/>
    <w:uiPriority w:val="99"/>
    <w:semiHidden/>
    <w:rsid w:val="005D5BD3"/>
  </w:style>
  <w:style w:type="paragraph" w:styleId="CommentSubject">
    <w:name w:val="annotation subject"/>
    <w:basedOn w:val="CommentText"/>
    <w:next w:val="CommentText"/>
    <w:link w:val="CommentSubjectChar"/>
    <w:uiPriority w:val="99"/>
    <w:semiHidden/>
    <w:unhideWhenUsed/>
    <w:rsid w:val="005D5BD3"/>
    <w:rPr>
      <w:b/>
      <w:bCs/>
      <w:sz w:val="20"/>
      <w:szCs w:val="20"/>
    </w:rPr>
  </w:style>
  <w:style w:type="character" w:customStyle="1" w:styleId="CommentSubjectChar">
    <w:name w:val="Comment Subject Char"/>
    <w:basedOn w:val="CommentTextChar"/>
    <w:link w:val="CommentSubject"/>
    <w:uiPriority w:val="99"/>
    <w:semiHidden/>
    <w:rsid w:val="005D5BD3"/>
    <w:rPr>
      <w:b/>
      <w:bCs/>
      <w:sz w:val="20"/>
      <w:szCs w:val="20"/>
    </w:rPr>
  </w:style>
  <w:style w:type="paragraph" w:styleId="Revision">
    <w:name w:val="Revision"/>
    <w:hidden/>
    <w:uiPriority w:val="99"/>
    <w:semiHidden/>
    <w:rsid w:val="006C3F8E"/>
  </w:style>
  <w:style w:type="paragraph" w:styleId="ListParagraph">
    <w:name w:val="List Paragraph"/>
    <w:basedOn w:val="Normal"/>
    <w:uiPriority w:val="34"/>
    <w:qFormat/>
    <w:rsid w:val="0017732C"/>
    <w:pPr>
      <w:ind w:left="720"/>
      <w:contextualSpacing/>
    </w:pPr>
    <w:rPr>
      <w:rFonts w:asciiTheme="minorHAnsi" w:hAnsiTheme="minorHAnsi" w:cstheme="minorBidi"/>
    </w:rPr>
  </w:style>
  <w:style w:type="paragraph" w:styleId="HTMLPreformatted">
    <w:name w:val="HTML Preformatted"/>
    <w:basedOn w:val="Normal"/>
    <w:link w:val="HTMLPreformattedChar"/>
    <w:uiPriority w:val="99"/>
    <w:semiHidden/>
    <w:unhideWhenUsed/>
    <w:rsid w:val="0024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7ED3"/>
    <w:rPr>
      <w:rFonts w:ascii="Courier New" w:hAnsi="Courier New" w:cs="Courier New"/>
      <w:sz w:val="20"/>
      <w:szCs w:val="20"/>
    </w:rPr>
  </w:style>
  <w:style w:type="character" w:customStyle="1" w:styleId="pln">
    <w:name w:val="pln"/>
    <w:basedOn w:val="DefaultParagraphFont"/>
    <w:rsid w:val="00247ED3"/>
  </w:style>
  <w:style w:type="character" w:customStyle="1" w:styleId="pun">
    <w:name w:val="pun"/>
    <w:basedOn w:val="DefaultParagraphFont"/>
    <w:rsid w:val="00247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563250">
      <w:bodyDiv w:val="1"/>
      <w:marLeft w:val="0"/>
      <w:marRight w:val="0"/>
      <w:marTop w:val="0"/>
      <w:marBottom w:val="0"/>
      <w:divBdr>
        <w:top w:val="none" w:sz="0" w:space="0" w:color="auto"/>
        <w:left w:val="none" w:sz="0" w:space="0" w:color="auto"/>
        <w:bottom w:val="none" w:sz="0" w:space="0" w:color="auto"/>
        <w:right w:val="none" w:sz="0" w:space="0" w:color="auto"/>
      </w:divBdr>
      <w:divsChild>
        <w:div w:id="1788617487">
          <w:marLeft w:val="0"/>
          <w:marRight w:val="0"/>
          <w:marTop w:val="0"/>
          <w:marBottom w:val="0"/>
          <w:divBdr>
            <w:top w:val="none" w:sz="0" w:space="0" w:color="auto"/>
            <w:left w:val="none" w:sz="0" w:space="0" w:color="auto"/>
            <w:bottom w:val="none" w:sz="0" w:space="0" w:color="auto"/>
            <w:right w:val="none" w:sz="0" w:space="0" w:color="auto"/>
          </w:divBdr>
        </w:div>
      </w:divsChild>
    </w:div>
    <w:div w:id="366835118">
      <w:bodyDiv w:val="1"/>
      <w:marLeft w:val="0"/>
      <w:marRight w:val="0"/>
      <w:marTop w:val="0"/>
      <w:marBottom w:val="0"/>
      <w:divBdr>
        <w:top w:val="none" w:sz="0" w:space="0" w:color="auto"/>
        <w:left w:val="none" w:sz="0" w:space="0" w:color="auto"/>
        <w:bottom w:val="none" w:sz="0" w:space="0" w:color="auto"/>
        <w:right w:val="none" w:sz="0" w:space="0" w:color="auto"/>
      </w:divBdr>
    </w:div>
    <w:div w:id="905263345">
      <w:bodyDiv w:val="1"/>
      <w:marLeft w:val="0"/>
      <w:marRight w:val="0"/>
      <w:marTop w:val="0"/>
      <w:marBottom w:val="0"/>
      <w:divBdr>
        <w:top w:val="none" w:sz="0" w:space="0" w:color="auto"/>
        <w:left w:val="none" w:sz="0" w:space="0" w:color="auto"/>
        <w:bottom w:val="none" w:sz="0" w:space="0" w:color="auto"/>
        <w:right w:val="none" w:sz="0" w:space="0" w:color="auto"/>
      </w:divBdr>
    </w:div>
    <w:div w:id="929003994">
      <w:bodyDiv w:val="1"/>
      <w:marLeft w:val="0"/>
      <w:marRight w:val="0"/>
      <w:marTop w:val="0"/>
      <w:marBottom w:val="0"/>
      <w:divBdr>
        <w:top w:val="none" w:sz="0" w:space="0" w:color="auto"/>
        <w:left w:val="none" w:sz="0" w:space="0" w:color="auto"/>
        <w:bottom w:val="none" w:sz="0" w:space="0" w:color="auto"/>
        <w:right w:val="none" w:sz="0" w:space="0" w:color="auto"/>
      </w:divBdr>
    </w:div>
    <w:div w:id="974483185">
      <w:bodyDiv w:val="1"/>
      <w:marLeft w:val="0"/>
      <w:marRight w:val="0"/>
      <w:marTop w:val="0"/>
      <w:marBottom w:val="0"/>
      <w:divBdr>
        <w:top w:val="none" w:sz="0" w:space="0" w:color="auto"/>
        <w:left w:val="none" w:sz="0" w:space="0" w:color="auto"/>
        <w:bottom w:val="none" w:sz="0" w:space="0" w:color="auto"/>
        <w:right w:val="none" w:sz="0" w:space="0" w:color="auto"/>
      </w:divBdr>
    </w:div>
    <w:div w:id="1013148167">
      <w:bodyDiv w:val="1"/>
      <w:marLeft w:val="0"/>
      <w:marRight w:val="0"/>
      <w:marTop w:val="0"/>
      <w:marBottom w:val="0"/>
      <w:divBdr>
        <w:top w:val="none" w:sz="0" w:space="0" w:color="auto"/>
        <w:left w:val="none" w:sz="0" w:space="0" w:color="auto"/>
        <w:bottom w:val="none" w:sz="0" w:space="0" w:color="auto"/>
        <w:right w:val="none" w:sz="0" w:space="0" w:color="auto"/>
      </w:divBdr>
      <w:divsChild>
        <w:div w:id="4327041">
          <w:marLeft w:val="0"/>
          <w:marRight w:val="0"/>
          <w:marTop w:val="0"/>
          <w:marBottom w:val="0"/>
          <w:divBdr>
            <w:top w:val="none" w:sz="0" w:space="0" w:color="auto"/>
            <w:left w:val="none" w:sz="0" w:space="0" w:color="auto"/>
            <w:bottom w:val="none" w:sz="0" w:space="0" w:color="auto"/>
            <w:right w:val="none" w:sz="0" w:space="0" w:color="auto"/>
          </w:divBdr>
        </w:div>
      </w:divsChild>
    </w:div>
    <w:div w:id="1348143676">
      <w:bodyDiv w:val="1"/>
      <w:marLeft w:val="0"/>
      <w:marRight w:val="0"/>
      <w:marTop w:val="0"/>
      <w:marBottom w:val="0"/>
      <w:divBdr>
        <w:top w:val="none" w:sz="0" w:space="0" w:color="auto"/>
        <w:left w:val="none" w:sz="0" w:space="0" w:color="auto"/>
        <w:bottom w:val="none" w:sz="0" w:space="0" w:color="auto"/>
        <w:right w:val="none" w:sz="0" w:space="0" w:color="auto"/>
      </w:divBdr>
    </w:div>
    <w:div w:id="1802990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1798</Words>
  <Characters>10253</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Martel</dc:creator>
  <cp:keywords/>
  <dc:description/>
  <cp:lastModifiedBy>Cameron Martel</cp:lastModifiedBy>
  <cp:revision>56</cp:revision>
  <dcterms:created xsi:type="dcterms:W3CDTF">2019-03-08T15:19:00Z</dcterms:created>
  <dcterms:modified xsi:type="dcterms:W3CDTF">2019-03-08T21:32:00Z</dcterms:modified>
</cp:coreProperties>
</file>