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B8" w:rsidRDefault="00AF23E3" w:rsidP="00210AB8">
      <w:pPr>
        <w:pStyle w:val="Title"/>
      </w:pPr>
      <w:r>
        <w:t>Report</w:t>
      </w:r>
    </w:p>
    <w:p w:rsidR="000E5929" w:rsidRDefault="00AF23E3" w:rsidP="00AF23E3">
      <w:pPr>
        <w:pStyle w:val="Heading1"/>
      </w:pPr>
      <w:r>
        <w:t>Implementation</w:t>
      </w:r>
    </w:p>
    <w:p w:rsidR="008B4AC1" w:rsidRDefault="00AF23E3" w:rsidP="008B4AC1">
      <w:r>
        <w:t xml:space="preserve">All three </w:t>
      </w:r>
      <w:r w:rsidR="008B4AC1">
        <w:t>schemes</w:t>
      </w:r>
      <w:r>
        <w:t xml:space="preserve"> are methods of the </w:t>
      </w:r>
      <w:r w:rsidRPr="008B4AC1">
        <w:rPr>
          <w:b/>
          <w:bCs/>
        </w:rPr>
        <w:t>Retrieve</w:t>
      </w:r>
      <w:r>
        <w:t xml:space="preserve"> class. A </w:t>
      </w:r>
      <w:r w:rsidR="008B4AC1" w:rsidRPr="008B4AC1">
        <w:rPr>
          <w:b/>
          <w:bCs/>
        </w:rPr>
        <w:t>Retrieve</w:t>
      </w:r>
      <w:r w:rsidR="008B4AC1">
        <w:t xml:space="preserve"> object is constructed from the variable </w:t>
      </w:r>
      <w:r w:rsidR="008B4AC1" w:rsidRPr="008B4AC1">
        <w:rPr>
          <w:b/>
          <w:bCs/>
        </w:rPr>
        <w:t>index</w:t>
      </w:r>
      <w:r w:rsidR="008B4AC1">
        <w:t xml:space="preserve"> and the variable </w:t>
      </w:r>
      <w:r w:rsidR="008B4AC1" w:rsidRPr="008B4AC1">
        <w:rPr>
          <w:b/>
          <w:bCs/>
        </w:rPr>
        <w:t>termWeighting</w:t>
      </w:r>
      <w:r w:rsidR="008B4AC1">
        <w:t>.</w:t>
      </w:r>
    </w:p>
    <w:p w:rsidR="008B4AC1" w:rsidRDefault="008B4AC1" w:rsidP="008B4AC1">
      <w:r>
        <w:t xml:space="preserve">The variable </w:t>
      </w:r>
      <w:r>
        <w:rPr>
          <w:b/>
          <w:bCs/>
        </w:rPr>
        <w:t>index</w:t>
      </w:r>
      <w:r>
        <w:t xml:space="preserve"> is a </w:t>
      </w:r>
      <w:r>
        <w:t>dictionary where each key is a word and each</w:t>
      </w:r>
      <w:r>
        <w:t xml:space="preserve"> </w:t>
      </w:r>
      <w:r>
        <w:t>value is a dictionary. In each of the</w:t>
      </w:r>
      <w:r>
        <w:t xml:space="preserve"> </w:t>
      </w:r>
      <w:r>
        <w:t>sub-dictionaries, each key is a docid from</w:t>
      </w:r>
      <w:r>
        <w:t xml:space="preserve"> </w:t>
      </w:r>
      <w:r>
        <w:t>documents.txt and each value is the frequency of</w:t>
      </w:r>
      <w:r>
        <w:t xml:space="preserve"> </w:t>
      </w:r>
      <w:r>
        <w:t>the word in the document with said docid.</w:t>
      </w:r>
    </w:p>
    <w:p w:rsidR="008B4AC1" w:rsidRDefault="008B4AC1" w:rsidP="008B4AC1">
      <w:r>
        <w:t xml:space="preserve">The variable </w:t>
      </w:r>
      <w:r w:rsidRPr="008B4AC1">
        <w:rPr>
          <w:b/>
          <w:bCs/>
        </w:rPr>
        <w:t>termWeighting</w:t>
      </w:r>
      <w:r>
        <w:t xml:space="preserve"> determines whether Binary, tf or tfidf is used.</w:t>
      </w:r>
    </w:p>
    <w:p w:rsidR="00F9126C" w:rsidRPr="00F9126C" w:rsidRDefault="00F9126C" w:rsidP="0041071B">
      <w:r>
        <w:t xml:space="preserve">All three schemes use the variable </w:t>
      </w:r>
      <w:r>
        <w:rPr>
          <w:b/>
          <w:bCs/>
        </w:rPr>
        <w:t>query</w:t>
      </w:r>
      <w:r>
        <w:t>, which is a dictionary where the keys are strings. First they filter out the sub-dictionaries in index that have a word in the current query. Then they calculate the scores of each word for different docids, the calculation is different depending on the scheme used. The scores are</w:t>
      </w:r>
      <w:r w:rsidR="0041071B">
        <w:t xml:space="preserve"> summed up according the docid. The docids </w:t>
      </w:r>
      <w:r>
        <w:t xml:space="preserve">are then sorted </w:t>
      </w:r>
      <w:r w:rsidR="0041071B">
        <w:t xml:space="preserve">by highest to lowest score </w:t>
      </w:r>
      <w:r>
        <w:t>and returned.</w:t>
      </w:r>
    </w:p>
    <w:p w:rsidR="00AF23E3" w:rsidRDefault="00AF23E3" w:rsidP="00AF23E3">
      <w:pPr>
        <w:pStyle w:val="Heading2"/>
      </w:pPr>
      <w:r>
        <w:t>Binary</w:t>
      </w:r>
    </w:p>
    <w:p w:rsidR="00AF23E3" w:rsidRPr="00AF23E3" w:rsidRDefault="00AF23E3" w:rsidP="00AF23E3"/>
    <w:p w:rsidR="00AF23E3" w:rsidRDefault="00AF23E3" w:rsidP="00AF23E3">
      <w:pPr>
        <w:pStyle w:val="Heading2"/>
      </w:pPr>
      <w:r>
        <w:t>Term Frequency (tf)</w:t>
      </w:r>
    </w:p>
    <w:p w:rsidR="00C319E2" w:rsidRPr="00C319E2" w:rsidRDefault="005879A6" w:rsidP="004048ED">
      <w:r>
        <w:t xml:space="preserve">Words that appear frequently in one document score higher. </w:t>
      </w:r>
      <w:r w:rsidR="00411796">
        <w:t xml:space="preserve">To calculate this, we first calculate the number of distinct words for each document by </w:t>
      </w:r>
      <w:r w:rsidR="00C319E2">
        <w:t xml:space="preserve">looping through the sub-dictionaries in the </w:t>
      </w:r>
      <w:r w:rsidR="00C319E2">
        <w:rPr>
          <w:b/>
          <w:bCs/>
        </w:rPr>
        <w:t>index</w:t>
      </w:r>
      <w:r w:rsidR="00C319E2">
        <w:rPr>
          <w:b/>
          <w:bCs/>
        </w:rPr>
        <w:t xml:space="preserve"> </w:t>
      </w:r>
      <w:r w:rsidR="00C319E2">
        <w:t xml:space="preserve">variable and incrementing the word count for a document every </w:t>
      </w:r>
      <w:r w:rsidR="004048ED">
        <w:t xml:space="preserve">time its docid appears as a key. This is stored as a variable </w:t>
      </w:r>
      <w:bookmarkStart w:id="0" w:name="_GoBack"/>
      <w:bookmarkEnd w:id="0"/>
    </w:p>
    <w:p w:rsidR="00411796" w:rsidRPr="00AF23E3" w:rsidRDefault="00411796" w:rsidP="00411796"/>
    <w:p w:rsidR="00AF23E3" w:rsidRDefault="00AF23E3" w:rsidP="00AF23E3">
      <w:pPr>
        <w:pStyle w:val="Heading2"/>
      </w:pPr>
      <w:r>
        <w:t>Term Frequency Inverse Document Frequency (tfidf)</w:t>
      </w:r>
    </w:p>
    <w:p w:rsidR="00AF23E3" w:rsidRDefault="0041071B" w:rsidP="00AF23E3">
      <w:r>
        <w:t xml:space="preserve">Just like in </w:t>
      </w:r>
      <w:r w:rsidRPr="0041071B">
        <w:rPr>
          <w:b/>
          <w:bCs/>
        </w:rPr>
        <w:t>tf</w:t>
      </w:r>
      <w:r>
        <w:t xml:space="preserve">, words that appear frequently in one document score higher. Unlike </w:t>
      </w:r>
      <w:r w:rsidRPr="0041071B">
        <w:rPr>
          <w:b/>
          <w:bCs/>
        </w:rPr>
        <w:t>tf</w:t>
      </w:r>
      <w:r>
        <w:t>, these are also multiplied by the Inverse Document Frequency (</w:t>
      </w:r>
      <w:r>
        <w:rPr>
          <w:b/>
          <w:bCs/>
        </w:rPr>
        <w:t>idf</w:t>
      </w:r>
      <w:r>
        <w:t>) which is given by the formula:</w:t>
      </w:r>
    </w:p>
    <w:p w:rsidR="0041071B" w:rsidRDefault="00EA5C27" w:rsidP="00EA5C27">
      <w:r>
        <w:t xml:space="preserve">Where </w:t>
      </w:r>
      <m:oMath>
        <m:r>
          <w:rPr>
            <w:rFonts w:ascii="Cambria Math" w:hAnsi="Cambria Math"/>
          </w:rPr>
          <m:t>w</m:t>
        </m:r>
      </m:oMath>
      <w:r>
        <w:t xml:space="preserve"> is the word and </w:t>
      </w:r>
      <m:oMath>
        <m:r>
          <w:rPr>
            <w:rFonts w:ascii="Cambria Math" w:hAnsi="Cambria Math"/>
          </w:rPr>
          <m:t>D</m:t>
        </m:r>
      </m:oMath>
      <w:r>
        <w:t xml:space="preserve"> is</w:t>
      </w:r>
      <w:r w:rsidR="005879A6">
        <w:t xml:space="preserve"> the set of all documents</w:t>
      </w:r>
    </w:p>
    <w:p w:rsidR="0041071B" w:rsidRDefault="00EA5C27" w:rsidP="00EA5C2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idf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w,D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</w:rPr>
                <m:t>ln</m:t>
              </m:r>
              <m:ctrlPr>
                <w:rPr>
                  <w:rFonts w:ascii="Cambria Math" w:hAnsi="Cambria Math" w:hint="eastAsia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d∈D:w∈d</m:t>
                          </m:r>
                        </m:e>
                      </m:d>
                    </m:e>
                  </m:d>
                </m:den>
              </m:f>
            </m:e>
          </m:func>
        </m:oMath>
      </m:oMathPara>
    </w:p>
    <w:p w:rsidR="0041071B" w:rsidRPr="00AF23E3" w:rsidRDefault="0041071B" w:rsidP="002936DC">
      <w:r>
        <w:t>This is so that words that appear in many documents score lower.</w:t>
      </w:r>
    </w:p>
    <w:p w:rsidR="00210AB8" w:rsidRDefault="008B4AC1" w:rsidP="008B4AC1">
      <w:pPr>
        <w:pStyle w:val="Heading1"/>
      </w:pPr>
      <w:r>
        <w:t>Performance</w:t>
      </w:r>
    </w:p>
    <w:p w:rsidR="008B4AC1" w:rsidRPr="008B4AC1" w:rsidRDefault="008B4AC1" w:rsidP="008B4AC1"/>
    <w:sectPr w:rsidR="008B4AC1" w:rsidRPr="008B4AC1" w:rsidSect="00783A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942E7"/>
    <w:multiLevelType w:val="hybridMultilevel"/>
    <w:tmpl w:val="A6F2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331CF"/>
    <w:multiLevelType w:val="hybridMultilevel"/>
    <w:tmpl w:val="302A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F6E30"/>
    <w:multiLevelType w:val="hybridMultilevel"/>
    <w:tmpl w:val="04384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33026"/>
    <w:multiLevelType w:val="hybridMultilevel"/>
    <w:tmpl w:val="B7364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B8"/>
    <w:rsid w:val="00070323"/>
    <w:rsid w:val="000756AB"/>
    <w:rsid w:val="000C735D"/>
    <w:rsid w:val="000E5929"/>
    <w:rsid w:val="00194458"/>
    <w:rsid w:val="00210AB8"/>
    <w:rsid w:val="00287D1B"/>
    <w:rsid w:val="002936DC"/>
    <w:rsid w:val="00304470"/>
    <w:rsid w:val="003405DC"/>
    <w:rsid w:val="004048ED"/>
    <w:rsid w:val="0041071B"/>
    <w:rsid w:val="00411796"/>
    <w:rsid w:val="00534E24"/>
    <w:rsid w:val="005879A6"/>
    <w:rsid w:val="005C4CF2"/>
    <w:rsid w:val="00783A3B"/>
    <w:rsid w:val="007A3203"/>
    <w:rsid w:val="007F342D"/>
    <w:rsid w:val="008238FA"/>
    <w:rsid w:val="00840729"/>
    <w:rsid w:val="00876018"/>
    <w:rsid w:val="008B4AC1"/>
    <w:rsid w:val="0095451C"/>
    <w:rsid w:val="00992BCF"/>
    <w:rsid w:val="00A4555D"/>
    <w:rsid w:val="00A92EF5"/>
    <w:rsid w:val="00AF23E3"/>
    <w:rsid w:val="00B24341"/>
    <w:rsid w:val="00C319E2"/>
    <w:rsid w:val="00C50B25"/>
    <w:rsid w:val="00E31097"/>
    <w:rsid w:val="00E53718"/>
    <w:rsid w:val="00EA5C27"/>
    <w:rsid w:val="00EE11A2"/>
    <w:rsid w:val="00F61387"/>
    <w:rsid w:val="00F9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0EAB"/>
  <w15:chartTrackingRefBased/>
  <w15:docId w15:val="{7E11B7FD-151E-4E31-AEDD-4D2DBB167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BCF"/>
  </w:style>
  <w:style w:type="paragraph" w:styleId="Heading1">
    <w:name w:val="heading 1"/>
    <w:basedOn w:val="Normal"/>
    <w:next w:val="Normal"/>
    <w:link w:val="Heading1Char"/>
    <w:uiPriority w:val="9"/>
    <w:qFormat/>
    <w:rsid w:val="00992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BC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2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070323"/>
  </w:style>
  <w:style w:type="character" w:customStyle="1" w:styleId="Heading2Char">
    <w:name w:val="Heading 2 Char"/>
    <w:basedOn w:val="DefaultParagraphFont"/>
    <w:link w:val="Heading2"/>
    <w:uiPriority w:val="9"/>
    <w:rsid w:val="00A92E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2E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107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onsolas"/>
        <a:ea typeface=""/>
        <a:cs typeface=""/>
      </a:majorFont>
      <a:minorFont>
        <a:latin typeface="Lucida Cons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Joh09</b:Tag>
    <b:SourceType>InternetSite</b:SourceType>
    <b:Guid>{27E1EF5A-B8DA-45C2-8F41-85EDEFFC79A1}</b:Guid>
    <b:Title>Country Geography Data</b:Title>
    <b:Year>2009</b:Year>
    <b:Author>
      <b:Author>
        <b:NameList>
          <b:Person>
            <b:Last>Hall</b:Last>
            <b:First>John</b:First>
          </b:Person>
        </b:NameList>
      </b:Author>
    </b:Author>
    <b:ProductionCompany>Portland State University College of Urban &amp; Public Affairs</b:ProductionCompany>
    <b:Month>11</b:Month>
    <b:Day>15</b:Day>
    <b:YearAccessed>2017</b:YearAccessed>
    <b:MonthAccessed>05</b:MonthAccessed>
    <b:DayAccessed>01</b:DayAccessed>
    <b:URL>https://www.pdx.edu/econ/country-geography-data</b:URL>
    <b:RefOrder>1</b:RefOrder>
  </b:Source>
  <b:Source>
    <b:Tag>DEF08</b:Tag>
    <b:SourceType>InternetSite</b:SourceType>
    <b:Guid>{63CD116B-7E99-4293-8C8A-07A10D7433D6}</b:Guid>
    <b:Title>ACCESS TO THE OPEN COUNTRYSIDE</b:Title>
    <b:Year>1998</b:Year>
    <b:Month>12</b:Month>
    <b:Day>18</b:Day>
    <b:URL>http://webarchive.nationalarchives.gov.uk/20130123162956/http:/www.defra.gov.uk/wildlife-countryside/consult/access/statut.htm</b:URL>
    <b:ProductionCompany>Department for Environment, Food and Rural Affairs</b:ProductionCompany>
    <b:Author>
      <b:Author>
        <b:Corporate>DEFRA</b:Corporate>
      </b:Author>
    </b:Author>
    <b:RefOrder>2</b:RefOrder>
  </b:Source>
  <b:Source>
    <b:Tag>Gem16</b:Tag>
    <b:SourceType>InternetSite</b:SourceType>
    <b:Guid>{EC56A0FE-E55F-4636-AEB2-8746F6C66BC7}</b:Guid>
    <b:Author>
      <b:Author>
        <b:NameList>
          <b:Person>
            <b:Last>Gemma</b:Last>
          </b:Person>
        </b:NameList>
      </b:Author>
    </b:Author>
    <b:Title>Great Britain’s tallest mountain is taller</b:Title>
    <b:ProductionCompany>Ordnance Survey</b:ProductionCompany>
    <b:Year>2016</b:Year>
    <b:Month>03</b:Month>
    <b:Day>18</b:Day>
    <b:URL>https://www.ordnancesurvey.co.uk/blog/2016/03/britains-tallest-mountain-is-taller/</b:URL>
    <b:RefOrder>3</b:RefOrder>
  </b:Source>
</b:Sources>
</file>

<file path=customXml/itemProps1.xml><?xml version="1.0" encoding="utf-8"?>
<ds:datastoreItem xmlns:ds="http://schemas.openxmlformats.org/officeDocument/2006/customXml" ds:itemID="{62C35C41-1901-47DB-9293-724849FE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 Ding Han</dc:creator>
  <cp:keywords/>
  <dc:description/>
  <cp:lastModifiedBy>Jack Cheng Ding Han</cp:lastModifiedBy>
  <cp:revision>11</cp:revision>
  <dcterms:created xsi:type="dcterms:W3CDTF">2017-11-06T13:22:00Z</dcterms:created>
  <dcterms:modified xsi:type="dcterms:W3CDTF">2017-11-06T13:57:00Z</dcterms:modified>
</cp:coreProperties>
</file>