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5DAE1" w14:textId="3A20ED45" w:rsidR="00B72C6C" w:rsidRPr="00B72C6C" w:rsidRDefault="00B72C6C" w:rsidP="00B72C6C">
      <w:pPr>
        <w:spacing w:line="276" w:lineRule="auto"/>
        <w:ind w:firstLine="0"/>
        <w:jc w:val="left"/>
        <w:rPr>
          <w:rFonts w:asciiTheme="minorHAnsi" w:eastAsia="Times New Roman" w:hAnsiTheme="minorHAnsi" w:cstheme="minorHAnsi"/>
          <w:b/>
          <w:bCs/>
          <w:color w:val="auto"/>
          <w:sz w:val="27"/>
          <w:szCs w:val="27"/>
        </w:rPr>
      </w:pPr>
      <w:r w:rsidRPr="00B72C6C">
        <w:rPr>
          <w:rFonts w:asciiTheme="minorHAnsi" w:eastAsia="Times New Roman" w:hAnsiTheme="minorHAnsi" w:cstheme="minorHAnsi"/>
          <w:b/>
          <w:bCs/>
          <w:color w:val="auto"/>
          <w:sz w:val="27"/>
          <w:szCs w:val="27"/>
        </w:rPr>
        <w:t>1. Elementos clave de un Diagrama de Clases</w:t>
      </w:r>
    </w:p>
    <w:p w14:paraId="2D2AC9B9" w14:textId="77777777" w:rsidR="00B72C6C" w:rsidRPr="00B72C6C" w:rsidRDefault="00B72C6C" w:rsidP="00B72C6C">
      <w:pPr>
        <w:spacing w:line="276" w:lineRule="auto"/>
        <w:ind w:firstLine="0"/>
        <w:jc w:val="left"/>
        <w:rPr>
          <w:rFonts w:asciiTheme="minorHAnsi" w:eastAsia="Times New Roman" w:hAnsiTheme="minorHAnsi" w:cstheme="minorHAnsi"/>
          <w:color w:val="auto"/>
          <w:szCs w:val="24"/>
        </w:rPr>
      </w:pPr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Una clase se representa visualmente como un </w:t>
      </w:r>
      <w:r w:rsidRPr="00B72C6C">
        <w:rPr>
          <w:rFonts w:asciiTheme="minorHAnsi" w:eastAsia="Times New Roman" w:hAnsiTheme="minorHAnsi" w:cstheme="minorHAnsi"/>
          <w:b/>
          <w:bCs/>
          <w:color w:val="auto"/>
          <w:szCs w:val="24"/>
        </w:rPr>
        <w:t>rectángulo dividido en tres partes (o compartimentos)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 de arriba hacia abajo:</w:t>
      </w:r>
    </w:p>
    <w:p w14:paraId="5D898BD5" w14:textId="77777777" w:rsidR="00B72C6C" w:rsidRPr="00B72C6C" w:rsidRDefault="00B72C6C" w:rsidP="00B72C6C">
      <w:pPr>
        <w:numPr>
          <w:ilvl w:val="0"/>
          <w:numId w:val="1"/>
        </w:numPr>
        <w:spacing w:line="276" w:lineRule="auto"/>
        <w:jc w:val="left"/>
        <w:rPr>
          <w:rFonts w:asciiTheme="minorHAnsi" w:eastAsia="Times New Roman" w:hAnsiTheme="minorHAnsi" w:cstheme="minorHAnsi"/>
          <w:color w:val="auto"/>
          <w:szCs w:val="24"/>
        </w:rPr>
      </w:pPr>
      <w:r w:rsidRPr="00B72C6C">
        <w:rPr>
          <w:rFonts w:asciiTheme="minorHAnsi" w:eastAsia="Times New Roman" w:hAnsiTheme="minorHAnsi" w:cstheme="minorHAnsi"/>
          <w:b/>
          <w:bCs/>
          <w:color w:val="auto"/>
          <w:szCs w:val="24"/>
        </w:rPr>
        <w:t>Nombre de la clase: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 El identificador del objeto (ej. </w:t>
      </w:r>
      <w:proofErr w:type="spellStart"/>
      <w:r w:rsidRPr="00B72C6C">
        <w:rPr>
          <w:rFonts w:asciiTheme="minorHAnsi" w:eastAsia="Times New Roman" w:hAnsiTheme="minorHAnsi" w:cstheme="minorHAnsi"/>
          <w:color w:val="auto"/>
          <w:sz w:val="21"/>
          <w:szCs w:val="21"/>
        </w:rPr>
        <w:t>Vehiculo</w:t>
      </w:r>
      <w:proofErr w:type="spellEnd"/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, </w:t>
      </w:r>
      <w:r w:rsidRPr="00B72C6C">
        <w:rPr>
          <w:rFonts w:asciiTheme="minorHAnsi" w:eastAsia="Times New Roman" w:hAnsiTheme="minorHAnsi" w:cstheme="minorHAnsi"/>
          <w:color w:val="auto"/>
          <w:sz w:val="21"/>
          <w:szCs w:val="21"/>
        </w:rPr>
        <w:t>Usuario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, </w:t>
      </w:r>
      <w:r w:rsidRPr="00B72C6C">
        <w:rPr>
          <w:rFonts w:asciiTheme="minorHAnsi" w:eastAsia="Times New Roman" w:hAnsiTheme="minorHAnsi" w:cstheme="minorHAnsi"/>
          <w:color w:val="auto"/>
          <w:sz w:val="21"/>
          <w:szCs w:val="21"/>
        </w:rPr>
        <w:t>Factura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>).</w:t>
      </w:r>
    </w:p>
    <w:p w14:paraId="00C64B1E" w14:textId="77777777" w:rsidR="00B72C6C" w:rsidRPr="00B72C6C" w:rsidRDefault="00B72C6C" w:rsidP="00B72C6C">
      <w:pPr>
        <w:numPr>
          <w:ilvl w:val="0"/>
          <w:numId w:val="1"/>
        </w:numPr>
        <w:spacing w:line="276" w:lineRule="auto"/>
        <w:jc w:val="left"/>
        <w:rPr>
          <w:rFonts w:asciiTheme="minorHAnsi" w:eastAsia="Times New Roman" w:hAnsiTheme="minorHAnsi" w:cstheme="minorHAnsi"/>
          <w:color w:val="auto"/>
          <w:szCs w:val="24"/>
        </w:rPr>
      </w:pPr>
      <w:r w:rsidRPr="00B72C6C">
        <w:rPr>
          <w:rFonts w:asciiTheme="minorHAnsi" w:eastAsia="Times New Roman" w:hAnsiTheme="minorHAnsi" w:cstheme="minorHAnsi"/>
          <w:b/>
          <w:bCs/>
          <w:color w:val="auto"/>
          <w:szCs w:val="24"/>
        </w:rPr>
        <w:t>Atributos (Variables):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 Las características o datos que tiene la clase (ej. </w:t>
      </w:r>
      <w:r w:rsidRPr="00B72C6C">
        <w:rPr>
          <w:rFonts w:asciiTheme="minorHAnsi" w:eastAsia="Times New Roman" w:hAnsiTheme="minorHAnsi" w:cstheme="minorHAnsi"/>
          <w:color w:val="auto"/>
          <w:sz w:val="21"/>
          <w:szCs w:val="21"/>
        </w:rPr>
        <w:t>color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, </w:t>
      </w:r>
      <w:r w:rsidRPr="00B72C6C">
        <w:rPr>
          <w:rFonts w:asciiTheme="minorHAnsi" w:eastAsia="Times New Roman" w:hAnsiTheme="minorHAnsi" w:cstheme="minorHAnsi"/>
          <w:color w:val="auto"/>
          <w:sz w:val="21"/>
          <w:szCs w:val="21"/>
        </w:rPr>
        <w:t>precio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, </w:t>
      </w:r>
      <w:r w:rsidRPr="00B72C6C">
        <w:rPr>
          <w:rFonts w:asciiTheme="minorHAnsi" w:eastAsia="Times New Roman" w:hAnsiTheme="minorHAnsi" w:cstheme="minorHAnsi"/>
          <w:color w:val="auto"/>
          <w:sz w:val="21"/>
          <w:szCs w:val="21"/>
        </w:rPr>
        <w:t>nombre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>).</w:t>
      </w:r>
    </w:p>
    <w:p w14:paraId="523C5E1E" w14:textId="77777777" w:rsidR="00B72C6C" w:rsidRPr="00B72C6C" w:rsidRDefault="00B72C6C" w:rsidP="00B72C6C">
      <w:pPr>
        <w:numPr>
          <w:ilvl w:val="0"/>
          <w:numId w:val="1"/>
        </w:numPr>
        <w:spacing w:line="276" w:lineRule="auto"/>
        <w:jc w:val="left"/>
        <w:rPr>
          <w:rFonts w:asciiTheme="minorHAnsi" w:eastAsia="Times New Roman" w:hAnsiTheme="minorHAnsi" w:cstheme="minorHAnsi"/>
          <w:color w:val="auto"/>
          <w:szCs w:val="24"/>
        </w:rPr>
      </w:pPr>
      <w:r w:rsidRPr="00B72C6C">
        <w:rPr>
          <w:rFonts w:asciiTheme="minorHAnsi" w:eastAsia="Times New Roman" w:hAnsiTheme="minorHAnsi" w:cstheme="minorHAnsi"/>
          <w:b/>
          <w:bCs/>
          <w:color w:val="auto"/>
          <w:szCs w:val="24"/>
        </w:rPr>
        <w:t>Métodos (Funciones):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 Las acciones o comportamientos que la clase puede realizar (ej. </w:t>
      </w:r>
      <w:proofErr w:type="gramStart"/>
      <w:r w:rsidRPr="00B72C6C">
        <w:rPr>
          <w:rFonts w:asciiTheme="minorHAnsi" w:eastAsia="Times New Roman" w:hAnsiTheme="minorHAnsi" w:cstheme="minorHAnsi"/>
          <w:color w:val="auto"/>
          <w:sz w:val="21"/>
          <w:szCs w:val="21"/>
        </w:rPr>
        <w:t>arrancar(</w:t>
      </w:r>
      <w:proofErr w:type="gramEnd"/>
      <w:r w:rsidRPr="00B72C6C">
        <w:rPr>
          <w:rFonts w:asciiTheme="minorHAnsi" w:eastAsia="Times New Roman" w:hAnsiTheme="minorHAnsi" w:cstheme="minorHAnsi"/>
          <w:color w:val="auto"/>
          <w:sz w:val="21"/>
          <w:szCs w:val="21"/>
        </w:rPr>
        <w:t>)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, </w:t>
      </w:r>
      <w:proofErr w:type="spellStart"/>
      <w:r w:rsidRPr="00B72C6C">
        <w:rPr>
          <w:rFonts w:asciiTheme="minorHAnsi" w:eastAsia="Times New Roman" w:hAnsiTheme="minorHAnsi" w:cstheme="minorHAnsi"/>
          <w:color w:val="auto"/>
          <w:sz w:val="21"/>
          <w:szCs w:val="21"/>
        </w:rPr>
        <w:t>calcularTotal</w:t>
      </w:r>
      <w:proofErr w:type="spellEnd"/>
      <w:r w:rsidRPr="00B72C6C">
        <w:rPr>
          <w:rFonts w:asciiTheme="minorHAnsi" w:eastAsia="Times New Roman" w:hAnsiTheme="minorHAnsi" w:cstheme="minorHAnsi"/>
          <w:color w:val="auto"/>
          <w:sz w:val="21"/>
          <w:szCs w:val="21"/>
        </w:rPr>
        <w:t>()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>).</w:t>
      </w:r>
    </w:p>
    <w:p w14:paraId="70F382C8" w14:textId="77777777" w:rsidR="00B72C6C" w:rsidRPr="00B72C6C" w:rsidRDefault="00B72C6C" w:rsidP="00B72C6C">
      <w:pPr>
        <w:spacing w:line="276" w:lineRule="auto"/>
        <w:ind w:firstLine="0"/>
        <w:jc w:val="left"/>
        <w:rPr>
          <w:rFonts w:asciiTheme="minorHAnsi" w:eastAsia="Times New Roman" w:hAnsiTheme="minorHAnsi" w:cstheme="minorHAnsi"/>
          <w:b/>
          <w:bCs/>
          <w:color w:val="auto"/>
          <w:szCs w:val="24"/>
        </w:rPr>
      </w:pPr>
      <w:r w:rsidRPr="00B72C6C">
        <w:rPr>
          <w:rFonts w:asciiTheme="minorHAnsi" w:eastAsia="Times New Roman" w:hAnsiTheme="minorHAnsi" w:cstheme="minorHAnsi"/>
          <w:b/>
          <w:bCs/>
          <w:color w:val="auto"/>
          <w:szCs w:val="24"/>
        </w:rPr>
        <w:t>Niveles de Visibilidad (Modificadores de acceso)</w:t>
      </w:r>
    </w:p>
    <w:p w14:paraId="48ED2ED0" w14:textId="77777777" w:rsidR="00B72C6C" w:rsidRPr="00B72C6C" w:rsidRDefault="00B72C6C" w:rsidP="00B72C6C">
      <w:pPr>
        <w:spacing w:line="276" w:lineRule="auto"/>
        <w:ind w:firstLine="0"/>
        <w:jc w:val="left"/>
        <w:rPr>
          <w:rFonts w:asciiTheme="minorHAnsi" w:eastAsia="Times New Roman" w:hAnsiTheme="minorHAnsi" w:cstheme="minorHAnsi"/>
          <w:color w:val="auto"/>
          <w:szCs w:val="24"/>
        </w:rPr>
      </w:pPr>
      <w:r w:rsidRPr="00B72C6C">
        <w:rPr>
          <w:rFonts w:asciiTheme="minorHAnsi" w:eastAsia="Times New Roman" w:hAnsiTheme="minorHAnsi" w:cstheme="minorHAnsi"/>
          <w:color w:val="auto"/>
          <w:szCs w:val="24"/>
        </w:rPr>
        <w:t>Delante de cada atributo o método se coloca un símbolo que indica quién puede ver o modificar ese elemento:</w:t>
      </w:r>
    </w:p>
    <w:p w14:paraId="4E29BAA7" w14:textId="77777777" w:rsidR="00B72C6C" w:rsidRPr="00B72C6C" w:rsidRDefault="00B72C6C" w:rsidP="00B72C6C">
      <w:pPr>
        <w:numPr>
          <w:ilvl w:val="0"/>
          <w:numId w:val="2"/>
        </w:numPr>
        <w:spacing w:line="276" w:lineRule="auto"/>
        <w:jc w:val="left"/>
        <w:rPr>
          <w:rFonts w:asciiTheme="minorHAnsi" w:eastAsia="Times New Roman" w:hAnsiTheme="minorHAnsi" w:cstheme="minorHAnsi"/>
          <w:color w:val="auto"/>
          <w:szCs w:val="24"/>
        </w:rPr>
      </w:pPr>
      <w:r w:rsidRPr="00B72C6C">
        <w:rPr>
          <w:rFonts w:asciiTheme="minorHAnsi" w:eastAsia="Times New Roman" w:hAnsiTheme="minorHAnsi" w:cstheme="minorHAnsi"/>
          <w:color w:val="auto"/>
          <w:sz w:val="21"/>
          <w:szCs w:val="21"/>
        </w:rPr>
        <w:t>+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 </w:t>
      </w:r>
      <w:r w:rsidRPr="00B72C6C">
        <w:rPr>
          <w:rFonts w:asciiTheme="minorHAnsi" w:eastAsia="Times New Roman" w:hAnsiTheme="minorHAnsi" w:cstheme="minorHAnsi"/>
          <w:b/>
          <w:bCs/>
          <w:color w:val="auto"/>
          <w:szCs w:val="24"/>
        </w:rPr>
        <w:t>Público (</w:t>
      </w:r>
      <w:proofErr w:type="spellStart"/>
      <w:r w:rsidRPr="00B72C6C">
        <w:rPr>
          <w:rFonts w:asciiTheme="minorHAnsi" w:eastAsia="Times New Roman" w:hAnsiTheme="minorHAnsi" w:cstheme="minorHAnsi"/>
          <w:b/>
          <w:bCs/>
          <w:color w:val="auto"/>
          <w:szCs w:val="24"/>
        </w:rPr>
        <w:t>Public</w:t>
      </w:r>
      <w:proofErr w:type="spellEnd"/>
      <w:r w:rsidRPr="00B72C6C">
        <w:rPr>
          <w:rFonts w:asciiTheme="minorHAnsi" w:eastAsia="Times New Roman" w:hAnsiTheme="minorHAnsi" w:cstheme="minorHAnsi"/>
          <w:b/>
          <w:bCs/>
          <w:color w:val="auto"/>
          <w:szCs w:val="24"/>
        </w:rPr>
        <w:t>):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 Cualquier otra clase puede acceder a él.</w:t>
      </w:r>
    </w:p>
    <w:p w14:paraId="31EA7162" w14:textId="77777777" w:rsidR="00B72C6C" w:rsidRPr="00B72C6C" w:rsidRDefault="00B72C6C" w:rsidP="00B72C6C">
      <w:pPr>
        <w:numPr>
          <w:ilvl w:val="0"/>
          <w:numId w:val="2"/>
        </w:numPr>
        <w:spacing w:line="276" w:lineRule="auto"/>
        <w:jc w:val="left"/>
        <w:rPr>
          <w:rFonts w:asciiTheme="minorHAnsi" w:eastAsia="Times New Roman" w:hAnsiTheme="minorHAnsi" w:cstheme="minorHAnsi"/>
          <w:color w:val="auto"/>
          <w:szCs w:val="24"/>
        </w:rPr>
      </w:pPr>
      <w:r w:rsidRPr="00B72C6C">
        <w:rPr>
          <w:rFonts w:asciiTheme="minorHAnsi" w:eastAsia="Times New Roman" w:hAnsiTheme="minorHAnsi" w:cstheme="minorHAnsi"/>
          <w:color w:val="auto"/>
          <w:sz w:val="21"/>
          <w:szCs w:val="21"/>
        </w:rPr>
        <w:t>-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 </w:t>
      </w:r>
      <w:r w:rsidRPr="00B72C6C">
        <w:rPr>
          <w:rFonts w:asciiTheme="minorHAnsi" w:eastAsia="Times New Roman" w:hAnsiTheme="minorHAnsi" w:cstheme="minorHAnsi"/>
          <w:b/>
          <w:bCs/>
          <w:color w:val="auto"/>
          <w:szCs w:val="24"/>
        </w:rPr>
        <w:t>Privado (</w:t>
      </w:r>
      <w:proofErr w:type="spellStart"/>
      <w:r w:rsidRPr="00B72C6C">
        <w:rPr>
          <w:rFonts w:asciiTheme="minorHAnsi" w:eastAsia="Times New Roman" w:hAnsiTheme="minorHAnsi" w:cstheme="minorHAnsi"/>
          <w:b/>
          <w:bCs/>
          <w:color w:val="auto"/>
          <w:szCs w:val="24"/>
        </w:rPr>
        <w:t>Private</w:t>
      </w:r>
      <w:proofErr w:type="spellEnd"/>
      <w:r w:rsidRPr="00B72C6C">
        <w:rPr>
          <w:rFonts w:asciiTheme="minorHAnsi" w:eastAsia="Times New Roman" w:hAnsiTheme="minorHAnsi" w:cstheme="minorHAnsi"/>
          <w:b/>
          <w:bCs/>
          <w:color w:val="auto"/>
          <w:szCs w:val="24"/>
        </w:rPr>
        <w:t>):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 Solo la propia clase puede acceder a él.</w:t>
      </w:r>
    </w:p>
    <w:p w14:paraId="20503A96" w14:textId="3D9D1463" w:rsidR="00B72C6C" w:rsidRPr="00B72C6C" w:rsidRDefault="00B72C6C" w:rsidP="00B72C6C">
      <w:pPr>
        <w:numPr>
          <w:ilvl w:val="0"/>
          <w:numId w:val="2"/>
        </w:numPr>
        <w:spacing w:line="276" w:lineRule="auto"/>
        <w:jc w:val="left"/>
        <w:rPr>
          <w:rFonts w:asciiTheme="minorHAnsi" w:eastAsia="Times New Roman" w:hAnsiTheme="minorHAnsi" w:cstheme="minorHAnsi"/>
          <w:color w:val="auto"/>
          <w:szCs w:val="24"/>
        </w:rPr>
      </w:pPr>
      <w:r w:rsidRPr="00B72C6C">
        <w:rPr>
          <w:rFonts w:asciiTheme="minorHAnsi" w:eastAsia="Times New Roman" w:hAnsiTheme="minorHAnsi" w:cstheme="minorHAnsi"/>
          <w:color w:val="auto"/>
          <w:sz w:val="21"/>
          <w:szCs w:val="21"/>
        </w:rPr>
        <w:t>#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 </w:t>
      </w:r>
      <w:r w:rsidRPr="00B72C6C">
        <w:rPr>
          <w:rFonts w:asciiTheme="minorHAnsi" w:eastAsia="Times New Roman" w:hAnsiTheme="minorHAnsi" w:cstheme="minorHAnsi"/>
          <w:b/>
          <w:bCs/>
          <w:color w:val="auto"/>
          <w:szCs w:val="24"/>
        </w:rPr>
        <w:t>Protegido (</w:t>
      </w:r>
      <w:proofErr w:type="spellStart"/>
      <w:r w:rsidRPr="00B72C6C">
        <w:rPr>
          <w:rFonts w:asciiTheme="minorHAnsi" w:eastAsia="Times New Roman" w:hAnsiTheme="minorHAnsi" w:cstheme="minorHAnsi"/>
          <w:b/>
          <w:bCs/>
          <w:color w:val="auto"/>
          <w:szCs w:val="24"/>
        </w:rPr>
        <w:t>Protected</w:t>
      </w:r>
      <w:proofErr w:type="spellEnd"/>
      <w:r w:rsidRPr="00B72C6C">
        <w:rPr>
          <w:rFonts w:asciiTheme="minorHAnsi" w:eastAsia="Times New Roman" w:hAnsiTheme="minorHAnsi" w:cstheme="minorHAnsi"/>
          <w:b/>
          <w:bCs/>
          <w:color w:val="auto"/>
          <w:szCs w:val="24"/>
        </w:rPr>
        <w:t>):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 Solo la clase y sus "hijos" (herencia) pueden acceder a él.</w:t>
      </w:r>
    </w:p>
    <w:p w14:paraId="40E45519" w14:textId="77777777" w:rsidR="00B72C6C" w:rsidRPr="00B72C6C" w:rsidRDefault="00B72C6C" w:rsidP="00B72C6C">
      <w:pPr>
        <w:spacing w:before="480" w:after="480" w:line="276" w:lineRule="auto"/>
        <w:ind w:firstLine="0"/>
        <w:jc w:val="left"/>
        <w:rPr>
          <w:rFonts w:asciiTheme="minorHAnsi" w:eastAsia="Times New Roman" w:hAnsiTheme="minorHAnsi" w:cstheme="minorHAnsi"/>
          <w:b/>
          <w:bCs/>
          <w:color w:val="auto"/>
          <w:sz w:val="27"/>
          <w:szCs w:val="27"/>
        </w:rPr>
      </w:pPr>
      <w:r w:rsidRPr="00B72C6C">
        <w:rPr>
          <w:rFonts w:asciiTheme="minorHAnsi" w:eastAsia="Times New Roman" w:hAnsiTheme="minorHAnsi" w:cstheme="minorHAnsi"/>
          <w:b/>
          <w:bCs/>
          <w:color w:val="auto"/>
          <w:sz w:val="27"/>
          <w:szCs w:val="27"/>
        </w:rPr>
        <w:t>2. Las Relaciones entre Clases</w:t>
      </w:r>
    </w:p>
    <w:p w14:paraId="12A17A4C" w14:textId="77777777" w:rsidR="00B72C6C" w:rsidRPr="00B72C6C" w:rsidRDefault="00B72C6C" w:rsidP="00B72C6C">
      <w:pPr>
        <w:spacing w:before="480" w:after="480" w:line="276" w:lineRule="auto"/>
        <w:ind w:firstLine="0"/>
        <w:jc w:val="left"/>
        <w:rPr>
          <w:rFonts w:asciiTheme="minorHAnsi" w:eastAsia="Times New Roman" w:hAnsiTheme="minorHAnsi" w:cstheme="minorHAnsi"/>
          <w:color w:val="auto"/>
          <w:szCs w:val="24"/>
        </w:rPr>
      </w:pPr>
      <w:r w:rsidRPr="00B72C6C">
        <w:rPr>
          <w:rFonts w:asciiTheme="minorHAnsi" w:eastAsia="Times New Roman" w:hAnsiTheme="minorHAnsi" w:cstheme="minorHAnsi"/>
          <w:color w:val="auto"/>
          <w:szCs w:val="24"/>
        </w:rPr>
        <w:t>Las líneas y flechas que conectan las cajas de las clases definen cómo se comunican o dependen unas de otras:</w:t>
      </w:r>
    </w:p>
    <w:p w14:paraId="57DD83C2" w14:textId="77777777" w:rsidR="00B72C6C" w:rsidRPr="00B72C6C" w:rsidRDefault="00B72C6C" w:rsidP="00B72C6C">
      <w:pPr>
        <w:numPr>
          <w:ilvl w:val="0"/>
          <w:numId w:val="3"/>
        </w:numPr>
        <w:spacing w:line="276" w:lineRule="auto"/>
        <w:jc w:val="left"/>
        <w:rPr>
          <w:rFonts w:asciiTheme="minorHAnsi" w:eastAsia="Times New Roman" w:hAnsiTheme="minorHAnsi" w:cstheme="minorHAnsi"/>
          <w:color w:val="auto"/>
          <w:szCs w:val="24"/>
        </w:rPr>
      </w:pPr>
      <w:r w:rsidRPr="00B72C6C">
        <w:rPr>
          <w:rFonts w:asciiTheme="minorHAnsi" w:eastAsia="Times New Roman" w:hAnsiTheme="minorHAnsi" w:cstheme="minorHAnsi"/>
          <w:b/>
          <w:bCs/>
          <w:color w:val="auto"/>
          <w:szCs w:val="24"/>
        </w:rPr>
        <w:t>Herencia / Generalización (Línea con flecha blanca triangular):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 Indica que una clase hija hereda los atributos y métodos de una clase padre (ej. una clase </w:t>
      </w:r>
      <w:r w:rsidRPr="00B72C6C">
        <w:rPr>
          <w:rFonts w:asciiTheme="minorHAnsi" w:eastAsia="Times New Roman" w:hAnsiTheme="minorHAnsi" w:cstheme="minorHAnsi"/>
          <w:color w:val="auto"/>
          <w:sz w:val="21"/>
          <w:szCs w:val="21"/>
        </w:rPr>
        <w:t>Auto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 hereda de una clase base </w:t>
      </w:r>
      <w:proofErr w:type="spellStart"/>
      <w:r w:rsidRPr="00B72C6C">
        <w:rPr>
          <w:rFonts w:asciiTheme="minorHAnsi" w:eastAsia="Times New Roman" w:hAnsiTheme="minorHAnsi" w:cstheme="minorHAnsi"/>
          <w:color w:val="auto"/>
          <w:sz w:val="21"/>
          <w:szCs w:val="21"/>
        </w:rPr>
        <w:t>Vehiculo</w:t>
      </w:r>
      <w:proofErr w:type="spellEnd"/>
      <w:r w:rsidRPr="00B72C6C">
        <w:rPr>
          <w:rFonts w:asciiTheme="minorHAnsi" w:eastAsia="Times New Roman" w:hAnsiTheme="minorHAnsi" w:cstheme="minorHAnsi"/>
          <w:color w:val="auto"/>
          <w:szCs w:val="24"/>
        </w:rPr>
        <w:t>).</w:t>
      </w:r>
    </w:p>
    <w:p w14:paraId="6814949F" w14:textId="77777777" w:rsidR="00B72C6C" w:rsidRPr="00B72C6C" w:rsidRDefault="00B72C6C" w:rsidP="00B72C6C">
      <w:pPr>
        <w:numPr>
          <w:ilvl w:val="0"/>
          <w:numId w:val="3"/>
        </w:numPr>
        <w:spacing w:line="276" w:lineRule="auto"/>
        <w:jc w:val="left"/>
        <w:rPr>
          <w:rFonts w:asciiTheme="minorHAnsi" w:eastAsia="Times New Roman" w:hAnsiTheme="minorHAnsi" w:cstheme="minorHAnsi"/>
          <w:color w:val="auto"/>
          <w:szCs w:val="24"/>
        </w:rPr>
      </w:pPr>
      <w:r w:rsidRPr="00B72C6C">
        <w:rPr>
          <w:rFonts w:asciiTheme="minorHAnsi" w:eastAsia="Times New Roman" w:hAnsiTheme="minorHAnsi" w:cstheme="minorHAnsi"/>
          <w:b/>
          <w:bCs/>
          <w:color w:val="auto"/>
          <w:szCs w:val="24"/>
        </w:rPr>
        <w:t>Asociación (Línea simple):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 Es una relación básica entre dos clases independientes (ej. un </w:t>
      </w:r>
      <w:r w:rsidRPr="00B72C6C">
        <w:rPr>
          <w:rFonts w:asciiTheme="minorHAnsi" w:eastAsia="Times New Roman" w:hAnsiTheme="minorHAnsi" w:cstheme="minorHAnsi"/>
          <w:color w:val="auto"/>
          <w:sz w:val="21"/>
          <w:szCs w:val="21"/>
        </w:rPr>
        <w:t>Cliente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 compra un </w:t>
      </w:r>
      <w:r w:rsidRPr="00B72C6C">
        <w:rPr>
          <w:rFonts w:asciiTheme="minorHAnsi" w:eastAsia="Times New Roman" w:hAnsiTheme="minorHAnsi" w:cstheme="minorHAnsi"/>
          <w:color w:val="auto"/>
          <w:sz w:val="21"/>
          <w:szCs w:val="21"/>
        </w:rPr>
        <w:t>Producto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). Suele incluir números o símbolos de </w:t>
      </w:r>
      <w:r w:rsidRPr="00B72C6C">
        <w:rPr>
          <w:rFonts w:asciiTheme="minorHAnsi" w:eastAsia="Times New Roman" w:hAnsiTheme="minorHAnsi" w:cstheme="minorHAnsi"/>
          <w:b/>
          <w:bCs/>
          <w:color w:val="auto"/>
          <w:szCs w:val="24"/>
        </w:rPr>
        <w:t>multiplicidad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 (ej. </w:t>
      </w:r>
      <w:r w:rsidRPr="00B72C6C">
        <w:rPr>
          <w:rFonts w:asciiTheme="minorHAnsi" w:eastAsia="Times New Roman" w:hAnsiTheme="minorHAnsi" w:cstheme="minorHAnsi"/>
          <w:color w:val="auto"/>
          <w:sz w:val="21"/>
          <w:szCs w:val="21"/>
        </w:rPr>
        <w:t>1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 a </w:t>
      </w:r>
      <w:r w:rsidRPr="00B72C6C">
        <w:rPr>
          <w:rFonts w:asciiTheme="minorHAnsi" w:eastAsia="Times New Roman" w:hAnsiTheme="minorHAnsi" w:cstheme="minorHAnsi"/>
          <w:color w:val="auto"/>
          <w:sz w:val="21"/>
          <w:szCs w:val="21"/>
        </w:rPr>
        <w:t>*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 que significa "uno a muchos").</w:t>
      </w:r>
    </w:p>
    <w:p w14:paraId="78968E38" w14:textId="77777777" w:rsidR="00B72C6C" w:rsidRPr="00B72C6C" w:rsidRDefault="00B72C6C" w:rsidP="00B72C6C">
      <w:pPr>
        <w:numPr>
          <w:ilvl w:val="0"/>
          <w:numId w:val="3"/>
        </w:numPr>
        <w:spacing w:line="276" w:lineRule="auto"/>
        <w:jc w:val="left"/>
        <w:rPr>
          <w:rFonts w:asciiTheme="minorHAnsi" w:eastAsia="Times New Roman" w:hAnsiTheme="minorHAnsi" w:cstheme="minorHAnsi"/>
          <w:color w:val="auto"/>
          <w:szCs w:val="24"/>
        </w:rPr>
      </w:pPr>
      <w:r w:rsidRPr="00B72C6C">
        <w:rPr>
          <w:rFonts w:asciiTheme="minorHAnsi" w:eastAsia="Times New Roman" w:hAnsiTheme="minorHAnsi" w:cstheme="minorHAnsi"/>
          <w:b/>
          <w:bCs/>
          <w:color w:val="auto"/>
          <w:szCs w:val="24"/>
        </w:rPr>
        <w:t>Agregación (Línea con un rombo vacío/blanco):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 Una relación de "todo a parte" donde las partes pueden seguir existiendo de forma independiente (ej. una </w:t>
      </w:r>
      <w:r w:rsidRPr="00B72C6C">
        <w:rPr>
          <w:rFonts w:asciiTheme="minorHAnsi" w:eastAsia="Times New Roman" w:hAnsiTheme="minorHAnsi" w:cstheme="minorHAnsi"/>
          <w:color w:val="auto"/>
          <w:sz w:val="21"/>
          <w:szCs w:val="21"/>
        </w:rPr>
        <w:t>Universidad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 tiene </w:t>
      </w:r>
      <w:r w:rsidRPr="00B72C6C">
        <w:rPr>
          <w:rFonts w:asciiTheme="minorHAnsi" w:eastAsia="Times New Roman" w:hAnsiTheme="minorHAnsi" w:cstheme="minorHAnsi"/>
          <w:color w:val="auto"/>
          <w:sz w:val="21"/>
          <w:szCs w:val="21"/>
        </w:rPr>
        <w:t>Profesores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>; si la universidad cierra, los profesores siguen existiendo).</w:t>
      </w:r>
    </w:p>
    <w:p w14:paraId="66CA7305" w14:textId="6D399C39" w:rsidR="00B72C6C" w:rsidRDefault="00B72C6C" w:rsidP="00B72C6C">
      <w:pPr>
        <w:numPr>
          <w:ilvl w:val="0"/>
          <w:numId w:val="3"/>
        </w:numPr>
        <w:spacing w:line="276" w:lineRule="auto"/>
        <w:jc w:val="left"/>
        <w:rPr>
          <w:rFonts w:asciiTheme="minorHAnsi" w:eastAsia="Times New Roman" w:hAnsiTheme="minorHAnsi" w:cstheme="minorHAnsi"/>
          <w:color w:val="auto"/>
          <w:szCs w:val="24"/>
        </w:rPr>
      </w:pPr>
      <w:r w:rsidRPr="00B72C6C">
        <w:rPr>
          <w:rFonts w:asciiTheme="minorHAnsi" w:eastAsia="Times New Roman" w:hAnsiTheme="minorHAnsi" w:cstheme="minorHAnsi"/>
          <w:b/>
          <w:bCs/>
          <w:color w:val="auto"/>
          <w:szCs w:val="24"/>
        </w:rPr>
        <w:t>Composición (Línea con un rombo relleno/negro):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 Una relación de "todo a parte" estricta donde las partes no pueden existir sin el todo (ej. un </w:t>
      </w:r>
      <w:r w:rsidRPr="00B72C6C">
        <w:rPr>
          <w:rFonts w:asciiTheme="minorHAnsi" w:eastAsia="Times New Roman" w:hAnsiTheme="minorHAnsi" w:cstheme="minorHAnsi"/>
          <w:color w:val="auto"/>
          <w:sz w:val="21"/>
          <w:szCs w:val="21"/>
        </w:rPr>
        <w:t>Libro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 xml:space="preserve"> tiene </w:t>
      </w:r>
      <w:r w:rsidRPr="00B72C6C">
        <w:rPr>
          <w:rFonts w:asciiTheme="minorHAnsi" w:eastAsia="Times New Roman" w:hAnsiTheme="minorHAnsi" w:cstheme="minorHAnsi"/>
          <w:color w:val="auto"/>
          <w:sz w:val="21"/>
          <w:szCs w:val="21"/>
        </w:rPr>
        <w:t>Capítulos</w:t>
      </w:r>
      <w:r w:rsidRPr="00B72C6C">
        <w:rPr>
          <w:rFonts w:asciiTheme="minorHAnsi" w:eastAsia="Times New Roman" w:hAnsiTheme="minorHAnsi" w:cstheme="minorHAnsi"/>
          <w:color w:val="auto"/>
          <w:szCs w:val="24"/>
        </w:rPr>
        <w:t>; si el libro se destruye, los capítulos también).</w:t>
      </w:r>
    </w:p>
    <w:p w14:paraId="562B1D0F" w14:textId="4F06A715" w:rsidR="00B72C6C" w:rsidRDefault="00B72C6C" w:rsidP="00B72C6C">
      <w:pPr>
        <w:spacing w:line="276" w:lineRule="auto"/>
        <w:jc w:val="left"/>
        <w:rPr>
          <w:rFonts w:asciiTheme="minorHAnsi" w:eastAsia="Times New Roman" w:hAnsiTheme="minorHAnsi" w:cstheme="minorHAnsi"/>
          <w:color w:val="auto"/>
          <w:szCs w:val="24"/>
        </w:rPr>
      </w:pPr>
    </w:p>
    <w:p w14:paraId="4D44BA47" w14:textId="60AB13FA" w:rsidR="00B72C6C" w:rsidRDefault="00B72C6C" w:rsidP="00B72C6C">
      <w:pPr>
        <w:spacing w:line="276" w:lineRule="auto"/>
        <w:jc w:val="left"/>
        <w:rPr>
          <w:rFonts w:asciiTheme="minorHAnsi" w:eastAsia="Times New Roman" w:hAnsiTheme="minorHAnsi" w:cstheme="minorHAnsi"/>
          <w:color w:val="auto"/>
          <w:szCs w:val="24"/>
        </w:rPr>
      </w:pPr>
    </w:p>
    <w:p w14:paraId="1E2A4406" w14:textId="56806ABA" w:rsidR="00B72C6C" w:rsidRDefault="00B72C6C" w:rsidP="00B72C6C">
      <w:pPr>
        <w:spacing w:line="276" w:lineRule="auto"/>
        <w:jc w:val="left"/>
        <w:rPr>
          <w:rFonts w:asciiTheme="minorHAnsi" w:eastAsia="Times New Roman" w:hAnsiTheme="minorHAnsi" w:cstheme="minorHAnsi"/>
          <w:color w:val="auto"/>
          <w:szCs w:val="24"/>
        </w:rPr>
      </w:pPr>
    </w:p>
    <w:p w14:paraId="178B4587" w14:textId="54F70B5B" w:rsidR="00B72C6C" w:rsidRDefault="00B72C6C" w:rsidP="00B72C6C">
      <w:pPr>
        <w:spacing w:line="276" w:lineRule="auto"/>
        <w:jc w:val="left"/>
        <w:rPr>
          <w:rFonts w:asciiTheme="minorHAnsi" w:eastAsia="Times New Roman" w:hAnsiTheme="minorHAnsi" w:cstheme="minorHAnsi"/>
          <w:color w:val="auto"/>
          <w:szCs w:val="24"/>
        </w:rPr>
      </w:pPr>
    </w:p>
    <w:p w14:paraId="247B8E8F" w14:textId="3318B807" w:rsidR="00B72C6C" w:rsidRDefault="00B72C6C" w:rsidP="00B72C6C">
      <w:pPr>
        <w:spacing w:line="276" w:lineRule="auto"/>
        <w:jc w:val="left"/>
        <w:rPr>
          <w:rFonts w:asciiTheme="minorHAnsi" w:eastAsia="Times New Roman" w:hAnsiTheme="minorHAnsi" w:cstheme="minorHAnsi"/>
          <w:color w:val="auto"/>
          <w:szCs w:val="24"/>
        </w:rPr>
      </w:pPr>
    </w:p>
    <w:p w14:paraId="5658A13C" w14:textId="77777777" w:rsidR="00B72C6C" w:rsidRPr="00B72C6C" w:rsidRDefault="00B72C6C" w:rsidP="00B72C6C">
      <w:pPr>
        <w:spacing w:line="276" w:lineRule="auto"/>
        <w:jc w:val="left"/>
        <w:rPr>
          <w:rFonts w:asciiTheme="minorHAnsi" w:eastAsia="Times New Roman" w:hAnsiTheme="minorHAnsi" w:cstheme="minorHAnsi"/>
          <w:color w:val="auto"/>
          <w:szCs w:val="24"/>
        </w:rPr>
      </w:pPr>
    </w:p>
    <w:p w14:paraId="3AFD13F6" w14:textId="77777777" w:rsidR="00D82A6F" w:rsidRDefault="00D82A6F"/>
    <w:sectPr w:rsidR="00D82A6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1D582A"/>
    <w:multiLevelType w:val="multilevel"/>
    <w:tmpl w:val="30104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1064B6C"/>
    <w:multiLevelType w:val="multilevel"/>
    <w:tmpl w:val="447E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A8F0E77"/>
    <w:multiLevelType w:val="multilevel"/>
    <w:tmpl w:val="359C1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C6C"/>
    <w:rsid w:val="00006ABE"/>
    <w:rsid w:val="002411BA"/>
    <w:rsid w:val="00256902"/>
    <w:rsid w:val="002C5E3D"/>
    <w:rsid w:val="00384D0D"/>
    <w:rsid w:val="00471D6B"/>
    <w:rsid w:val="00493488"/>
    <w:rsid w:val="004D778C"/>
    <w:rsid w:val="00891F17"/>
    <w:rsid w:val="00B72C6C"/>
    <w:rsid w:val="00CF5E06"/>
    <w:rsid w:val="00D82A6F"/>
    <w:rsid w:val="00EA6445"/>
    <w:rsid w:val="00FB5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AACFBA"/>
  <w15:chartTrackingRefBased/>
  <w15:docId w15:val="{0746655E-B789-4B4A-A88D-F10D83980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Apa7"/>
    <w:qFormat/>
    <w:rsid w:val="00006ABE"/>
    <w:pPr>
      <w:spacing w:after="0" w:line="360" w:lineRule="auto"/>
      <w:ind w:firstLine="709"/>
      <w:jc w:val="both"/>
    </w:pPr>
    <w:rPr>
      <w:rFonts w:ascii="Times New Roman" w:hAnsi="Times New Roman" w:cs="Arial"/>
      <w:color w:val="000000" w:themeColor="text1"/>
      <w:sz w:val="24"/>
      <w:szCs w:val="20"/>
      <w:lang w:eastAsia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FB5185"/>
    <w:pPr>
      <w:keepNext/>
      <w:keepLines/>
      <w:spacing w:before="240"/>
      <w:jc w:val="center"/>
      <w:outlineLvl w:val="0"/>
    </w:pPr>
    <w:rPr>
      <w:rFonts w:eastAsiaTheme="majorEastAsia" w:cstheme="majorBidi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93488"/>
    <w:pPr>
      <w:keepNext/>
      <w:keepLines/>
      <w:spacing w:before="40"/>
      <w:outlineLvl w:val="1"/>
    </w:pPr>
    <w:rPr>
      <w:rFonts w:eastAsiaTheme="majorEastAsia" w:cstheme="majorBidi"/>
      <w:szCs w:val="26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PA7">
    <w:name w:val="APA7"/>
    <w:basedOn w:val="Normal"/>
    <w:link w:val="APA7Car"/>
    <w:qFormat/>
    <w:rsid w:val="00471D6B"/>
    <w:pPr>
      <w:spacing w:line="480" w:lineRule="auto"/>
      <w:ind w:firstLine="720"/>
    </w:pPr>
    <w:rPr>
      <w:rFonts w:eastAsia="Times New Roman" w:cs="Times New Roman"/>
      <w:szCs w:val="22"/>
      <w:lang w:eastAsia="en-US"/>
    </w:rPr>
  </w:style>
  <w:style w:type="character" w:customStyle="1" w:styleId="APA7Car">
    <w:name w:val="APA7 Car"/>
    <w:basedOn w:val="Fuentedeprrafopredeter"/>
    <w:link w:val="APA7"/>
    <w:rsid w:val="00471D6B"/>
    <w:rPr>
      <w:rFonts w:ascii="Times New Roman" w:eastAsia="Times New Roman" w:hAnsi="Times New Roman" w:cs="Times New Roman"/>
      <w:color w:val="000000" w:themeColor="text1"/>
      <w:sz w:val="24"/>
    </w:rPr>
  </w:style>
  <w:style w:type="character" w:customStyle="1" w:styleId="Ttulo1Car">
    <w:name w:val="Título 1 Car"/>
    <w:basedOn w:val="Fuentedeprrafopredeter"/>
    <w:link w:val="Ttulo1"/>
    <w:uiPriority w:val="9"/>
    <w:rsid w:val="00FB5185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493488"/>
    <w:rPr>
      <w:rFonts w:ascii="Times New Roman" w:eastAsiaTheme="majorEastAsia" w:hAnsi="Times New Roman" w:cstheme="majorBidi"/>
      <w:color w:val="000000" w:themeColor="text1"/>
      <w:sz w:val="24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20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03061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8385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5992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1694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17595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43066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185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27262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4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908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F0F2F5"/>
                    <w:right w:val="none" w:sz="0" w:space="0" w:color="auto"/>
                  </w:divBdr>
                  <w:divsChild>
                    <w:div w:id="1632054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552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003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282</Words>
  <Characters>1556</Characters>
  <Application>Microsoft Office Word</Application>
  <DocSecurity>0</DocSecurity>
  <Lines>12</Lines>
  <Paragraphs>3</Paragraphs>
  <ScaleCrop>false</ScaleCrop>
  <Company/>
  <LinksUpToDate>false</LinksUpToDate>
  <CharactersWithSpaces>1835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Jeniffer Cedeño</dc:creator>
  <cp:keywords/>
  <dc:description/>
  <cp:lastModifiedBy>Jeniffer Cedeño</cp:lastModifiedBy>
  <cp:revision>2</cp:revision>
  <dcterms:created xsi:type="dcterms:W3CDTF">2026-10-18T00:48:00Z</dcterms:created>
  <dcterms:modified xsi:type="dcterms:W3CDTF">2026-10-18T23:17:00Z</dcterms:modified>
</cp:coreProperties>
</file>