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and reports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the school has - another Admin included - with first and last name, email, department, position and data-access scope. Export the list, or import one from a spreadsheet; an import creates Registrar, Faculty, Staff and Guidance accounts, and leadership accounts are made one at a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whole grade for that subject: every component, the pieces of work inside it with this student's mark on each, the raw total, the percentage, the weight and what it contributed - then the working, the initial grade, and whether it is a final grade or INC. Components with nothing in them are listed too, with the weight still to come, because that is what decides which of the two it is.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and shown by name to the staff card and to the parent.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naming the member of staff who picked each one up and the one who closed it.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 - all of it, however far behind the account has fallen.</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log with who did it and when, and it is recorded automatically rather than because a screen remembered to log it. There is no browsing screen over it: the question it answers - who changed this grade, and when - is asked of the school months later by a parent, and answered from the record, not by scrolling. The record is produced on request.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Written automatically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 Produced on request; there is no browsing screen over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2026-09-13T07:13:21.018Z</dcterms:created>
  <dcterms:modified xsi:type="dcterms:W3CDTF">2026-09-13T07:13:21.018Z</dcterms:modified>
</cp:coreProperties>
</file>

<file path=docProps/custom.xml><?xml version="1.0" encoding="utf-8"?>
<Properties xmlns="http://schemas.openxmlformats.org/officeDocument/2006/custom-properties" xmlns:vt="http://schemas.openxmlformats.org/officeDocument/2006/docPropsVTypes"/>
</file>