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56259" w14:textId="4727154B" w:rsidR="007F47E0" w:rsidRDefault="007F47E0" w:rsidP="007F47E0">
      <w:pPr>
        <w:pStyle w:val="Title"/>
      </w:pPr>
      <w:r>
        <w:t xml:space="preserve">Reply Report of Plaintiff’s Expert </w:t>
      </w:r>
      <w:r w:rsidRPr="007F47E0">
        <w:t>Regarding Tennessee State House Reapportionment</w:t>
      </w:r>
    </w:p>
    <w:p w14:paraId="4166E272" w14:textId="230A0BA7" w:rsidR="007F47E0" w:rsidRDefault="007F47E0" w:rsidP="007F47E0"/>
    <w:p w14:paraId="536DD025" w14:textId="3306860E" w:rsidR="007F47E0" w:rsidRDefault="007F47E0" w:rsidP="007F47E0">
      <w:r>
        <w:t>Jonathan Cervas</w:t>
      </w:r>
      <w:r>
        <w:br/>
        <w:t>December 2, 2022 (DRAFT)</w:t>
      </w:r>
    </w:p>
    <w:p w14:paraId="1C51A041" w14:textId="027D96F0" w:rsidR="007F47E0" w:rsidRDefault="007F47E0" w:rsidP="007F47E0"/>
    <w:p w14:paraId="271426F1" w14:textId="4B26B668" w:rsidR="007F47E0" w:rsidRDefault="007F47E0" w:rsidP="007F47E0"/>
    <w:p w14:paraId="621180CE" w14:textId="2D72B64E" w:rsidR="007F47E0" w:rsidRDefault="007F47E0" w:rsidP="007F47E0">
      <w:r w:rsidRPr="007F47E0">
        <w:t xml:space="preserve">I have prepared this </w:t>
      </w:r>
      <w:r>
        <w:t xml:space="preserve">reply </w:t>
      </w:r>
      <w:r w:rsidRPr="007F47E0">
        <w:t>report at the request of Plaintiffs’ Counsel regarding the Tennessee state House reapportionment plan enacted by the Tennessee General Assembly in February 2022.</w:t>
      </w:r>
      <w:r w:rsidR="004940D1">
        <w:rPr>
          <w:rStyle w:val="FootnoteReference"/>
        </w:rPr>
        <w:footnoteReference w:id="1"/>
      </w:r>
      <w:r w:rsidRPr="007F47E0">
        <w:t xml:space="preserve"> </w:t>
      </w:r>
      <w:r>
        <w:t>I have been asked to respond to the expert reports of Sean P. Trende (</w:t>
      </w:r>
      <w:proofErr w:type="spellStart"/>
      <w:proofErr w:type="gramStart"/>
      <w:r>
        <w:t>Ex.Trende</w:t>
      </w:r>
      <w:proofErr w:type="spellEnd"/>
      <w:proofErr w:type="gramEnd"/>
      <w:r>
        <w:t>) and Douglas Himes (</w:t>
      </w:r>
      <w:proofErr w:type="spellStart"/>
      <w:r>
        <w:t>Ex.Himes</w:t>
      </w:r>
      <w:proofErr w:type="spellEnd"/>
      <w:r>
        <w:t>).</w:t>
      </w:r>
    </w:p>
    <w:p w14:paraId="3A388F03" w14:textId="26D3275B" w:rsidR="007F47E0" w:rsidRDefault="007F47E0" w:rsidP="007F47E0"/>
    <w:p w14:paraId="6681D8A1" w14:textId="07CAAA6A" w:rsidR="00E64F8A" w:rsidRDefault="007F47E0" w:rsidP="007F47E0">
      <w:r>
        <w:t>On October 10, 2022, I prepared a report</w:t>
      </w:r>
      <w:r w:rsidR="00EB6C5B">
        <w:t xml:space="preserve"> (Cervas Report)</w:t>
      </w:r>
      <w:r>
        <w:t xml:space="preserve"> for th</w:t>
      </w:r>
      <w:r w:rsidR="00EB6C5B">
        <w:t>is</w:t>
      </w:r>
      <w:r>
        <w:t xml:space="preserve"> Court regarding the Tennessee state House reapportionment plan. In that report, I demonstrated that the plan enacted by the Tennessee Legislature had far more county splits</w:t>
      </w:r>
      <w:r>
        <w:rPr>
          <w:rStyle w:val="FootnoteReference"/>
        </w:rPr>
        <w:footnoteReference w:id="2"/>
      </w:r>
      <w:r>
        <w:t xml:space="preserve"> than what was necessary to achieve the goals of reapportioning the state </w:t>
      </w:r>
      <w:r w:rsidRPr="007F47E0">
        <w:t>while complying with federal and state constitutional and statutory law</w:t>
      </w:r>
      <w:r>
        <w:t xml:space="preserve">. I prepared five illustrative plans </w:t>
      </w:r>
      <w:r w:rsidR="00EB6C5B">
        <w:t>to demonstrate this point</w:t>
      </w:r>
      <w:r>
        <w:t xml:space="preserve">. Together, these plans </w:t>
      </w:r>
      <w:r w:rsidR="00EB6C5B">
        <w:t>presented</w:t>
      </w:r>
      <w:r w:rsidR="00E64F8A">
        <w:t xml:space="preserve"> the tradeoffs</w:t>
      </w:r>
      <w:r w:rsidR="00EB6C5B">
        <w:t xml:space="preserve"> involved with prioritizing aspects of redistricting and show that none of these</w:t>
      </w:r>
      <w:r w:rsidR="00E64F8A">
        <w:t xml:space="preserve"> explain the excessive county splits found in the enacted plan. In each of my five plans, I was able to achieve far fewer county splits consistent with the Tennessee Constitution.</w:t>
      </w:r>
      <w:r w:rsidR="00EB6C5B">
        <w:t xml:space="preserve"> I was able to achieve this reduction in county splits while </w:t>
      </w:r>
      <w:r w:rsidR="00EB6C5B">
        <w:rPr>
          <w:i/>
          <w:iCs/>
        </w:rPr>
        <w:t>improving</w:t>
      </w:r>
      <w:r w:rsidR="00EB6C5B">
        <w:t xml:space="preserve"> on other criteria found in the Tennessee Constitution.</w:t>
      </w:r>
      <w:r w:rsidR="00E64F8A">
        <w:t xml:space="preserve"> In the following paragraphs, I will address the comments of Mr. Trende and Mr. Himes.</w:t>
      </w:r>
    </w:p>
    <w:p w14:paraId="0B6EB756" w14:textId="176E8250" w:rsidR="000F27CA" w:rsidRDefault="000F27CA" w:rsidP="000F27CA">
      <w:pPr>
        <w:pStyle w:val="Heading1"/>
      </w:pPr>
      <w:r>
        <w:t>Report of Mr. Trende:</w:t>
      </w:r>
    </w:p>
    <w:p w14:paraId="65478499" w14:textId="77777777" w:rsidR="000F27CA" w:rsidRDefault="000F27CA" w:rsidP="007F47E0"/>
    <w:p w14:paraId="25621DF0" w14:textId="2D27AD17" w:rsidR="00D154F8" w:rsidRDefault="00E64F8A" w:rsidP="007F47E0">
      <w:r>
        <w:t>I am pleased that Mr. Trende agrees that Map 13b “</w:t>
      </w:r>
      <w:r w:rsidRPr="00E64F8A">
        <w:t>would pass muster under Tennessee Supreme Court precedent</w:t>
      </w:r>
      <w:r>
        <w:t xml:space="preserve">” (comparing to Map 13a, see </w:t>
      </w:r>
      <w:proofErr w:type="spellStart"/>
      <w:proofErr w:type="gramStart"/>
      <w:r>
        <w:t>Ex.Trende</w:t>
      </w:r>
      <w:proofErr w:type="spellEnd"/>
      <w:proofErr w:type="gramEnd"/>
      <w:r>
        <w:t xml:space="preserve"> at 12). Likewise, he indicates that in Map 14a, “</w:t>
      </w:r>
      <w:r w:rsidRPr="00E64F8A">
        <w:t>district 80 is maintained as a 50%+1 Black district where the Democrat would likely win</w:t>
      </w:r>
      <w:r>
        <w:t>”</w:t>
      </w:r>
      <w:r w:rsidR="00D154F8">
        <w:t xml:space="preserve"> (</w:t>
      </w:r>
      <w:r w:rsidR="00D154F8">
        <w:rPr>
          <w:i/>
          <w:iCs/>
        </w:rPr>
        <w:t>Id.</w:t>
      </w:r>
      <w:r w:rsidR="00D154F8">
        <w:t xml:space="preserve"> at 13)</w:t>
      </w:r>
      <w:r>
        <w:t>, and therefore valid under the Voting Rights Act</w:t>
      </w:r>
      <w:r w:rsidR="00D154F8">
        <w:t>. Mr. Trende reports no other potential issues regarding the VRA.</w:t>
      </w:r>
      <w:r w:rsidR="00EB6C5B">
        <w:rPr>
          <w:rStyle w:val="FootnoteReference"/>
        </w:rPr>
        <w:footnoteReference w:id="3"/>
      </w:r>
    </w:p>
    <w:p w14:paraId="2364BCB4" w14:textId="77777777" w:rsidR="00D154F8" w:rsidRDefault="00D154F8" w:rsidP="007F47E0"/>
    <w:p w14:paraId="65397763" w14:textId="6BBF6D8C" w:rsidR="00E64F8A" w:rsidRPr="00EB6C5B" w:rsidRDefault="00D154F8" w:rsidP="007F47E0">
      <w:r>
        <w:t>Mr. Trende next considers whether I have properly accounted for “</w:t>
      </w:r>
      <w:r w:rsidRPr="00D154F8">
        <w:t>legitimate districting considerations</w:t>
      </w:r>
      <w:r>
        <w:t>” (</w:t>
      </w:r>
      <w:r>
        <w:rPr>
          <w:i/>
          <w:iCs/>
        </w:rPr>
        <w:t>Id.</w:t>
      </w:r>
      <w:r>
        <w:t xml:space="preserve"> at 18).</w:t>
      </w:r>
      <w:r w:rsidR="005D0475">
        <w:t xml:space="preserve"> He acknowledges that my illustrative plans are compact (comparing to the enacted plan: “</w:t>
      </w:r>
      <w:r w:rsidR="005D0475" w:rsidRPr="005D0475">
        <w:t xml:space="preserve">There’s little dispute that it is sufficiently compact, using Dr. </w:t>
      </w:r>
      <w:proofErr w:type="spellStart"/>
      <w:r w:rsidR="005D0475" w:rsidRPr="005D0475">
        <w:t>Cervas’s</w:t>
      </w:r>
      <w:proofErr w:type="spellEnd"/>
      <w:r w:rsidR="005D0475" w:rsidRPr="005D0475">
        <w:t xml:space="preserve"> </w:t>
      </w:r>
      <w:r w:rsidR="005D0475" w:rsidRPr="005D0475">
        <w:lastRenderedPageBreak/>
        <w:t>maps as comparators.</w:t>
      </w:r>
      <w:r w:rsidR="005D0475">
        <w:t xml:space="preserve">” </w:t>
      </w:r>
      <w:r w:rsidR="005D0475">
        <w:rPr>
          <w:i/>
          <w:iCs/>
        </w:rPr>
        <w:t>Id.</w:t>
      </w:r>
      <w:r w:rsidR="005D0475">
        <w:t xml:space="preserve"> at 19).</w:t>
      </w:r>
      <w:r w:rsidR="00EB6C5B">
        <w:t xml:space="preserve"> I would highlight for the Court that all my plans are </w:t>
      </w:r>
      <w:r w:rsidR="00EB6C5B">
        <w:rPr>
          <w:u w:val="single"/>
        </w:rPr>
        <w:t>more</w:t>
      </w:r>
      <w:r w:rsidR="00EB6C5B">
        <w:t xml:space="preserve"> compact than the enacted plan. The only other considerations Mr. Trende suggests that I fail to consider at core retention and incumbency advantage. Counsel had not asked me to prepare maps with those considerations in mind. I have since been provided information on where incumbents reside, though my mapping program does not allow for that analysis.</w:t>
      </w:r>
    </w:p>
    <w:p w14:paraId="4514ED56" w14:textId="65B7AB6E" w:rsidR="005D0475" w:rsidRDefault="005D0475" w:rsidP="007F47E0"/>
    <w:p w14:paraId="1E14CD2D" w14:textId="1CF3EA9E" w:rsidR="005D0475" w:rsidRDefault="005D0475" w:rsidP="007F47E0">
      <w:r>
        <w:t>Wh</w:t>
      </w:r>
      <w:r w:rsidR="00A16405">
        <w:t xml:space="preserve">en I’m tasked with creating plans for federal and state court, I first comply with </w:t>
      </w:r>
      <w:r w:rsidR="00A16405">
        <w:t xml:space="preserve">the criteria enumerated in </w:t>
      </w:r>
      <w:r w:rsidR="00A16405" w:rsidRPr="007F47E0">
        <w:t>federal and state constitutional and statutory law</w:t>
      </w:r>
      <w:r w:rsidR="00A16405">
        <w:t>. Only after that can</w:t>
      </w:r>
      <w:r>
        <w:t xml:space="preserve"> subordinate criteria (like core retention) </w:t>
      </w:r>
      <w:r w:rsidR="00A16405">
        <w:t>be considered</w:t>
      </w:r>
      <w:r w:rsidR="00635FB3">
        <w:t xml:space="preserve"> (see Mr. Trende </w:t>
      </w:r>
      <w:r w:rsidR="00635FB3">
        <w:t>“</w:t>
      </w:r>
      <w:r w:rsidR="00635FB3" w:rsidRPr="00635FB3">
        <w:t>It subordinates most other redistricting considerations in the service of redistricting county splits.</w:t>
      </w:r>
      <w:r w:rsidR="00635FB3">
        <w:t>”</w:t>
      </w:r>
      <w:r w:rsidR="00635FB3">
        <w:t>)</w:t>
      </w:r>
      <w:r>
        <w:t>. My illustrative plans are consistent</w:t>
      </w:r>
      <w:r w:rsidR="00635FB3">
        <w:t>ly elevating constitutional criteria before considering secondary considerations.</w:t>
      </w:r>
    </w:p>
    <w:p w14:paraId="7D5EA427" w14:textId="77777777" w:rsidR="00C44520" w:rsidRDefault="00C44520" w:rsidP="007F47E0"/>
    <w:p w14:paraId="1E222957" w14:textId="405EAF25" w:rsidR="000F27CA" w:rsidRDefault="005D0475" w:rsidP="007F47E0">
      <w:r>
        <w:t>Mr. Trende contends that “</w:t>
      </w:r>
      <w:r w:rsidRPr="005D0475">
        <w:t>The remainder of the maps fail to contain a single district wholly within Madison County.</w:t>
      </w:r>
      <w:r>
        <w:t>” (</w:t>
      </w:r>
      <w:r>
        <w:rPr>
          <w:i/>
          <w:iCs/>
        </w:rPr>
        <w:t>Id.</w:t>
      </w:r>
      <w:r>
        <w:t xml:space="preserve"> at 20</w:t>
      </w:r>
      <w:r w:rsidR="006540B0">
        <w:t xml:space="preserve">; see also </w:t>
      </w:r>
      <w:proofErr w:type="spellStart"/>
      <w:proofErr w:type="gramStart"/>
      <w:r w:rsidR="006540B0">
        <w:t>Ex.Himes</w:t>
      </w:r>
      <w:proofErr w:type="spellEnd"/>
      <w:proofErr w:type="gramEnd"/>
      <w:r w:rsidR="006540B0">
        <w:t xml:space="preserve"> at 19</w:t>
      </w:r>
      <w:r>
        <w:t>). Whether Madison County is required to a have “single district wholly” within its boundaries is a legal question beyond the scope of my report.</w:t>
      </w:r>
      <w:r w:rsidR="00635FB3">
        <w:rPr>
          <w:rStyle w:val="FootnoteReference"/>
        </w:rPr>
        <w:footnoteReference w:id="4"/>
      </w:r>
      <w:r w:rsidR="00635FB3">
        <w:t xml:space="preserve"> </w:t>
      </w:r>
      <w:r>
        <w:t xml:space="preserve">However, </w:t>
      </w:r>
      <w:r w:rsidR="00635FB3">
        <w:t>Plaintiff’s counsel has asked me to prepare</w:t>
      </w:r>
      <w:r>
        <w:t xml:space="preserve"> an alternative plan</w:t>
      </w:r>
      <w:r w:rsidR="006226C0">
        <w:t xml:space="preserve"> (which I call Map 13c)</w:t>
      </w:r>
      <w:r>
        <w:t xml:space="preserve"> in which </w:t>
      </w:r>
      <w:r w:rsidR="006226C0">
        <w:t xml:space="preserve">district 77 (i.e., Madison County) and </w:t>
      </w:r>
      <w:r>
        <w:t xml:space="preserve">district 80 </w:t>
      </w:r>
      <w:r w:rsidR="006226C0">
        <w:t xml:space="preserve">are </w:t>
      </w:r>
      <w:r>
        <w:t>identical to th</w:t>
      </w:r>
      <w:r w:rsidR="006226C0">
        <w:t>ose in the</w:t>
      </w:r>
      <w:r>
        <w:t xml:space="preserve"> enacted plan</w:t>
      </w:r>
      <w:r w:rsidR="006226C0">
        <w:t xml:space="preserve">. </w:t>
      </w:r>
      <w:r>
        <w:t>Therefore, there is no debate about the constitutionality of this proposed alternative.</w:t>
      </w:r>
      <w:r w:rsidR="006226C0">
        <w:t xml:space="preserve"> I am pleased to report that this plan has 24 TN County Splits, the same as </w:t>
      </w:r>
      <w:r w:rsidR="00635FB3">
        <w:t>m</w:t>
      </w:r>
      <w:r w:rsidR="006226C0">
        <w:t>ap</w:t>
      </w:r>
      <w:r w:rsidR="00635FB3">
        <w:t>s</w:t>
      </w:r>
      <w:r w:rsidR="006226C0">
        <w:t xml:space="preserve"> 13</w:t>
      </w:r>
      <w:r w:rsidR="00635FB3">
        <w:t>.5b and 14a, and one fewer than 13b</w:t>
      </w:r>
      <w:r w:rsidR="006226C0">
        <w:t>.</w:t>
      </w:r>
      <w:r w:rsidR="00B26637">
        <w:t xml:space="preserve"> This map continues to score better than the enacted map on county splits, compactness, average deviation, and increases the core retention to 73.7%.</w:t>
      </w:r>
    </w:p>
    <w:p w14:paraId="3E272A72" w14:textId="00781BE4" w:rsidR="000F27CA" w:rsidRDefault="000F27CA" w:rsidP="000F27CA">
      <w:pPr>
        <w:pStyle w:val="Heading1"/>
      </w:pPr>
      <w:r>
        <w:t>Report of Mr. Himes:</w:t>
      </w:r>
    </w:p>
    <w:p w14:paraId="1AD2A5F7" w14:textId="0589F807" w:rsidR="000F27CA" w:rsidRDefault="000F27CA" w:rsidP="007F47E0"/>
    <w:p w14:paraId="18FCEA87" w14:textId="5B7F9F02" w:rsidR="000F27CA" w:rsidRDefault="000F27CA" w:rsidP="007F47E0">
      <w:r>
        <w:t xml:space="preserve">Mr. Himes shows that each of my illustrative maps have non-contiguous census blocks. </w:t>
      </w:r>
      <w:r w:rsidR="006540B0">
        <w:t>I am grateful to Mr. Himes for showing this and am pleased to report that I was able to quickly fix those technical errors and append to this report (Appendix A) Maps 13b, 14a, 13.5a, and 13.5b.</w:t>
      </w:r>
      <w:r w:rsidR="00E5540E">
        <w:rPr>
          <w:rStyle w:val="FootnoteReference"/>
        </w:rPr>
        <w:footnoteReference w:id="5"/>
      </w:r>
      <w:r w:rsidR="006540B0">
        <w:t xml:space="preserve"> In all cases, the technical errors had no negative deficiencies to the plans. All the plans have the same number of county splits. Indeed, the only numeric effect was to </w:t>
      </w:r>
      <w:r w:rsidR="006540B0" w:rsidRPr="006540B0">
        <w:rPr>
          <w:i/>
          <w:iCs/>
        </w:rPr>
        <w:t>increase</w:t>
      </w:r>
      <w:r w:rsidR="006540B0">
        <w:t xml:space="preserve"> the compactness in each of the plans.</w:t>
      </w:r>
    </w:p>
    <w:p w14:paraId="58064B94" w14:textId="048E415D" w:rsidR="006540B0" w:rsidRDefault="006540B0" w:rsidP="007F47E0"/>
    <w:p w14:paraId="7CF913F7" w14:textId="1DD26AE5" w:rsidR="00E60630" w:rsidRDefault="006540B0" w:rsidP="007F47E0">
      <w:r>
        <w:t>Mr. Himes presents a table (</w:t>
      </w:r>
      <w:proofErr w:type="spellStart"/>
      <w:proofErr w:type="gramStart"/>
      <w:r>
        <w:t>Ex.Himes</w:t>
      </w:r>
      <w:proofErr w:type="spellEnd"/>
      <w:proofErr w:type="gramEnd"/>
      <w:r>
        <w:t xml:space="preserve"> at 18) that proports to “</w:t>
      </w:r>
      <w:r w:rsidRPr="006540B0">
        <w:t>illustrates the deficiencies</w:t>
      </w:r>
      <w:r>
        <w:t>” with my illustrative plans that “</w:t>
      </w:r>
      <w:r w:rsidRPr="006540B0">
        <w:t>that make them poor candidates for consideration</w:t>
      </w:r>
      <w:r>
        <w:t xml:space="preserve">.” However, the table is misleading.  </w:t>
      </w:r>
      <w:r w:rsidR="00635040">
        <w:t>All</w:t>
      </w:r>
      <w:r>
        <w:t xml:space="preserve"> my illustrative plans are within the legal bounds of overall deviations (and all have lower average deviations than the enacted plan with the sole exception of 14a</w:t>
      </w:r>
      <w:r w:rsidR="008A1285">
        <w:t>; see Appendix A, Table XX</w:t>
      </w:r>
      <w:r>
        <w:t>).</w:t>
      </w:r>
      <w:r w:rsidR="00E60630">
        <w:t xml:space="preserve"> As I show in my first report, properly apportioning Montgomery </w:t>
      </w:r>
      <w:r w:rsidR="00E60630">
        <w:lastRenderedPageBreak/>
        <w:t xml:space="preserve">County (see Cervas Report footnote 4 at 10) by splitting it one time allows for a reduction of the overall deviation. So long as the districts are maintained as they are in the enacted plan, that guarantees a large overall deviation. In plan 13.5b, I do split Montgomery </w:t>
      </w:r>
      <w:r w:rsidR="00A532A7">
        <w:t>County,</w:t>
      </w:r>
      <w:r w:rsidR="00E60630">
        <w:t xml:space="preserve"> and, in that plan, the overall deviation is lower than the enacted plan.</w:t>
      </w:r>
      <w:r w:rsidR="008A1285">
        <w:t xml:space="preserve"> </w:t>
      </w:r>
      <w:r w:rsidR="00E60630">
        <w:t>For this report, I have prepared an additional illustrative plan (Map 14d) which reduces the overall deviation to under 9% while continuing to split only 24 counties (see Appendix A).</w:t>
      </w:r>
    </w:p>
    <w:p w14:paraId="154B4845" w14:textId="77777777" w:rsidR="00E60630" w:rsidRDefault="00E60630" w:rsidP="007F47E0"/>
    <w:p w14:paraId="61375C10" w14:textId="6E2B1CE6" w:rsidR="00E60630" w:rsidRDefault="008A1285" w:rsidP="007F47E0">
      <w:r>
        <w:t xml:space="preserve">Second, Mr. Himes claims that I have fewer majority-minority districts. As soon in Mr. Trende’s report, all my illustrative plans have as many Voting Rights Act compliant districts as the enacted plan. I have avoided drawing districts with race as a preponderant motive and attempting to increase the number of districts with a 50%+1 minority population would put me in a position of potentially violating the principles the U.S. Supreme Court annunciated in </w:t>
      </w:r>
      <w:r>
        <w:rPr>
          <w:i/>
          <w:iCs/>
        </w:rPr>
        <w:t>Shaw v. Reno</w:t>
      </w:r>
      <w:r>
        <w:t xml:space="preserve">. </w:t>
      </w:r>
      <w:r w:rsidR="00C04154">
        <w:t>I was careful to maintain the same number of districts that are presumably protected in the VRA</w:t>
      </w:r>
      <w:r w:rsidR="00E5540E">
        <w:t>.</w:t>
      </w:r>
    </w:p>
    <w:p w14:paraId="635731FC" w14:textId="77777777" w:rsidR="00F677AF" w:rsidRDefault="00F677AF" w:rsidP="007F47E0"/>
    <w:p w14:paraId="0F6EFDAA" w14:textId="1D4CD201" w:rsidR="00E60630" w:rsidRDefault="008A1285" w:rsidP="007F47E0">
      <w:r>
        <w:t>I have addressed the issue of preserving “</w:t>
      </w:r>
      <w:r w:rsidRPr="008A1285">
        <w:t>preserving whole district</w:t>
      </w:r>
      <w:r>
        <w:t>”</w:t>
      </w:r>
      <w:r w:rsidR="00E60630">
        <w:t xml:space="preserve"> and of noncontiguous districts</w:t>
      </w:r>
      <w:r>
        <w:t xml:space="preserve"> above.  </w:t>
      </w:r>
    </w:p>
    <w:p w14:paraId="7502C84B" w14:textId="77777777" w:rsidR="00E60630" w:rsidRDefault="00E60630" w:rsidP="007F47E0"/>
    <w:p w14:paraId="18750EE9" w14:textId="4304199B" w:rsidR="00F677AF" w:rsidRDefault="008A1285" w:rsidP="007F47E0">
      <w:r>
        <w:t xml:space="preserve">Mr. Himes also says all five of my illustrative plans are “poor candidates for consideration” because they diminish prior cores and increase incumbent pairings. My illustrative maps focus exclusively on </w:t>
      </w:r>
      <w:r w:rsidRPr="007F47E0">
        <w:t>complying with federal and state constitutional and statutory law</w:t>
      </w:r>
      <w:r>
        <w:t>.</w:t>
      </w:r>
      <w:r w:rsidR="00E60630">
        <w:t xml:space="preserve"> </w:t>
      </w:r>
      <w:r w:rsidR="00F677AF">
        <w:t xml:space="preserve">For this report, for the Court’s benefit, I create an additional illustrative plan </w:t>
      </w:r>
      <w:r w:rsidR="00AB6FA4">
        <w:t>starting from</w:t>
      </w:r>
      <w:r w:rsidR="00F677AF">
        <w:t xml:space="preserve"> Map 13</w:t>
      </w:r>
      <w:r w:rsidR="00AB6FA4">
        <w:t>c</w:t>
      </w:r>
      <w:r w:rsidR="00F677AF">
        <w:t xml:space="preserve"> which simultaneously increases core retention and decreases the number of paired incumbents (See Appendix A, Map 13e).</w:t>
      </w:r>
    </w:p>
    <w:p w14:paraId="2162B4A8" w14:textId="4E36B6C7" w:rsidR="00F677AF" w:rsidRDefault="00F677AF" w:rsidP="00F677AF">
      <w:pPr>
        <w:pStyle w:val="Heading1"/>
      </w:pPr>
      <w:r>
        <w:t>Conclusions</w:t>
      </w:r>
    </w:p>
    <w:p w14:paraId="240ECDF5" w14:textId="7595021D" w:rsidR="00F677AF" w:rsidRDefault="00F677AF" w:rsidP="00F677AF">
      <w:r>
        <w:t xml:space="preserve">I continue to </w:t>
      </w:r>
      <w:r w:rsidR="00F94199">
        <w:t>believe</w:t>
      </w:r>
      <w:r>
        <w:t xml:space="preserve"> that my illustrative plans </w:t>
      </w:r>
      <w:r w:rsidR="00F94199">
        <w:t xml:space="preserve">comply </w:t>
      </w:r>
      <w:r w:rsidR="00F94199" w:rsidRPr="007F47E0">
        <w:t>with federal and state constitutional and statutory law</w:t>
      </w:r>
      <w:r w:rsidR="00F94199">
        <w:t xml:space="preserve"> of Tennessee. I am grateful for Mr. Himes noticing some technical mistakes in my illustrative maps, which I have corrected. Further, Mr. Trende’s report demonstrates that maps 13b, 13.5a, 13.5b, and 14a all treat district 80 in a way that is consistent with the Voting Rights Act. All the maps I have prepared for this Court have considerably fewer county splits than the enacted plan. None of the claims in the reports of Mr. Trende or Mr. Himes challenge the finding that it is possible to comply with </w:t>
      </w:r>
      <w:r w:rsidR="00F94199" w:rsidRPr="007F47E0">
        <w:t>federal and state constitutional and statutory law</w:t>
      </w:r>
      <w:r w:rsidR="00F94199">
        <w:t xml:space="preserve"> while reducing the number of county splits below the 30 found in the enacted plan. Indeed, taken to the extreme, one could claim that “</w:t>
      </w:r>
      <w:r w:rsidR="00F94199" w:rsidRPr="00F94199">
        <w:t>other legitimate and rational state policies</w:t>
      </w:r>
      <w:r w:rsidR="00F94199">
        <w:t xml:space="preserve">” (see </w:t>
      </w:r>
      <w:proofErr w:type="spellStart"/>
      <w:proofErr w:type="gramStart"/>
      <w:r w:rsidR="00F94199">
        <w:t>Ex.Himes</w:t>
      </w:r>
      <w:proofErr w:type="spellEnd"/>
      <w:proofErr w:type="gramEnd"/>
      <w:r w:rsidR="00F94199">
        <w:t xml:space="preserve"> at 6 quoting </w:t>
      </w:r>
      <w:r w:rsidR="00F94199" w:rsidRPr="00F94199">
        <w:rPr>
          <w:i/>
          <w:iCs/>
        </w:rPr>
        <w:t>Reynolds v. Sims</w:t>
      </w:r>
      <w:r w:rsidR="00F94199" w:rsidRPr="00F94199">
        <w:t>, 377 U.S. at 577-81</w:t>
      </w:r>
      <w:r w:rsidR="00F94199">
        <w:t>) LETS WORK ON THIS…</w:t>
      </w:r>
    </w:p>
    <w:p w14:paraId="707F1954" w14:textId="56FBA306" w:rsidR="00635FB3" w:rsidRDefault="00635FB3" w:rsidP="00F677AF"/>
    <w:p w14:paraId="0EAA1298" w14:textId="77777777" w:rsidR="00635FB3" w:rsidRDefault="00635FB3" w:rsidP="00F677AF"/>
    <w:p w14:paraId="34E14FC4" w14:textId="42BDE599" w:rsidR="00E36DDD" w:rsidRDefault="00E36DDD" w:rsidP="00F677AF"/>
    <w:p w14:paraId="50E12B54" w14:textId="07BC24FE" w:rsidR="009B7B6C" w:rsidRDefault="009B7B6C" w:rsidP="00F677AF"/>
    <w:p w14:paraId="57E3CA43" w14:textId="77777777" w:rsidR="00E36DDD" w:rsidRDefault="00E36DDD" w:rsidP="00F677AF"/>
    <w:tbl>
      <w:tblPr>
        <w:tblStyle w:val="TableGrid"/>
        <w:tblW w:w="0" w:type="auto"/>
        <w:tblLayout w:type="fixed"/>
        <w:tblLook w:val="04A0" w:firstRow="1" w:lastRow="0" w:firstColumn="1" w:lastColumn="0" w:noHBand="0" w:noVBand="1"/>
      </w:tblPr>
      <w:tblGrid>
        <w:gridCol w:w="1255"/>
        <w:gridCol w:w="1011"/>
        <w:gridCol w:w="1012"/>
        <w:gridCol w:w="1012"/>
        <w:gridCol w:w="1012"/>
        <w:gridCol w:w="1012"/>
        <w:gridCol w:w="1012"/>
        <w:gridCol w:w="1012"/>
        <w:gridCol w:w="1012"/>
      </w:tblGrid>
      <w:tr w:rsidR="009B7B6C" w:rsidRPr="009B7B6C" w14:paraId="2A172C5F" w14:textId="386E6665" w:rsidTr="009B7B6C">
        <w:tc>
          <w:tcPr>
            <w:tcW w:w="1255" w:type="dxa"/>
            <w:vAlign w:val="center"/>
          </w:tcPr>
          <w:p w14:paraId="10BACE9D" w14:textId="77777777" w:rsidR="009B7B6C" w:rsidRPr="009B7B6C" w:rsidRDefault="009B7B6C" w:rsidP="009B7B6C">
            <w:pPr>
              <w:jc w:val="center"/>
              <w:rPr>
                <w:sz w:val="18"/>
                <w:szCs w:val="18"/>
              </w:rPr>
            </w:pPr>
          </w:p>
        </w:tc>
        <w:tc>
          <w:tcPr>
            <w:tcW w:w="1011" w:type="dxa"/>
            <w:vAlign w:val="center"/>
          </w:tcPr>
          <w:p w14:paraId="6995154E" w14:textId="4E7C06A4" w:rsidR="009B7B6C" w:rsidRPr="009B7B6C" w:rsidRDefault="009B7B6C" w:rsidP="009B7B6C">
            <w:pPr>
              <w:jc w:val="center"/>
              <w:rPr>
                <w:sz w:val="18"/>
                <w:szCs w:val="18"/>
              </w:rPr>
            </w:pPr>
            <w:r w:rsidRPr="009B7B6C">
              <w:rPr>
                <w:sz w:val="18"/>
                <w:szCs w:val="18"/>
              </w:rPr>
              <w:t>Enacted</w:t>
            </w:r>
          </w:p>
        </w:tc>
        <w:tc>
          <w:tcPr>
            <w:tcW w:w="1012" w:type="dxa"/>
            <w:vAlign w:val="center"/>
          </w:tcPr>
          <w:p w14:paraId="175F3AFD" w14:textId="4920F8D2" w:rsidR="009B7B6C" w:rsidRPr="009B7B6C" w:rsidRDefault="009B7B6C" w:rsidP="009B7B6C">
            <w:pPr>
              <w:jc w:val="center"/>
              <w:rPr>
                <w:sz w:val="18"/>
                <w:szCs w:val="18"/>
              </w:rPr>
            </w:pPr>
            <w:r w:rsidRPr="009B7B6C">
              <w:rPr>
                <w:sz w:val="18"/>
                <w:szCs w:val="18"/>
              </w:rPr>
              <w:t>13b_err</w:t>
            </w:r>
            <w:r w:rsidR="00E36DDD">
              <w:rPr>
                <w:rStyle w:val="FootnoteReference"/>
                <w:sz w:val="18"/>
                <w:szCs w:val="18"/>
              </w:rPr>
              <w:footnoteReference w:id="6"/>
            </w:r>
          </w:p>
        </w:tc>
        <w:tc>
          <w:tcPr>
            <w:tcW w:w="1012" w:type="dxa"/>
            <w:vAlign w:val="center"/>
          </w:tcPr>
          <w:p w14:paraId="3B66B3BB" w14:textId="5C198A25" w:rsidR="009B7B6C" w:rsidRPr="009B7B6C" w:rsidRDefault="009B7B6C" w:rsidP="009B7B6C">
            <w:pPr>
              <w:jc w:val="center"/>
              <w:rPr>
                <w:sz w:val="18"/>
                <w:szCs w:val="18"/>
              </w:rPr>
            </w:pPr>
            <w:r w:rsidRPr="009B7B6C">
              <w:rPr>
                <w:sz w:val="18"/>
                <w:szCs w:val="18"/>
              </w:rPr>
              <w:t>14a_err</w:t>
            </w:r>
            <w:r w:rsidR="00E36DDD">
              <w:rPr>
                <w:rStyle w:val="FootnoteReference"/>
                <w:sz w:val="18"/>
                <w:szCs w:val="18"/>
              </w:rPr>
              <w:footnoteReference w:id="7"/>
            </w:r>
          </w:p>
        </w:tc>
        <w:tc>
          <w:tcPr>
            <w:tcW w:w="1012" w:type="dxa"/>
            <w:vAlign w:val="center"/>
          </w:tcPr>
          <w:p w14:paraId="6E09F322" w14:textId="6850B9C7" w:rsidR="009B7B6C" w:rsidRPr="009B7B6C" w:rsidRDefault="009B7B6C" w:rsidP="009B7B6C">
            <w:pPr>
              <w:jc w:val="center"/>
              <w:rPr>
                <w:sz w:val="18"/>
                <w:szCs w:val="18"/>
              </w:rPr>
            </w:pPr>
            <w:r w:rsidRPr="009B7B6C">
              <w:rPr>
                <w:sz w:val="18"/>
                <w:szCs w:val="18"/>
              </w:rPr>
              <w:t>13.5a_err</w:t>
            </w:r>
            <w:r w:rsidR="00E36DDD">
              <w:rPr>
                <w:rStyle w:val="FootnoteReference"/>
                <w:sz w:val="18"/>
                <w:szCs w:val="18"/>
              </w:rPr>
              <w:footnoteReference w:id="8"/>
            </w:r>
          </w:p>
        </w:tc>
        <w:tc>
          <w:tcPr>
            <w:tcW w:w="1012" w:type="dxa"/>
            <w:vAlign w:val="center"/>
          </w:tcPr>
          <w:p w14:paraId="0EC15644" w14:textId="56C1752E" w:rsidR="009B7B6C" w:rsidRPr="009B7B6C" w:rsidRDefault="009B7B6C" w:rsidP="009B7B6C">
            <w:pPr>
              <w:jc w:val="center"/>
              <w:rPr>
                <w:sz w:val="18"/>
                <w:szCs w:val="18"/>
              </w:rPr>
            </w:pPr>
            <w:r w:rsidRPr="009B7B6C">
              <w:rPr>
                <w:sz w:val="18"/>
                <w:szCs w:val="18"/>
              </w:rPr>
              <w:t>13.5b_err</w:t>
            </w:r>
            <w:r w:rsidR="00E36DDD">
              <w:rPr>
                <w:rStyle w:val="FootnoteReference"/>
                <w:sz w:val="18"/>
                <w:szCs w:val="18"/>
              </w:rPr>
              <w:footnoteReference w:id="9"/>
            </w:r>
          </w:p>
        </w:tc>
        <w:tc>
          <w:tcPr>
            <w:tcW w:w="1012" w:type="dxa"/>
            <w:vAlign w:val="center"/>
          </w:tcPr>
          <w:p w14:paraId="72B4BDC7" w14:textId="011FD8D4" w:rsidR="009B7B6C" w:rsidRPr="009B7B6C" w:rsidRDefault="009B7B6C" w:rsidP="009B7B6C">
            <w:pPr>
              <w:jc w:val="center"/>
              <w:rPr>
                <w:sz w:val="18"/>
                <w:szCs w:val="18"/>
              </w:rPr>
            </w:pPr>
            <w:r w:rsidRPr="009B7B6C">
              <w:rPr>
                <w:sz w:val="18"/>
                <w:szCs w:val="18"/>
              </w:rPr>
              <w:t>13c</w:t>
            </w:r>
            <w:r w:rsidR="00E36DDD">
              <w:rPr>
                <w:rStyle w:val="FootnoteReference"/>
                <w:sz w:val="18"/>
                <w:szCs w:val="18"/>
              </w:rPr>
              <w:footnoteReference w:id="10"/>
            </w:r>
          </w:p>
        </w:tc>
        <w:tc>
          <w:tcPr>
            <w:tcW w:w="1012" w:type="dxa"/>
            <w:vAlign w:val="center"/>
          </w:tcPr>
          <w:p w14:paraId="72C04599" w14:textId="2A44E486" w:rsidR="009B7B6C" w:rsidRPr="009B7B6C" w:rsidRDefault="009B7B6C" w:rsidP="009B7B6C">
            <w:pPr>
              <w:jc w:val="center"/>
              <w:rPr>
                <w:sz w:val="18"/>
                <w:szCs w:val="18"/>
              </w:rPr>
            </w:pPr>
            <w:r w:rsidRPr="009B7B6C">
              <w:rPr>
                <w:sz w:val="18"/>
                <w:szCs w:val="18"/>
              </w:rPr>
              <w:t>13d</w:t>
            </w:r>
            <w:r w:rsidR="00765C51">
              <w:rPr>
                <w:rStyle w:val="FootnoteReference"/>
                <w:sz w:val="18"/>
                <w:szCs w:val="18"/>
              </w:rPr>
              <w:footnoteReference w:id="11"/>
            </w:r>
          </w:p>
        </w:tc>
        <w:tc>
          <w:tcPr>
            <w:tcW w:w="1012" w:type="dxa"/>
            <w:vAlign w:val="center"/>
          </w:tcPr>
          <w:p w14:paraId="7E5AF339" w14:textId="0C3FAD97" w:rsidR="009B7B6C" w:rsidRPr="009B7B6C" w:rsidRDefault="009B7B6C" w:rsidP="009B7B6C">
            <w:pPr>
              <w:jc w:val="center"/>
              <w:rPr>
                <w:sz w:val="18"/>
                <w:szCs w:val="18"/>
              </w:rPr>
            </w:pPr>
            <w:r w:rsidRPr="009B7B6C">
              <w:rPr>
                <w:sz w:val="18"/>
                <w:szCs w:val="18"/>
              </w:rPr>
              <w:t>13e</w:t>
            </w:r>
            <w:r w:rsidR="00146FA9">
              <w:rPr>
                <w:rStyle w:val="FootnoteReference"/>
                <w:sz w:val="18"/>
                <w:szCs w:val="18"/>
              </w:rPr>
              <w:footnoteReference w:id="12"/>
            </w:r>
          </w:p>
        </w:tc>
      </w:tr>
      <w:tr w:rsidR="009B7B6C" w:rsidRPr="009B7B6C" w14:paraId="46BBCA76" w14:textId="0231DD4D" w:rsidTr="009B7B6C">
        <w:tc>
          <w:tcPr>
            <w:tcW w:w="1255" w:type="dxa"/>
            <w:vAlign w:val="center"/>
          </w:tcPr>
          <w:p w14:paraId="560DFECB" w14:textId="1DCB27A7" w:rsidR="009B7B6C" w:rsidRPr="009B7B6C" w:rsidRDefault="009B7B6C" w:rsidP="009B7B6C">
            <w:pPr>
              <w:jc w:val="center"/>
              <w:rPr>
                <w:sz w:val="18"/>
                <w:szCs w:val="18"/>
              </w:rPr>
            </w:pPr>
            <w:r w:rsidRPr="009B7B6C">
              <w:rPr>
                <w:sz w:val="18"/>
                <w:szCs w:val="18"/>
              </w:rPr>
              <w:t>TN County Splits</w:t>
            </w:r>
          </w:p>
        </w:tc>
        <w:tc>
          <w:tcPr>
            <w:tcW w:w="1011" w:type="dxa"/>
            <w:vAlign w:val="center"/>
          </w:tcPr>
          <w:p w14:paraId="71F49A1E" w14:textId="7B37D4FC" w:rsidR="009B7B6C" w:rsidRPr="009B7B6C" w:rsidRDefault="00E36DDD" w:rsidP="009B7B6C">
            <w:pPr>
              <w:jc w:val="center"/>
              <w:rPr>
                <w:sz w:val="18"/>
                <w:szCs w:val="18"/>
              </w:rPr>
            </w:pPr>
            <w:r>
              <w:rPr>
                <w:sz w:val="18"/>
                <w:szCs w:val="18"/>
              </w:rPr>
              <w:t>30</w:t>
            </w:r>
          </w:p>
        </w:tc>
        <w:tc>
          <w:tcPr>
            <w:tcW w:w="1012" w:type="dxa"/>
            <w:vAlign w:val="center"/>
          </w:tcPr>
          <w:p w14:paraId="4FC97213" w14:textId="3A49B3D2" w:rsidR="009B7B6C" w:rsidRPr="009B7B6C" w:rsidRDefault="009B7B6C" w:rsidP="009B7B6C">
            <w:pPr>
              <w:jc w:val="center"/>
              <w:rPr>
                <w:sz w:val="18"/>
                <w:szCs w:val="18"/>
              </w:rPr>
            </w:pPr>
            <w:r>
              <w:rPr>
                <w:sz w:val="18"/>
                <w:szCs w:val="18"/>
              </w:rPr>
              <w:t>25</w:t>
            </w:r>
          </w:p>
        </w:tc>
        <w:tc>
          <w:tcPr>
            <w:tcW w:w="1012" w:type="dxa"/>
            <w:vAlign w:val="center"/>
          </w:tcPr>
          <w:p w14:paraId="7E2A226F" w14:textId="559B6E0E" w:rsidR="009B7B6C" w:rsidRPr="009B7B6C" w:rsidRDefault="009B7B6C" w:rsidP="009B7B6C">
            <w:pPr>
              <w:jc w:val="center"/>
              <w:rPr>
                <w:sz w:val="18"/>
                <w:szCs w:val="18"/>
              </w:rPr>
            </w:pPr>
            <w:r>
              <w:rPr>
                <w:sz w:val="18"/>
                <w:szCs w:val="18"/>
              </w:rPr>
              <w:t>24</w:t>
            </w:r>
          </w:p>
        </w:tc>
        <w:tc>
          <w:tcPr>
            <w:tcW w:w="1012" w:type="dxa"/>
            <w:vAlign w:val="center"/>
          </w:tcPr>
          <w:p w14:paraId="3177ECDE" w14:textId="0407BEB5" w:rsidR="009B7B6C" w:rsidRPr="009B7B6C" w:rsidRDefault="009B7B6C" w:rsidP="009B7B6C">
            <w:pPr>
              <w:jc w:val="center"/>
              <w:rPr>
                <w:sz w:val="18"/>
                <w:szCs w:val="18"/>
              </w:rPr>
            </w:pPr>
            <w:r>
              <w:rPr>
                <w:sz w:val="18"/>
                <w:szCs w:val="18"/>
              </w:rPr>
              <w:t>22</w:t>
            </w:r>
          </w:p>
        </w:tc>
        <w:tc>
          <w:tcPr>
            <w:tcW w:w="1012" w:type="dxa"/>
            <w:vAlign w:val="center"/>
          </w:tcPr>
          <w:p w14:paraId="60C6D3E4" w14:textId="4E64C843" w:rsidR="009B7B6C" w:rsidRPr="009B7B6C" w:rsidRDefault="009B7B6C" w:rsidP="009B7B6C">
            <w:pPr>
              <w:jc w:val="center"/>
              <w:rPr>
                <w:sz w:val="18"/>
                <w:szCs w:val="18"/>
              </w:rPr>
            </w:pPr>
            <w:r>
              <w:rPr>
                <w:sz w:val="18"/>
                <w:szCs w:val="18"/>
              </w:rPr>
              <w:t>24</w:t>
            </w:r>
          </w:p>
        </w:tc>
        <w:tc>
          <w:tcPr>
            <w:tcW w:w="1012" w:type="dxa"/>
            <w:vAlign w:val="center"/>
          </w:tcPr>
          <w:p w14:paraId="53BC51F4" w14:textId="39C630B5" w:rsidR="009B7B6C" w:rsidRPr="009B7B6C" w:rsidRDefault="009B7B6C" w:rsidP="009B7B6C">
            <w:pPr>
              <w:jc w:val="center"/>
              <w:rPr>
                <w:sz w:val="18"/>
                <w:szCs w:val="18"/>
              </w:rPr>
            </w:pPr>
            <w:r>
              <w:rPr>
                <w:sz w:val="18"/>
                <w:szCs w:val="18"/>
              </w:rPr>
              <w:t>24</w:t>
            </w:r>
          </w:p>
        </w:tc>
        <w:tc>
          <w:tcPr>
            <w:tcW w:w="1012" w:type="dxa"/>
            <w:vAlign w:val="center"/>
          </w:tcPr>
          <w:p w14:paraId="51534D87" w14:textId="71EC9D7B" w:rsidR="009B7B6C" w:rsidRPr="009B7B6C" w:rsidRDefault="00E36DDD" w:rsidP="009B7B6C">
            <w:pPr>
              <w:jc w:val="center"/>
              <w:rPr>
                <w:sz w:val="18"/>
                <w:szCs w:val="18"/>
              </w:rPr>
            </w:pPr>
            <w:r>
              <w:rPr>
                <w:sz w:val="18"/>
                <w:szCs w:val="18"/>
              </w:rPr>
              <w:t>24</w:t>
            </w:r>
          </w:p>
        </w:tc>
        <w:tc>
          <w:tcPr>
            <w:tcW w:w="1012" w:type="dxa"/>
            <w:vAlign w:val="center"/>
          </w:tcPr>
          <w:p w14:paraId="4E0395BC" w14:textId="71E10163" w:rsidR="009B7B6C" w:rsidRPr="009B7B6C" w:rsidRDefault="00650426" w:rsidP="009B7B6C">
            <w:pPr>
              <w:jc w:val="center"/>
              <w:rPr>
                <w:sz w:val="18"/>
                <w:szCs w:val="18"/>
              </w:rPr>
            </w:pPr>
            <w:r>
              <w:rPr>
                <w:sz w:val="18"/>
                <w:szCs w:val="18"/>
              </w:rPr>
              <w:t>24</w:t>
            </w:r>
          </w:p>
        </w:tc>
      </w:tr>
      <w:tr w:rsidR="009B7B6C" w:rsidRPr="009B7B6C" w14:paraId="4BF9A6D4" w14:textId="7A942111" w:rsidTr="009B7B6C">
        <w:tc>
          <w:tcPr>
            <w:tcW w:w="1255" w:type="dxa"/>
            <w:vAlign w:val="center"/>
          </w:tcPr>
          <w:p w14:paraId="2D52FBA4" w14:textId="50FE5505" w:rsidR="009B7B6C" w:rsidRPr="009B7B6C" w:rsidRDefault="009B7B6C" w:rsidP="009B7B6C">
            <w:pPr>
              <w:jc w:val="center"/>
              <w:rPr>
                <w:sz w:val="18"/>
                <w:szCs w:val="18"/>
              </w:rPr>
            </w:pPr>
            <w:r w:rsidRPr="009B7B6C">
              <w:rPr>
                <w:sz w:val="18"/>
                <w:szCs w:val="18"/>
              </w:rPr>
              <w:t>Overall Deviation</w:t>
            </w:r>
          </w:p>
        </w:tc>
        <w:tc>
          <w:tcPr>
            <w:tcW w:w="1011" w:type="dxa"/>
            <w:vAlign w:val="center"/>
          </w:tcPr>
          <w:p w14:paraId="638C9632" w14:textId="7A2511C9" w:rsidR="009B7B6C" w:rsidRPr="009B7B6C" w:rsidRDefault="00E36DDD" w:rsidP="009B7B6C">
            <w:pPr>
              <w:jc w:val="center"/>
              <w:rPr>
                <w:sz w:val="18"/>
                <w:szCs w:val="18"/>
              </w:rPr>
            </w:pPr>
            <w:r>
              <w:rPr>
                <w:sz w:val="18"/>
                <w:szCs w:val="18"/>
              </w:rPr>
              <w:t>9.90%</w:t>
            </w:r>
          </w:p>
        </w:tc>
        <w:tc>
          <w:tcPr>
            <w:tcW w:w="1012" w:type="dxa"/>
            <w:vAlign w:val="center"/>
          </w:tcPr>
          <w:p w14:paraId="236AF147" w14:textId="5D0EC575" w:rsidR="009B7B6C" w:rsidRPr="009B7B6C" w:rsidRDefault="009B7B6C" w:rsidP="009B7B6C">
            <w:pPr>
              <w:jc w:val="center"/>
              <w:rPr>
                <w:sz w:val="18"/>
                <w:szCs w:val="18"/>
              </w:rPr>
            </w:pPr>
            <w:r>
              <w:rPr>
                <w:sz w:val="18"/>
                <w:szCs w:val="18"/>
              </w:rPr>
              <w:t>9.96</w:t>
            </w:r>
            <w:r w:rsidR="00EB021E">
              <w:rPr>
                <w:sz w:val="18"/>
                <w:szCs w:val="18"/>
              </w:rPr>
              <w:t>%</w:t>
            </w:r>
          </w:p>
        </w:tc>
        <w:tc>
          <w:tcPr>
            <w:tcW w:w="1012" w:type="dxa"/>
            <w:vAlign w:val="center"/>
          </w:tcPr>
          <w:p w14:paraId="58B706F6" w14:textId="41EF4DD2" w:rsidR="009B7B6C" w:rsidRPr="009B7B6C" w:rsidRDefault="009B7B6C" w:rsidP="009B7B6C">
            <w:pPr>
              <w:jc w:val="center"/>
              <w:rPr>
                <w:sz w:val="18"/>
                <w:szCs w:val="18"/>
              </w:rPr>
            </w:pPr>
            <w:r>
              <w:rPr>
                <w:sz w:val="18"/>
                <w:szCs w:val="18"/>
              </w:rPr>
              <w:t>9.98%</w:t>
            </w:r>
          </w:p>
        </w:tc>
        <w:tc>
          <w:tcPr>
            <w:tcW w:w="1012" w:type="dxa"/>
            <w:vAlign w:val="center"/>
          </w:tcPr>
          <w:p w14:paraId="0092E0DD" w14:textId="03CABA5E" w:rsidR="009B7B6C" w:rsidRPr="009B7B6C" w:rsidRDefault="009B7B6C" w:rsidP="009B7B6C">
            <w:pPr>
              <w:jc w:val="center"/>
              <w:rPr>
                <w:sz w:val="18"/>
                <w:szCs w:val="18"/>
              </w:rPr>
            </w:pPr>
            <w:r>
              <w:rPr>
                <w:sz w:val="18"/>
                <w:szCs w:val="18"/>
              </w:rPr>
              <w:t>9.98%</w:t>
            </w:r>
          </w:p>
        </w:tc>
        <w:tc>
          <w:tcPr>
            <w:tcW w:w="1012" w:type="dxa"/>
            <w:vAlign w:val="center"/>
          </w:tcPr>
          <w:p w14:paraId="1DC93B6E" w14:textId="04DB2AB9" w:rsidR="009B7B6C" w:rsidRPr="009B7B6C" w:rsidRDefault="009B7B6C" w:rsidP="009B7B6C">
            <w:pPr>
              <w:jc w:val="center"/>
              <w:rPr>
                <w:sz w:val="18"/>
                <w:szCs w:val="18"/>
              </w:rPr>
            </w:pPr>
            <w:r>
              <w:rPr>
                <w:sz w:val="18"/>
                <w:szCs w:val="18"/>
              </w:rPr>
              <w:t>9.82%</w:t>
            </w:r>
          </w:p>
        </w:tc>
        <w:tc>
          <w:tcPr>
            <w:tcW w:w="1012" w:type="dxa"/>
            <w:vAlign w:val="center"/>
          </w:tcPr>
          <w:p w14:paraId="09CA6097" w14:textId="556F6CC8" w:rsidR="009B7B6C" w:rsidRPr="009B7B6C" w:rsidRDefault="009B7B6C" w:rsidP="009B7B6C">
            <w:pPr>
              <w:jc w:val="center"/>
              <w:rPr>
                <w:sz w:val="18"/>
                <w:szCs w:val="18"/>
              </w:rPr>
            </w:pPr>
            <w:r>
              <w:rPr>
                <w:sz w:val="18"/>
                <w:szCs w:val="18"/>
              </w:rPr>
              <w:t>9.96%</w:t>
            </w:r>
          </w:p>
        </w:tc>
        <w:tc>
          <w:tcPr>
            <w:tcW w:w="1012" w:type="dxa"/>
            <w:vAlign w:val="center"/>
          </w:tcPr>
          <w:p w14:paraId="2CDB83BB" w14:textId="1BBA22A3" w:rsidR="009B7B6C" w:rsidRPr="009B7B6C" w:rsidRDefault="00E36DDD" w:rsidP="009B7B6C">
            <w:pPr>
              <w:jc w:val="center"/>
              <w:rPr>
                <w:sz w:val="18"/>
                <w:szCs w:val="18"/>
              </w:rPr>
            </w:pPr>
            <w:r>
              <w:rPr>
                <w:sz w:val="18"/>
                <w:szCs w:val="18"/>
              </w:rPr>
              <w:t>9.73%</w:t>
            </w:r>
          </w:p>
        </w:tc>
        <w:tc>
          <w:tcPr>
            <w:tcW w:w="1012" w:type="dxa"/>
            <w:vAlign w:val="center"/>
          </w:tcPr>
          <w:p w14:paraId="1FC57CDE" w14:textId="1025632F" w:rsidR="009B7B6C" w:rsidRPr="009B7B6C" w:rsidRDefault="00650426" w:rsidP="009B7B6C">
            <w:pPr>
              <w:jc w:val="center"/>
              <w:rPr>
                <w:sz w:val="18"/>
                <w:szCs w:val="18"/>
              </w:rPr>
            </w:pPr>
            <w:r>
              <w:rPr>
                <w:sz w:val="18"/>
                <w:szCs w:val="18"/>
              </w:rPr>
              <w:t>9.90%</w:t>
            </w:r>
          </w:p>
        </w:tc>
      </w:tr>
      <w:tr w:rsidR="009B7B6C" w:rsidRPr="009B7B6C" w14:paraId="4834CA70" w14:textId="76541581" w:rsidTr="009B7B6C">
        <w:tc>
          <w:tcPr>
            <w:tcW w:w="1255" w:type="dxa"/>
            <w:vAlign w:val="center"/>
          </w:tcPr>
          <w:p w14:paraId="4381FD60" w14:textId="77AA0EFA" w:rsidR="009B7B6C" w:rsidRPr="009B7B6C" w:rsidRDefault="009B7B6C" w:rsidP="009B7B6C">
            <w:pPr>
              <w:jc w:val="center"/>
              <w:rPr>
                <w:sz w:val="18"/>
                <w:szCs w:val="18"/>
              </w:rPr>
            </w:pPr>
            <w:r w:rsidRPr="009B7B6C">
              <w:rPr>
                <w:sz w:val="18"/>
                <w:szCs w:val="18"/>
              </w:rPr>
              <w:t>Average Deviation</w:t>
            </w:r>
          </w:p>
        </w:tc>
        <w:tc>
          <w:tcPr>
            <w:tcW w:w="1011" w:type="dxa"/>
            <w:vAlign w:val="center"/>
          </w:tcPr>
          <w:p w14:paraId="6CE232AD" w14:textId="784E09F0" w:rsidR="009B7B6C" w:rsidRPr="009B7B6C" w:rsidRDefault="00E36DDD" w:rsidP="009B7B6C">
            <w:pPr>
              <w:jc w:val="center"/>
              <w:rPr>
                <w:sz w:val="18"/>
                <w:szCs w:val="18"/>
              </w:rPr>
            </w:pPr>
            <w:r>
              <w:rPr>
                <w:sz w:val="18"/>
                <w:szCs w:val="18"/>
              </w:rPr>
              <w:t>3.28%</w:t>
            </w:r>
          </w:p>
        </w:tc>
        <w:tc>
          <w:tcPr>
            <w:tcW w:w="1012" w:type="dxa"/>
            <w:vAlign w:val="center"/>
          </w:tcPr>
          <w:p w14:paraId="3CBEF8C8" w14:textId="1AB9FC90" w:rsidR="009B7B6C" w:rsidRPr="009B7B6C" w:rsidRDefault="009B7B6C" w:rsidP="009B7B6C">
            <w:pPr>
              <w:jc w:val="center"/>
              <w:rPr>
                <w:sz w:val="18"/>
                <w:szCs w:val="18"/>
              </w:rPr>
            </w:pPr>
            <w:r>
              <w:rPr>
                <w:sz w:val="18"/>
                <w:szCs w:val="18"/>
              </w:rPr>
              <w:t>3.19</w:t>
            </w:r>
            <w:r w:rsidR="00EB021E">
              <w:rPr>
                <w:sz w:val="18"/>
                <w:szCs w:val="18"/>
              </w:rPr>
              <w:t>%</w:t>
            </w:r>
          </w:p>
        </w:tc>
        <w:tc>
          <w:tcPr>
            <w:tcW w:w="1012" w:type="dxa"/>
            <w:vAlign w:val="center"/>
          </w:tcPr>
          <w:p w14:paraId="055AD3B9" w14:textId="36171011" w:rsidR="009B7B6C" w:rsidRPr="009B7B6C" w:rsidRDefault="009B7B6C" w:rsidP="009B7B6C">
            <w:pPr>
              <w:jc w:val="center"/>
              <w:rPr>
                <w:sz w:val="18"/>
                <w:szCs w:val="18"/>
              </w:rPr>
            </w:pPr>
            <w:r>
              <w:rPr>
                <w:sz w:val="18"/>
                <w:szCs w:val="18"/>
              </w:rPr>
              <w:t>3.63%</w:t>
            </w:r>
          </w:p>
        </w:tc>
        <w:tc>
          <w:tcPr>
            <w:tcW w:w="1012" w:type="dxa"/>
            <w:vAlign w:val="center"/>
          </w:tcPr>
          <w:p w14:paraId="08790321" w14:textId="6B5AFA73" w:rsidR="009B7B6C" w:rsidRPr="009B7B6C" w:rsidRDefault="009B7B6C" w:rsidP="009B7B6C">
            <w:pPr>
              <w:jc w:val="center"/>
              <w:rPr>
                <w:sz w:val="18"/>
                <w:szCs w:val="18"/>
              </w:rPr>
            </w:pPr>
            <w:r>
              <w:rPr>
                <w:sz w:val="18"/>
                <w:szCs w:val="18"/>
              </w:rPr>
              <w:t>3.24%</w:t>
            </w:r>
          </w:p>
        </w:tc>
        <w:tc>
          <w:tcPr>
            <w:tcW w:w="1012" w:type="dxa"/>
            <w:vAlign w:val="center"/>
          </w:tcPr>
          <w:p w14:paraId="2579AED4" w14:textId="3EA99967" w:rsidR="009B7B6C" w:rsidRPr="009B7B6C" w:rsidRDefault="009B7B6C" w:rsidP="009B7B6C">
            <w:pPr>
              <w:jc w:val="center"/>
              <w:rPr>
                <w:sz w:val="18"/>
                <w:szCs w:val="18"/>
              </w:rPr>
            </w:pPr>
            <w:r>
              <w:rPr>
                <w:sz w:val="18"/>
                <w:szCs w:val="18"/>
              </w:rPr>
              <w:t>2.94%</w:t>
            </w:r>
          </w:p>
        </w:tc>
        <w:tc>
          <w:tcPr>
            <w:tcW w:w="1012" w:type="dxa"/>
            <w:vAlign w:val="center"/>
          </w:tcPr>
          <w:p w14:paraId="6CC242D8" w14:textId="7E88E462" w:rsidR="009B7B6C" w:rsidRPr="009B7B6C" w:rsidRDefault="009B7B6C" w:rsidP="009B7B6C">
            <w:pPr>
              <w:jc w:val="center"/>
              <w:rPr>
                <w:sz w:val="18"/>
                <w:szCs w:val="18"/>
              </w:rPr>
            </w:pPr>
            <w:r>
              <w:rPr>
                <w:sz w:val="18"/>
                <w:szCs w:val="18"/>
              </w:rPr>
              <w:t>3.07%</w:t>
            </w:r>
          </w:p>
        </w:tc>
        <w:tc>
          <w:tcPr>
            <w:tcW w:w="1012" w:type="dxa"/>
            <w:vAlign w:val="center"/>
          </w:tcPr>
          <w:p w14:paraId="0E0648ED" w14:textId="72BD0A15" w:rsidR="009B7B6C" w:rsidRPr="009B7B6C" w:rsidRDefault="00E36DDD" w:rsidP="009B7B6C">
            <w:pPr>
              <w:jc w:val="center"/>
              <w:rPr>
                <w:sz w:val="18"/>
                <w:szCs w:val="18"/>
              </w:rPr>
            </w:pPr>
            <w:r>
              <w:rPr>
                <w:sz w:val="18"/>
                <w:szCs w:val="18"/>
              </w:rPr>
              <w:t>2.43%</w:t>
            </w:r>
          </w:p>
        </w:tc>
        <w:tc>
          <w:tcPr>
            <w:tcW w:w="1012" w:type="dxa"/>
            <w:vAlign w:val="center"/>
          </w:tcPr>
          <w:p w14:paraId="12C9F34C" w14:textId="7325F941" w:rsidR="009B7B6C" w:rsidRPr="009B7B6C" w:rsidRDefault="00650426" w:rsidP="009B7B6C">
            <w:pPr>
              <w:jc w:val="center"/>
              <w:rPr>
                <w:sz w:val="18"/>
                <w:szCs w:val="18"/>
              </w:rPr>
            </w:pPr>
            <w:r>
              <w:rPr>
                <w:sz w:val="18"/>
                <w:szCs w:val="18"/>
              </w:rPr>
              <w:t>3.16%</w:t>
            </w:r>
          </w:p>
        </w:tc>
      </w:tr>
      <w:tr w:rsidR="009B7B6C" w:rsidRPr="009B7B6C" w14:paraId="52F25435" w14:textId="688760C8" w:rsidTr="009B7B6C">
        <w:tc>
          <w:tcPr>
            <w:tcW w:w="1255" w:type="dxa"/>
            <w:vAlign w:val="center"/>
          </w:tcPr>
          <w:p w14:paraId="2C471935" w14:textId="5DCA3AC0" w:rsidR="009B7B6C" w:rsidRPr="009B7B6C" w:rsidRDefault="009B7B6C" w:rsidP="009B7B6C">
            <w:pPr>
              <w:jc w:val="center"/>
              <w:rPr>
                <w:sz w:val="18"/>
                <w:szCs w:val="18"/>
              </w:rPr>
            </w:pPr>
            <w:proofErr w:type="spellStart"/>
            <w:r w:rsidRPr="009B7B6C">
              <w:rPr>
                <w:sz w:val="18"/>
                <w:szCs w:val="18"/>
              </w:rPr>
              <w:t>Reock</w:t>
            </w:r>
            <w:proofErr w:type="spellEnd"/>
          </w:p>
        </w:tc>
        <w:tc>
          <w:tcPr>
            <w:tcW w:w="1011" w:type="dxa"/>
            <w:vAlign w:val="center"/>
          </w:tcPr>
          <w:p w14:paraId="3E9EDD05" w14:textId="7972B627" w:rsidR="009B7B6C" w:rsidRPr="009B7B6C" w:rsidRDefault="00E36DDD" w:rsidP="009B7B6C">
            <w:pPr>
              <w:jc w:val="center"/>
              <w:rPr>
                <w:sz w:val="18"/>
                <w:szCs w:val="18"/>
              </w:rPr>
            </w:pPr>
            <w:r>
              <w:rPr>
                <w:sz w:val="18"/>
                <w:szCs w:val="18"/>
              </w:rPr>
              <w:t>0.3431</w:t>
            </w:r>
          </w:p>
        </w:tc>
        <w:tc>
          <w:tcPr>
            <w:tcW w:w="1012" w:type="dxa"/>
            <w:vAlign w:val="center"/>
          </w:tcPr>
          <w:p w14:paraId="6F91EFB1" w14:textId="0ADAE443" w:rsidR="009B7B6C" w:rsidRPr="009B7B6C" w:rsidRDefault="009B7B6C" w:rsidP="009B7B6C">
            <w:pPr>
              <w:jc w:val="center"/>
              <w:rPr>
                <w:sz w:val="18"/>
                <w:szCs w:val="18"/>
              </w:rPr>
            </w:pPr>
            <w:r>
              <w:rPr>
                <w:sz w:val="18"/>
                <w:szCs w:val="18"/>
              </w:rPr>
              <w:t>0.3581</w:t>
            </w:r>
          </w:p>
        </w:tc>
        <w:tc>
          <w:tcPr>
            <w:tcW w:w="1012" w:type="dxa"/>
            <w:vAlign w:val="center"/>
          </w:tcPr>
          <w:p w14:paraId="4CA54233" w14:textId="14104437" w:rsidR="009B7B6C" w:rsidRPr="009B7B6C" w:rsidRDefault="009B7B6C" w:rsidP="009B7B6C">
            <w:pPr>
              <w:jc w:val="center"/>
              <w:rPr>
                <w:sz w:val="18"/>
                <w:szCs w:val="18"/>
              </w:rPr>
            </w:pPr>
            <w:r>
              <w:rPr>
                <w:sz w:val="18"/>
                <w:szCs w:val="18"/>
              </w:rPr>
              <w:t>0.3667</w:t>
            </w:r>
          </w:p>
        </w:tc>
        <w:tc>
          <w:tcPr>
            <w:tcW w:w="1012" w:type="dxa"/>
            <w:vAlign w:val="center"/>
          </w:tcPr>
          <w:p w14:paraId="7AE983C1" w14:textId="0D57D816" w:rsidR="009B7B6C" w:rsidRPr="009B7B6C" w:rsidRDefault="009B7B6C" w:rsidP="009B7B6C">
            <w:pPr>
              <w:jc w:val="center"/>
              <w:rPr>
                <w:sz w:val="18"/>
                <w:szCs w:val="18"/>
              </w:rPr>
            </w:pPr>
            <w:r>
              <w:rPr>
                <w:sz w:val="18"/>
                <w:szCs w:val="18"/>
              </w:rPr>
              <w:t>0.3646</w:t>
            </w:r>
          </w:p>
        </w:tc>
        <w:tc>
          <w:tcPr>
            <w:tcW w:w="1012" w:type="dxa"/>
            <w:vAlign w:val="center"/>
          </w:tcPr>
          <w:p w14:paraId="6B706C29" w14:textId="446D19A1" w:rsidR="009B7B6C" w:rsidRPr="009B7B6C" w:rsidRDefault="009B7B6C" w:rsidP="009B7B6C">
            <w:pPr>
              <w:jc w:val="center"/>
              <w:rPr>
                <w:sz w:val="18"/>
                <w:szCs w:val="18"/>
              </w:rPr>
            </w:pPr>
            <w:r>
              <w:rPr>
                <w:sz w:val="18"/>
                <w:szCs w:val="18"/>
              </w:rPr>
              <w:t>0.3755</w:t>
            </w:r>
          </w:p>
        </w:tc>
        <w:tc>
          <w:tcPr>
            <w:tcW w:w="1012" w:type="dxa"/>
            <w:vAlign w:val="center"/>
          </w:tcPr>
          <w:p w14:paraId="41182FC9" w14:textId="77127113" w:rsidR="009B7B6C" w:rsidRPr="009B7B6C" w:rsidRDefault="009B7B6C" w:rsidP="009B7B6C">
            <w:pPr>
              <w:jc w:val="center"/>
              <w:rPr>
                <w:sz w:val="18"/>
                <w:szCs w:val="18"/>
              </w:rPr>
            </w:pPr>
            <w:r>
              <w:rPr>
                <w:sz w:val="18"/>
                <w:szCs w:val="18"/>
              </w:rPr>
              <w:t>0.3565</w:t>
            </w:r>
          </w:p>
        </w:tc>
        <w:tc>
          <w:tcPr>
            <w:tcW w:w="1012" w:type="dxa"/>
            <w:vAlign w:val="center"/>
          </w:tcPr>
          <w:p w14:paraId="0237D875" w14:textId="4E47F554" w:rsidR="009B7B6C" w:rsidRPr="009B7B6C" w:rsidRDefault="00E36DDD" w:rsidP="009B7B6C">
            <w:pPr>
              <w:jc w:val="center"/>
              <w:rPr>
                <w:sz w:val="18"/>
                <w:szCs w:val="18"/>
              </w:rPr>
            </w:pPr>
            <w:r>
              <w:rPr>
                <w:sz w:val="18"/>
                <w:szCs w:val="18"/>
              </w:rPr>
              <w:t>0.3670</w:t>
            </w:r>
          </w:p>
        </w:tc>
        <w:tc>
          <w:tcPr>
            <w:tcW w:w="1012" w:type="dxa"/>
            <w:vAlign w:val="center"/>
          </w:tcPr>
          <w:p w14:paraId="2C98BF03" w14:textId="0EB1A6D1" w:rsidR="009B7B6C" w:rsidRPr="009B7B6C" w:rsidRDefault="00650426" w:rsidP="009B7B6C">
            <w:pPr>
              <w:jc w:val="center"/>
              <w:rPr>
                <w:sz w:val="18"/>
                <w:szCs w:val="18"/>
              </w:rPr>
            </w:pPr>
            <w:r w:rsidRPr="00650426">
              <w:rPr>
                <w:sz w:val="18"/>
                <w:szCs w:val="18"/>
              </w:rPr>
              <w:t>0.3495</w:t>
            </w:r>
          </w:p>
        </w:tc>
      </w:tr>
      <w:tr w:rsidR="009B7B6C" w:rsidRPr="009B7B6C" w14:paraId="0DD84CB6" w14:textId="7AE48E35" w:rsidTr="009B7B6C">
        <w:tc>
          <w:tcPr>
            <w:tcW w:w="1255" w:type="dxa"/>
            <w:vAlign w:val="center"/>
          </w:tcPr>
          <w:p w14:paraId="35956413" w14:textId="6EBF23D1" w:rsidR="009B7B6C" w:rsidRPr="009B7B6C" w:rsidRDefault="009B7B6C" w:rsidP="009B7B6C">
            <w:pPr>
              <w:jc w:val="center"/>
              <w:rPr>
                <w:sz w:val="18"/>
                <w:szCs w:val="18"/>
              </w:rPr>
            </w:pPr>
            <w:proofErr w:type="spellStart"/>
            <w:r w:rsidRPr="009B7B6C">
              <w:rPr>
                <w:sz w:val="18"/>
                <w:szCs w:val="18"/>
              </w:rPr>
              <w:t>Polsby</w:t>
            </w:r>
            <w:proofErr w:type="spellEnd"/>
            <w:r w:rsidRPr="009B7B6C">
              <w:rPr>
                <w:sz w:val="18"/>
                <w:szCs w:val="18"/>
              </w:rPr>
              <w:t>-Popper</w:t>
            </w:r>
          </w:p>
        </w:tc>
        <w:tc>
          <w:tcPr>
            <w:tcW w:w="1011" w:type="dxa"/>
            <w:vAlign w:val="center"/>
          </w:tcPr>
          <w:p w14:paraId="3F2CF92E" w14:textId="4AAF6EA2" w:rsidR="009B7B6C" w:rsidRPr="009B7B6C" w:rsidRDefault="00E36DDD" w:rsidP="009B7B6C">
            <w:pPr>
              <w:jc w:val="center"/>
              <w:rPr>
                <w:sz w:val="18"/>
                <w:szCs w:val="18"/>
              </w:rPr>
            </w:pPr>
            <w:r>
              <w:rPr>
                <w:sz w:val="18"/>
                <w:szCs w:val="18"/>
              </w:rPr>
              <w:t>0.2326</w:t>
            </w:r>
          </w:p>
        </w:tc>
        <w:tc>
          <w:tcPr>
            <w:tcW w:w="1012" w:type="dxa"/>
            <w:vAlign w:val="center"/>
          </w:tcPr>
          <w:p w14:paraId="3B60301B" w14:textId="67A7E699" w:rsidR="009B7B6C" w:rsidRPr="009B7B6C" w:rsidRDefault="009B7B6C" w:rsidP="009B7B6C">
            <w:pPr>
              <w:jc w:val="center"/>
              <w:rPr>
                <w:sz w:val="18"/>
                <w:szCs w:val="18"/>
              </w:rPr>
            </w:pPr>
            <w:r>
              <w:rPr>
                <w:sz w:val="18"/>
                <w:szCs w:val="18"/>
              </w:rPr>
              <w:t>0.2567</w:t>
            </w:r>
          </w:p>
        </w:tc>
        <w:tc>
          <w:tcPr>
            <w:tcW w:w="1012" w:type="dxa"/>
            <w:vAlign w:val="center"/>
          </w:tcPr>
          <w:p w14:paraId="74223FD7" w14:textId="2845D931" w:rsidR="009B7B6C" w:rsidRPr="009B7B6C" w:rsidRDefault="009B7B6C" w:rsidP="009B7B6C">
            <w:pPr>
              <w:jc w:val="center"/>
              <w:rPr>
                <w:sz w:val="18"/>
                <w:szCs w:val="18"/>
              </w:rPr>
            </w:pPr>
            <w:r>
              <w:rPr>
                <w:sz w:val="18"/>
                <w:szCs w:val="18"/>
              </w:rPr>
              <w:t>0.2696</w:t>
            </w:r>
          </w:p>
        </w:tc>
        <w:tc>
          <w:tcPr>
            <w:tcW w:w="1012" w:type="dxa"/>
            <w:vAlign w:val="center"/>
          </w:tcPr>
          <w:p w14:paraId="60F8189C" w14:textId="5A6A0E37" w:rsidR="009B7B6C" w:rsidRPr="009B7B6C" w:rsidRDefault="009B7B6C" w:rsidP="009B7B6C">
            <w:pPr>
              <w:jc w:val="center"/>
              <w:rPr>
                <w:sz w:val="18"/>
                <w:szCs w:val="18"/>
              </w:rPr>
            </w:pPr>
            <w:r>
              <w:rPr>
                <w:sz w:val="18"/>
                <w:szCs w:val="18"/>
              </w:rPr>
              <w:t>0.2674</w:t>
            </w:r>
          </w:p>
        </w:tc>
        <w:tc>
          <w:tcPr>
            <w:tcW w:w="1012" w:type="dxa"/>
            <w:vAlign w:val="center"/>
          </w:tcPr>
          <w:p w14:paraId="28D4FC1A" w14:textId="18AA12E6" w:rsidR="009B7B6C" w:rsidRPr="009B7B6C" w:rsidRDefault="009B7B6C" w:rsidP="009B7B6C">
            <w:pPr>
              <w:jc w:val="center"/>
              <w:rPr>
                <w:sz w:val="18"/>
                <w:szCs w:val="18"/>
              </w:rPr>
            </w:pPr>
            <w:r>
              <w:rPr>
                <w:sz w:val="18"/>
                <w:szCs w:val="18"/>
              </w:rPr>
              <w:t>0.2652</w:t>
            </w:r>
          </w:p>
        </w:tc>
        <w:tc>
          <w:tcPr>
            <w:tcW w:w="1012" w:type="dxa"/>
            <w:vAlign w:val="center"/>
          </w:tcPr>
          <w:p w14:paraId="647D2F3E" w14:textId="021812FD" w:rsidR="009B7B6C" w:rsidRPr="009B7B6C" w:rsidRDefault="009B7B6C" w:rsidP="009B7B6C">
            <w:pPr>
              <w:jc w:val="center"/>
              <w:rPr>
                <w:sz w:val="18"/>
                <w:szCs w:val="18"/>
              </w:rPr>
            </w:pPr>
            <w:r>
              <w:rPr>
                <w:sz w:val="18"/>
                <w:szCs w:val="18"/>
              </w:rPr>
              <w:t>0.2543</w:t>
            </w:r>
          </w:p>
        </w:tc>
        <w:tc>
          <w:tcPr>
            <w:tcW w:w="1012" w:type="dxa"/>
            <w:vAlign w:val="center"/>
          </w:tcPr>
          <w:p w14:paraId="1223B727" w14:textId="63FABA39" w:rsidR="009B7B6C" w:rsidRPr="009B7B6C" w:rsidRDefault="00E36DDD" w:rsidP="009B7B6C">
            <w:pPr>
              <w:jc w:val="center"/>
              <w:rPr>
                <w:sz w:val="18"/>
                <w:szCs w:val="18"/>
              </w:rPr>
            </w:pPr>
            <w:r>
              <w:rPr>
                <w:sz w:val="18"/>
                <w:szCs w:val="18"/>
              </w:rPr>
              <w:t>0.2672</w:t>
            </w:r>
          </w:p>
        </w:tc>
        <w:tc>
          <w:tcPr>
            <w:tcW w:w="1012" w:type="dxa"/>
            <w:vAlign w:val="center"/>
          </w:tcPr>
          <w:p w14:paraId="2D308955" w14:textId="58B2CFE2" w:rsidR="009B7B6C" w:rsidRPr="009B7B6C" w:rsidRDefault="00650426" w:rsidP="009B7B6C">
            <w:pPr>
              <w:jc w:val="center"/>
              <w:rPr>
                <w:sz w:val="18"/>
                <w:szCs w:val="18"/>
              </w:rPr>
            </w:pPr>
            <w:r w:rsidRPr="00650426">
              <w:rPr>
                <w:sz w:val="18"/>
                <w:szCs w:val="18"/>
              </w:rPr>
              <w:t>0.246</w:t>
            </w:r>
            <w:r>
              <w:rPr>
                <w:sz w:val="18"/>
                <w:szCs w:val="18"/>
              </w:rPr>
              <w:t>7</w:t>
            </w:r>
          </w:p>
        </w:tc>
      </w:tr>
      <w:tr w:rsidR="009B7B6C" w:rsidRPr="009B7B6C" w14:paraId="2393B6EF" w14:textId="3A1141F1" w:rsidTr="009B7B6C">
        <w:tc>
          <w:tcPr>
            <w:tcW w:w="1255" w:type="dxa"/>
            <w:vAlign w:val="center"/>
          </w:tcPr>
          <w:p w14:paraId="3E039EBC" w14:textId="201306F0" w:rsidR="009B7B6C" w:rsidRPr="009B7B6C" w:rsidRDefault="009B7B6C" w:rsidP="009B7B6C">
            <w:pPr>
              <w:jc w:val="center"/>
              <w:rPr>
                <w:sz w:val="18"/>
                <w:szCs w:val="18"/>
              </w:rPr>
            </w:pPr>
            <w:r w:rsidRPr="009B7B6C">
              <w:rPr>
                <w:sz w:val="18"/>
                <w:szCs w:val="18"/>
              </w:rPr>
              <w:t>Core Retention</w:t>
            </w:r>
            <w:r w:rsidR="00366508">
              <w:rPr>
                <w:rStyle w:val="FootnoteReference"/>
                <w:sz w:val="18"/>
                <w:szCs w:val="18"/>
              </w:rPr>
              <w:footnoteReference w:id="13"/>
            </w:r>
          </w:p>
        </w:tc>
        <w:tc>
          <w:tcPr>
            <w:tcW w:w="1011" w:type="dxa"/>
            <w:vAlign w:val="center"/>
          </w:tcPr>
          <w:p w14:paraId="2BED6A1D" w14:textId="1251B324" w:rsidR="009B7B6C" w:rsidRPr="009B7B6C" w:rsidRDefault="00EB021E" w:rsidP="009B7B6C">
            <w:pPr>
              <w:jc w:val="center"/>
              <w:rPr>
                <w:sz w:val="18"/>
                <w:szCs w:val="18"/>
              </w:rPr>
            </w:pPr>
            <w:r>
              <w:rPr>
                <w:sz w:val="18"/>
                <w:szCs w:val="18"/>
              </w:rPr>
              <w:t>80.1%</w:t>
            </w:r>
          </w:p>
        </w:tc>
        <w:tc>
          <w:tcPr>
            <w:tcW w:w="1012" w:type="dxa"/>
            <w:vAlign w:val="center"/>
          </w:tcPr>
          <w:p w14:paraId="4E0CAFE1" w14:textId="5A76488F" w:rsidR="009B7B6C" w:rsidRPr="009B7B6C" w:rsidRDefault="00EB021E" w:rsidP="009B7B6C">
            <w:pPr>
              <w:jc w:val="center"/>
              <w:rPr>
                <w:sz w:val="18"/>
                <w:szCs w:val="18"/>
              </w:rPr>
            </w:pPr>
            <w:r>
              <w:rPr>
                <w:sz w:val="18"/>
                <w:szCs w:val="18"/>
              </w:rPr>
              <w:t>71.5%</w:t>
            </w:r>
          </w:p>
        </w:tc>
        <w:tc>
          <w:tcPr>
            <w:tcW w:w="1012" w:type="dxa"/>
            <w:vAlign w:val="center"/>
          </w:tcPr>
          <w:p w14:paraId="57C4204E" w14:textId="115A73A8" w:rsidR="009B7B6C" w:rsidRPr="009B7B6C" w:rsidRDefault="00EB021E" w:rsidP="009B7B6C">
            <w:pPr>
              <w:jc w:val="center"/>
              <w:rPr>
                <w:sz w:val="18"/>
                <w:szCs w:val="18"/>
              </w:rPr>
            </w:pPr>
            <w:r>
              <w:rPr>
                <w:sz w:val="18"/>
                <w:szCs w:val="18"/>
              </w:rPr>
              <w:t>69.2%</w:t>
            </w:r>
          </w:p>
        </w:tc>
        <w:tc>
          <w:tcPr>
            <w:tcW w:w="1012" w:type="dxa"/>
            <w:vAlign w:val="center"/>
          </w:tcPr>
          <w:p w14:paraId="1A183AD0" w14:textId="39E4A660" w:rsidR="009B7B6C" w:rsidRPr="009B7B6C" w:rsidRDefault="00EB021E" w:rsidP="009B7B6C">
            <w:pPr>
              <w:jc w:val="center"/>
              <w:rPr>
                <w:sz w:val="18"/>
                <w:szCs w:val="18"/>
              </w:rPr>
            </w:pPr>
            <w:r>
              <w:rPr>
                <w:sz w:val="18"/>
                <w:szCs w:val="18"/>
              </w:rPr>
              <w:t>70.6%</w:t>
            </w:r>
          </w:p>
        </w:tc>
        <w:tc>
          <w:tcPr>
            <w:tcW w:w="1012" w:type="dxa"/>
            <w:vAlign w:val="center"/>
          </w:tcPr>
          <w:p w14:paraId="2E94F54F" w14:textId="38E51A6A" w:rsidR="009B7B6C" w:rsidRPr="009B7B6C" w:rsidRDefault="00EB021E" w:rsidP="009B7B6C">
            <w:pPr>
              <w:jc w:val="center"/>
              <w:rPr>
                <w:sz w:val="18"/>
                <w:szCs w:val="18"/>
              </w:rPr>
            </w:pPr>
            <w:r>
              <w:rPr>
                <w:sz w:val="18"/>
                <w:szCs w:val="18"/>
              </w:rPr>
              <w:t>67.9%</w:t>
            </w:r>
          </w:p>
        </w:tc>
        <w:tc>
          <w:tcPr>
            <w:tcW w:w="1012" w:type="dxa"/>
            <w:vAlign w:val="center"/>
          </w:tcPr>
          <w:p w14:paraId="23D8BEA4" w14:textId="283F6316" w:rsidR="009B7B6C" w:rsidRPr="009B7B6C" w:rsidRDefault="00EB021E" w:rsidP="009B7B6C">
            <w:pPr>
              <w:jc w:val="center"/>
              <w:rPr>
                <w:sz w:val="18"/>
                <w:szCs w:val="18"/>
              </w:rPr>
            </w:pPr>
            <w:r>
              <w:rPr>
                <w:sz w:val="18"/>
                <w:szCs w:val="18"/>
              </w:rPr>
              <w:t>73.7%</w:t>
            </w:r>
          </w:p>
        </w:tc>
        <w:tc>
          <w:tcPr>
            <w:tcW w:w="1012" w:type="dxa"/>
            <w:vAlign w:val="center"/>
          </w:tcPr>
          <w:p w14:paraId="5A782DC5" w14:textId="794C5A27" w:rsidR="009B7B6C" w:rsidRPr="009B7B6C" w:rsidRDefault="00E36DDD" w:rsidP="009B7B6C">
            <w:pPr>
              <w:jc w:val="center"/>
              <w:rPr>
                <w:sz w:val="18"/>
                <w:szCs w:val="18"/>
              </w:rPr>
            </w:pPr>
            <w:r>
              <w:rPr>
                <w:sz w:val="18"/>
                <w:szCs w:val="18"/>
              </w:rPr>
              <w:t>70.5%</w:t>
            </w:r>
          </w:p>
        </w:tc>
        <w:tc>
          <w:tcPr>
            <w:tcW w:w="1012" w:type="dxa"/>
            <w:vAlign w:val="center"/>
          </w:tcPr>
          <w:p w14:paraId="431BA001" w14:textId="0217F666" w:rsidR="009B7B6C" w:rsidRPr="009B7B6C" w:rsidRDefault="00650426" w:rsidP="009B7B6C">
            <w:pPr>
              <w:jc w:val="center"/>
              <w:rPr>
                <w:sz w:val="18"/>
                <w:szCs w:val="18"/>
              </w:rPr>
            </w:pPr>
            <w:r>
              <w:rPr>
                <w:sz w:val="18"/>
                <w:szCs w:val="18"/>
              </w:rPr>
              <w:t>80.1%</w:t>
            </w:r>
          </w:p>
        </w:tc>
      </w:tr>
      <w:tr w:rsidR="009B7B6C" w:rsidRPr="009B7B6C" w14:paraId="5E2D1DC3" w14:textId="15D61DF5" w:rsidTr="009B7B6C">
        <w:tc>
          <w:tcPr>
            <w:tcW w:w="1255" w:type="dxa"/>
            <w:vAlign w:val="center"/>
          </w:tcPr>
          <w:p w14:paraId="74DDC37E" w14:textId="40C74BF7" w:rsidR="009B7B6C" w:rsidRPr="009B7B6C" w:rsidRDefault="00650426" w:rsidP="009B7B6C">
            <w:pPr>
              <w:jc w:val="center"/>
              <w:rPr>
                <w:sz w:val="18"/>
                <w:szCs w:val="18"/>
              </w:rPr>
            </w:pPr>
            <w:r>
              <w:rPr>
                <w:sz w:val="18"/>
                <w:szCs w:val="18"/>
              </w:rPr>
              <w:t>Paired Incumbents</w:t>
            </w:r>
            <w:r w:rsidR="00992FDE">
              <w:rPr>
                <w:rStyle w:val="FootnoteReference"/>
                <w:sz w:val="18"/>
                <w:szCs w:val="18"/>
              </w:rPr>
              <w:footnoteReference w:id="14"/>
            </w:r>
          </w:p>
        </w:tc>
        <w:tc>
          <w:tcPr>
            <w:tcW w:w="1011" w:type="dxa"/>
            <w:vAlign w:val="center"/>
          </w:tcPr>
          <w:p w14:paraId="7AA19C5A" w14:textId="1C77ED36" w:rsidR="009B7B6C" w:rsidRPr="009B7B6C" w:rsidRDefault="00992FDE" w:rsidP="009B7B6C">
            <w:pPr>
              <w:jc w:val="center"/>
              <w:rPr>
                <w:sz w:val="18"/>
                <w:szCs w:val="18"/>
              </w:rPr>
            </w:pPr>
            <w:r>
              <w:rPr>
                <w:sz w:val="18"/>
                <w:szCs w:val="18"/>
              </w:rPr>
              <w:t>6</w:t>
            </w:r>
          </w:p>
        </w:tc>
        <w:tc>
          <w:tcPr>
            <w:tcW w:w="1012" w:type="dxa"/>
            <w:vAlign w:val="center"/>
          </w:tcPr>
          <w:p w14:paraId="24F811F9" w14:textId="401010D0" w:rsidR="009B7B6C" w:rsidRPr="009B7B6C" w:rsidRDefault="00992FDE" w:rsidP="009B7B6C">
            <w:pPr>
              <w:jc w:val="center"/>
              <w:rPr>
                <w:sz w:val="18"/>
                <w:szCs w:val="18"/>
              </w:rPr>
            </w:pPr>
            <w:r>
              <w:rPr>
                <w:sz w:val="18"/>
                <w:szCs w:val="18"/>
              </w:rPr>
              <w:t>16</w:t>
            </w:r>
          </w:p>
        </w:tc>
        <w:tc>
          <w:tcPr>
            <w:tcW w:w="1012" w:type="dxa"/>
            <w:vAlign w:val="center"/>
          </w:tcPr>
          <w:p w14:paraId="5BD638E0" w14:textId="1998555D" w:rsidR="009B7B6C" w:rsidRPr="009B7B6C" w:rsidRDefault="00992FDE" w:rsidP="009B7B6C">
            <w:pPr>
              <w:jc w:val="center"/>
              <w:rPr>
                <w:sz w:val="18"/>
                <w:szCs w:val="18"/>
              </w:rPr>
            </w:pPr>
            <w:r>
              <w:rPr>
                <w:sz w:val="18"/>
                <w:szCs w:val="18"/>
              </w:rPr>
              <w:t>24</w:t>
            </w:r>
          </w:p>
        </w:tc>
        <w:tc>
          <w:tcPr>
            <w:tcW w:w="1012" w:type="dxa"/>
            <w:vAlign w:val="center"/>
          </w:tcPr>
          <w:p w14:paraId="4450C4CA" w14:textId="62493066" w:rsidR="009B7B6C" w:rsidRPr="009B7B6C" w:rsidRDefault="00992FDE" w:rsidP="009B7B6C">
            <w:pPr>
              <w:jc w:val="center"/>
              <w:rPr>
                <w:sz w:val="18"/>
                <w:szCs w:val="18"/>
              </w:rPr>
            </w:pPr>
            <w:r>
              <w:rPr>
                <w:sz w:val="18"/>
                <w:szCs w:val="18"/>
              </w:rPr>
              <w:t>20</w:t>
            </w:r>
          </w:p>
        </w:tc>
        <w:tc>
          <w:tcPr>
            <w:tcW w:w="1012" w:type="dxa"/>
            <w:vAlign w:val="center"/>
          </w:tcPr>
          <w:p w14:paraId="699A43EF" w14:textId="2723384D" w:rsidR="009B7B6C" w:rsidRPr="009B7B6C" w:rsidRDefault="00992FDE" w:rsidP="009B7B6C">
            <w:pPr>
              <w:jc w:val="center"/>
              <w:rPr>
                <w:sz w:val="18"/>
                <w:szCs w:val="18"/>
              </w:rPr>
            </w:pPr>
            <w:r>
              <w:rPr>
                <w:sz w:val="18"/>
                <w:szCs w:val="18"/>
              </w:rPr>
              <w:t>21</w:t>
            </w:r>
          </w:p>
        </w:tc>
        <w:tc>
          <w:tcPr>
            <w:tcW w:w="1012" w:type="dxa"/>
            <w:vAlign w:val="center"/>
          </w:tcPr>
          <w:p w14:paraId="6F45B956" w14:textId="565E2253" w:rsidR="009B7B6C" w:rsidRPr="009B7B6C" w:rsidRDefault="00992FDE" w:rsidP="009B7B6C">
            <w:pPr>
              <w:jc w:val="center"/>
              <w:rPr>
                <w:sz w:val="18"/>
                <w:szCs w:val="18"/>
              </w:rPr>
            </w:pPr>
            <w:r>
              <w:rPr>
                <w:sz w:val="18"/>
                <w:szCs w:val="18"/>
              </w:rPr>
              <w:t>15</w:t>
            </w:r>
          </w:p>
        </w:tc>
        <w:tc>
          <w:tcPr>
            <w:tcW w:w="1012" w:type="dxa"/>
            <w:vAlign w:val="center"/>
          </w:tcPr>
          <w:p w14:paraId="1B7C596F" w14:textId="047EA955" w:rsidR="009B7B6C" w:rsidRPr="009B7B6C" w:rsidRDefault="00697030" w:rsidP="009B7B6C">
            <w:pPr>
              <w:jc w:val="center"/>
              <w:rPr>
                <w:sz w:val="18"/>
                <w:szCs w:val="18"/>
              </w:rPr>
            </w:pPr>
            <w:r>
              <w:rPr>
                <w:sz w:val="18"/>
                <w:szCs w:val="18"/>
              </w:rPr>
              <w:t>16</w:t>
            </w:r>
          </w:p>
        </w:tc>
        <w:tc>
          <w:tcPr>
            <w:tcW w:w="1012" w:type="dxa"/>
            <w:vAlign w:val="center"/>
          </w:tcPr>
          <w:p w14:paraId="52480071" w14:textId="0D33B84B" w:rsidR="009B7B6C" w:rsidRPr="009B7B6C" w:rsidRDefault="00992FDE" w:rsidP="009B7B6C">
            <w:pPr>
              <w:jc w:val="center"/>
              <w:rPr>
                <w:sz w:val="18"/>
                <w:szCs w:val="18"/>
              </w:rPr>
            </w:pPr>
            <w:r>
              <w:rPr>
                <w:sz w:val="18"/>
                <w:szCs w:val="18"/>
              </w:rPr>
              <w:t>6</w:t>
            </w:r>
          </w:p>
        </w:tc>
      </w:tr>
      <w:tr w:rsidR="009B7B6C" w:rsidRPr="009B7B6C" w14:paraId="7D8D8CE2" w14:textId="2F45D0FC" w:rsidTr="009B7B6C">
        <w:tc>
          <w:tcPr>
            <w:tcW w:w="1255" w:type="dxa"/>
            <w:vAlign w:val="center"/>
          </w:tcPr>
          <w:p w14:paraId="03DB97F0" w14:textId="77777777" w:rsidR="009B7B6C" w:rsidRPr="009B7B6C" w:rsidRDefault="009B7B6C" w:rsidP="009B7B6C">
            <w:pPr>
              <w:jc w:val="center"/>
              <w:rPr>
                <w:sz w:val="18"/>
                <w:szCs w:val="18"/>
              </w:rPr>
            </w:pPr>
          </w:p>
        </w:tc>
        <w:tc>
          <w:tcPr>
            <w:tcW w:w="1011" w:type="dxa"/>
            <w:vAlign w:val="center"/>
          </w:tcPr>
          <w:p w14:paraId="1A607A5A" w14:textId="77777777" w:rsidR="009B7B6C" w:rsidRPr="009B7B6C" w:rsidRDefault="009B7B6C" w:rsidP="009B7B6C">
            <w:pPr>
              <w:jc w:val="center"/>
              <w:rPr>
                <w:sz w:val="18"/>
                <w:szCs w:val="18"/>
              </w:rPr>
            </w:pPr>
          </w:p>
        </w:tc>
        <w:tc>
          <w:tcPr>
            <w:tcW w:w="1012" w:type="dxa"/>
            <w:vAlign w:val="center"/>
          </w:tcPr>
          <w:p w14:paraId="02428FF6" w14:textId="77777777" w:rsidR="009B7B6C" w:rsidRPr="009B7B6C" w:rsidRDefault="009B7B6C" w:rsidP="009B7B6C">
            <w:pPr>
              <w:jc w:val="center"/>
              <w:rPr>
                <w:sz w:val="18"/>
                <w:szCs w:val="18"/>
              </w:rPr>
            </w:pPr>
          </w:p>
        </w:tc>
        <w:tc>
          <w:tcPr>
            <w:tcW w:w="1012" w:type="dxa"/>
            <w:vAlign w:val="center"/>
          </w:tcPr>
          <w:p w14:paraId="4E998BDC" w14:textId="77777777" w:rsidR="009B7B6C" w:rsidRPr="009B7B6C" w:rsidRDefault="009B7B6C" w:rsidP="009B7B6C">
            <w:pPr>
              <w:jc w:val="center"/>
              <w:rPr>
                <w:sz w:val="18"/>
                <w:szCs w:val="18"/>
              </w:rPr>
            </w:pPr>
          </w:p>
        </w:tc>
        <w:tc>
          <w:tcPr>
            <w:tcW w:w="1012" w:type="dxa"/>
            <w:vAlign w:val="center"/>
          </w:tcPr>
          <w:p w14:paraId="7397594D" w14:textId="77777777" w:rsidR="009B7B6C" w:rsidRPr="009B7B6C" w:rsidRDefault="009B7B6C" w:rsidP="009B7B6C">
            <w:pPr>
              <w:jc w:val="center"/>
              <w:rPr>
                <w:sz w:val="18"/>
                <w:szCs w:val="18"/>
              </w:rPr>
            </w:pPr>
          </w:p>
        </w:tc>
        <w:tc>
          <w:tcPr>
            <w:tcW w:w="1012" w:type="dxa"/>
            <w:vAlign w:val="center"/>
          </w:tcPr>
          <w:p w14:paraId="1049E2C6" w14:textId="77777777" w:rsidR="009B7B6C" w:rsidRPr="009B7B6C" w:rsidRDefault="009B7B6C" w:rsidP="009B7B6C">
            <w:pPr>
              <w:jc w:val="center"/>
              <w:rPr>
                <w:sz w:val="18"/>
                <w:szCs w:val="18"/>
              </w:rPr>
            </w:pPr>
          </w:p>
        </w:tc>
        <w:tc>
          <w:tcPr>
            <w:tcW w:w="1012" w:type="dxa"/>
            <w:vAlign w:val="center"/>
          </w:tcPr>
          <w:p w14:paraId="28206F75" w14:textId="77777777" w:rsidR="009B7B6C" w:rsidRPr="009B7B6C" w:rsidRDefault="009B7B6C" w:rsidP="009B7B6C">
            <w:pPr>
              <w:jc w:val="center"/>
              <w:rPr>
                <w:sz w:val="18"/>
                <w:szCs w:val="18"/>
              </w:rPr>
            </w:pPr>
          </w:p>
        </w:tc>
        <w:tc>
          <w:tcPr>
            <w:tcW w:w="1012" w:type="dxa"/>
            <w:vAlign w:val="center"/>
          </w:tcPr>
          <w:p w14:paraId="1B1E313F" w14:textId="77777777" w:rsidR="009B7B6C" w:rsidRPr="009B7B6C" w:rsidRDefault="009B7B6C" w:rsidP="009B7B6C">
            <w:pPr>
              <w:jc w:val="center"/>
              <w:rPr>
                <w:sz w:val="18"/>
                <w:szCs w:val="18"/>
              </w:rPr>
            </w:pPr>
          </w:p>
        </w:tc>
        <w:tc>
          <w:tcPr>
            <w:tcW w:w="1012" w:type="dxa"/>
            <w:vAlign w:val="center"/>
          </w:tcPr>
          <w:p w14:paraId="246F1689" w14:textId="77777777" w:rsidR="009B7B6C" w:rsidRPr="009B7B6C" w:rsidRDefault="009B7B6C" w:rsidP="009B7B6C">
            <w:pPr>
              <w:jc w:val="center"/>
              <w:rPr>
                <w:sz w:val="18"/>
                <w:szCs w:val="18"/>
              </w:rPr>
            </w:pPr>
          </w:p>
        </w:tc>
      </w:tr>
    </w:tbl>
    <w:p w14:paraId="0FD7A153" w14:textId="58D349B3" w:rsidR="009B7B6C" w:rsidRDefault="009B7B6C" w:rsidP="00F677AF"/>
    <w:p w14:paraId="3CBF3E4E" w14:textId="0FC60DDB" w:rsidR="00E36DDD" w:rsidRDefault="00E36DDD">
      <w:r>
        <w:br w:type="page"/>
      </w:r>
    </w:p>
    <w:p w14:paraId="3C0E4407" w14:textId="0A54A699" w:rsidR="00E36DDD" w:rsidRDefault="00E36DDD" w:rsidP="00F677AF"/>
    <w:p w14:paraId="6C87FE31" w14:textId="382F89FF" w:rsidR="00E36DDD" w:rsidRDefault="00E36DDD" w:rsidP="00F677AF"/>
    <w:p w14:paraId="12CDE091" w14:textId="08C6A3C9" w:rsidR="00E36DDD" w:rsidRDefault="00E36DDD" w:rsidP="00F677AF"/>
    <w:p w14:paraId="47860CCB" w14:textId="7CA5991D" w:rsidR="00E36DDD" w:rsidRDefault="00E36DDD" w:rsidP="00F677AF"/>
    <w:p w14:paraId="77EFF7C6" w14:textId="4C016C14" w:rsidR="00E36DDD" w:rsidRDefault="00E36DDD" w:rsidP="00F677AF"/>
    <w:p w14:paraId="6D9C0C8F" w14:textId="169ACD3A" w:rsidR="00E36DDD" w:rsidRDefault="00E36DDD" w:rsidP="00F677AF"/>
    <w:p w14:paraId="4BBFE689" w14:textId="1BFC0604" w:rsidR="00E36DDD" w:rsidRDefault="00E36DDD" w:rsidP="00F677AF"/>
    <w:p w14:paraId="2E7F7EAD" w14:textId="77777777" w:rsidR="00E36DDD" w:rsidRDefault="00E36DDD" w:rsidP="00F677AF"/>
    <w:p w14:paraId="78C7737A" w14:textId="16A61512" w:rsidR="00E36DDD" w:rsidRDefault="00E36DDD" w:rsidP="00F677AF"/>
    <w:p w14:paraId="7C830FDA" w14:textId="4343EA6C" w:rsidR="00E36DDD" w:rsidRDefault="00E36DDD" w:rsidP="00E36DDD">
      <w:pPr>
        <w:jc w:val="center"/>
      </w:pPr>
      <w:r>
        <w:t>Appendix A</w:t>
      </w:r>
    </w:p>
    <w:p w14:paraId="1F850AED" w14:textId="4E00E9D5" w:rsidR="00E36DDD" w:rsidRDefault="00E36DDD" w:rsidP="00F677AF"/>
    <w:p w14:paraId="14177203" w14:textId="627DAA90" w:rsidR="00E36DDD" w:rsidRDefault="00E36DDD">
      <w:r>
        <w:br w:type="page"/>
      </w:r>
    </w:p>
    <w:p w14:paraId="0B627F99" w14:textId="77777777" w:rsidR="00E36DDD" w:rsidRDefault="00E36DDD" w:rsidP="00F677AF">
      <w:r>
        <w:lastRenderedPageBreak/>
        <w:t xml:space="preserve">In this Appendix, I provide the data for new illustrative maps 13c, 13d, and 13e. </w:t>
      </w:r>
    </w:p>
    <w:p w14:paraId="2A0AC49B" w14:textId="77777777" w:rsidR="00E36DDD" w:rsidRDefault="00E36DDD" w:rsidP="00F677AF"/>
    <w:p w14:paraId="488B68C2" w14:textId="77777777" w:rsidR="00E36DDD" w:rsidRPr="00F677AF" w:rsidRDefault="00E36DDD" w:rsidP="00F677AF"/>
    <w:sectPr w:rsidR="00E36DDD" w:rsidRPr="00F677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5F7E94" w14:textId="77777777" w:rsidR="00AD163A" w:rsidRDefault="00AD163A" w:rsidP="007F47E0">
      <w:r>
        <w:separator/>
      </w:r>
    </w:p>
  </w:endnote>
  <w:endnote w:type="continuationSeparator" w:id="0">
    <w:p w14:paraId="0EE16E39" w14:textId="77777777" w:rsidR="00AD163A" w:rsidRDefault="00AD163A" w:rsidP="007F47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431CF" w14:textId="77777777" w:rsidR="00AD163A" w:rsidRDefault="00AD163A" w:rsidP="007F47E0">
      <w:r>
        <w:separator/>
      </w:r>
    </w:p>
  </w:footnote>
  <w:footnote w:type="continuationSeparator" w:id="0">
    <w:p w14:paraId="697E15F3" w14:textId="77777777" w:rsidR="00AD163A" w:rsidRDefault="00AD163A" w:rsidP="007F47E0">
      <w:r>
        <w:continuationSeparator/>
      </w:r>
    </w:p>
  </w:footnote>
  <w:footnote w:id="1">
    <w:p w14:paraId="24C89BBD" w14:textId="26FF75E2" w:rsidR="004940D1" w:rsidRDefault="004940D1">
      <w:pPr>
        <w:pStyle w:val="FootnoteText"/>
      </w:pPr>
      <w:r>
        <w:rPr>
          <w:rStyle w:val="FootnoteReference"/>
        </w:rPr>
        <w:footnoteRef/>
      </w:r>
      <w:r>
        <w:t xml:space="preserve"> My qualifications and CV can be found in Appendix B.</w:t>
      </w:r>
    </w:p>
  </w:footnote>
  <w:footnote w:id="2">
    <w:p w14:paraId="452C4585" w14:textId="086ADBCC" w:rsidR="007F47E0" w:rsidRDefault="007F47E0">
      <w:pPr>
        <w:pStyle w:val="FootnoteText"/>
      </w:pPr>
      <w:r>
        <w:rPr>
          <w:rStyle w:val="FootnoteReference"/>
        </w:rPr>
        <w:footnoteRef/>
      </w:r>
      <w:r>
        <w:t xml:space="preserve"> I defined three different ways of counting the number of county splits. I focus on “TN County Splits,” which is the traditional way the state has counted.</w:t>
      </w:r>
    </w:p>
  </w:footnote>
  <w:footnote w:id="3">
    <w:p w14:paraId="6628037A" w14:textId="00B21203" w:rsidR="00EB6C5B" w:rsidRDefault="00EB6C5B">
      <w:pPr>
        <w:pStyle w:val="FootnoteText"/>
      </w:pPr>
      <w:r>
        <w:rPr>
          <w:rStyle w:val="FootnoteReference"/>
        </w:rPr>
        <w:footnoteRef/>
      </w:r>
      <w:r>
        <w:t xml:space="preserve"> </w:t>
      </w:r>
      <w:r w:rsidRPr="00EB6C5B">
        <w:t>Mr. Trende writes “Dr. Cervas does not claim it fails to comply with the Voting Rights Act”</w:t>
      </w:r>
      <w:r>
        <w:t xml:space="preserve"> (</w:t>
      </w:r>
      <w:proofErr w:type="spellStart"/>
      <w:proofErr w:type="gramStart"/>
      <w:r>
        <w:t>Ex.Trende</w:t>
      </w:r>
      <w:proofErr w:type="spellEnd"/>
      <w:proofErr w:type="gramEnd"/>
      <w:r>
        <w:t xml:space="preserve"> at 19).</w:t>
      </w:r>
      <w:r w:rsidRPr="00EB6C5B">
        <w:t xml:space="preserve"> </w:t>
      </w:r>
      <w:r>
        <w:t>Counsel has not</w:t>
      </w:r>
      <w:r w:rsidRPr="00EB6C5B">
        <w:t xml:space="preserve"> asked to opine on whether the enacted plan complies with the Voting Rights Act</w:t>
      </w:r>
      <w:r>
        <w:t>, and I do not offer an opinion here on that issue.</w:t>
      </w:r>
    </w:p>
  </w:footnote>
  <w:footnote w:id="4">
    <w:p w14:paraId="0B54356E" w14:textId="36DAB9C1" w:rsidR="00635FB3" w:rsidRDefault="00635FB3">
      <w:pPr>
        <w:pStyle w:val="FootnoteText"/>
      </w:pPr>
      <w:r>
        <w:rPr>
          <w:rStyle w:val="FootnoteReference"/>
        </w:rPr>
        <w:footnoteRef/>
      </w:r>
      <w:r>
        <w:t xml:space="preserve"> </w:t>
      </w:r>
      <w:r w:rsidRPr="00635FB3">
        <w:t xml:space="preserve">District 80 in the enacted plan contains parts of three counties, and none of them remain whole. The result of this is another forced split of Tipton County, which itself forces Lauderdale County to be split. In comparison, Map 13b only splits Haywood and Madison County. And it accomplishes this while still complying with the Voting Rights Act (see </w:t>
      </w:r>
      <w:proofErr w:type="spellStart"/>
      <w:proofErr w:type="gramStart"/>
      <w:r w:rsidRPr="00635FB3">
        <w:t>Ex.Trende</w:t>
      </w:r>
      <w:proofErr w:type="spellEnd"/>
      <w:proofErr w:type="gramEnd"/>
      <w:r w:rsidRPr="00635FB3">
        <w:t xml:space="preserve"> at 12).</w:t>
      </w:r>
    </w:p>
  </w:footnote>
  <w:footnote w:id="5">
    <w:p w14:paraId="224204B4" w14:textId="2691B521" w:rsidR="00E5540E" w:rsidRDefault="00E5540E">
      <w:pPr>
        <w:pStyle w:val="FootnoteText"/>
      </w:pPr>
      <w:r>
        <w:rPr>
          <w:rStyle w:val="FootnoteReference"/>
        </w:rPr>
        <w:footnoteRef/>
      </w:r>
      <w:r>
        <w:t xml:space="preserve"> The technical errors all involved zero population census blocks.</w:t>
      </w:r>
    </w:p>
  </w:footnote>
  <w:footnote w:id="6">
    <w:p w14:paraId="10F66F4D" w14:textId="101C3204" w:rsidR="00E36DDD" w:rsidRPr="00E36DDD" w:rsidRDefault="00E36DDD" w:rsidP="00E36DDD">
      <w:pPr>
        <w:rPr>
          <w:sz w:val="20"/>
          <w:szCs w:val="20"/>
        </w:rPr>
      </w:pPr>
      <w:r w:rsidRPr="00E36DDD">
        <w:rPr>
          <w:rStyle w:val="FootnoteReference"/>
          <w:sz w:val="20"/>
          <w:szCs w:val="20"/>
        </w:rPr>
        <w:footnoteRef/>
      </w:r>
      <w:r w:rsidRPr="00E36DDD">
        <w:rPr>
          <w:sz w:val="20"/>
          <w:szCs w:val="20"/>
        </w:rPr>
        <w:t xml:space="preserve"> 13b_erratum: </w:t>
      </w:r>
      <w:hyperlink r:id="rId1" w:history="1">
        <w:r w:rsidRPr="00E36DDD">
          <w:rPr>
            <w:rStyle w:val="Hyperlink"/>
            <w:sz w:val="20"/>
            <w:szCs w:val="20"/>
          </w:rPr>
          <w:t>https://davesredistricting.org/join/89ad33c8-2e87-492b-ba8b-e2ade60734b4</w:t>
        </w:r>
      </w:hyperlink>
    </w:p>
  </w:footnote>
  <w:footnote w:id="7">
    <w:p w14:paraId="5AD58A80" w14:textId="5C3298B9" w:rsidR="00E36DDD" w:rsidRDefault="00E36DDD">
      <w:pPr>
        <w:pStyle w:val="FootnoteText"/>
      </w:pPr>
      <w:r>
        <w:rPr>
          <w:rStyle w:val="FootnoteReference"/>
        </w:rPr>
        <w:footnoteRef/>
      </w:r>
      <w:r>
        <w:t xml:space="preserve"> </w:t>
      </w:r>
      <w:r w:rsidRPr="00E36DDD">
        <w:t xml:space="preserve">14a_erratum: </w:t>
      </w:r>
      <w:hyperlink r:id="rId2" w:history="1">
        <w:r w:rsidRPr="00E36DDD">
          <w:rPr>
            <w:rStyle w:val="Hyperlink"/>
          </w:rPr>
          <w:t>https://davesredistricting.org/join/388b6a2e-df40-4799-a85b-370a0e331b6b</w:t>
        </w:r>
      </w:hyperlink>
    </w:p>
  </w:footnote>
  <w:footnote w:id="8">
    <w:p w14:paraId="7BF3E3AD" w14:textId="275CE851" w:rsidR="00E36DDD" w:rsidRPr="00E36DDD" w:rsidRDefault="00E36DDD" w:rsidP="00E36DDD">
      <w:pPr>
        <w:rPr>
          <w:sz w:val="20"/>
          <w:szCs w:val="20"/>
        </w:rPr>
      </w:pPr>
      <w:r w:rsidRPr="00E36DDD">
        <w:rPr>
          <w:rStyle w:val="FootnoteReference"/>
          <w:sz w:val="20"/>
          <w:szCs w:val="20"/>
        </w:rPr>
        <w:footnoteRef/>
      </w:r>
      <w:r w:rsidRPr="00E36DDD">
        <w:rPr>
          <w:sz w:val="20"/>
          <w:szCs w:val="20"/>
        </w:rPr>
        <w:t xml:space="preserve"> 13.5a_erratum: </w:t>
      </w:r>
      <w:hyperlink r:id="rId3" w:history="1">
        <w:r w:rsidRPr="00E36DDD">
          <w:rPr>
            <w:rStyle w:val="Hyperlink"/>
            <w:sz w:val="20"/>
            <w:szCs w:val="20"/>
          </w:rPr>
          <w:t>https://davesredistricting.org/join/8ba9a5dd-904c-4290-a87d-0da3a677c3f7</w:t>
        </w:r>
      </w:hyperlink>
    </w:p>
  </w:footnote>
  <w:footnote w:id="9">
    <w:p w14:paraId="56B94A6A" w14:textId="1CE20EC2" w:rsidR="00E36DDD" w:rsidRDefault="00E36DDD">
      <w:pPr>
        <w:pStyle w:val="FootnoteText"/>
      </w:pPr>
      <w:r>
        <w:rPr>
          <w:rStyle w:val="FootnoteReference"/>
        </w:rPr>
        <w:footnoteRef/>
      </w:r>
      <w:r>
        <w:t xml:space="preserve"> </w:t>
      </w:r>
      <w:r w:rsidRPr="00E36DDD">
        <w:t xml:space="preserve">13.5b_erratum: </w:t>
      </w:r>
      <w:hyperlink r:id="rId4" w:history="1">
        <w:r w:rsidRPr="00E36DDD">
          <w:rPr>
            <w:rStyle w:val="Hyperlink"/>
          </w:rPr>
          <w:t>https://davesredistricting.org/join/5a350341-6ccc-4fd0-a3a4-ca822f11f826</w:t>
        </w:r>
      </w:hyperlink>
    </w:p>
  </w:footnote>
  <w:footnote w:id="10">
    <w:p w14:paraId="02D8A68D" w14:textId="37AC2A4D" w:rsidR="00765C51" w:rsidRDefault="00E36DDD">
      <w:pPr>
        <w:pStyle w:val="FootnoteText"/>
      </w:pPr>
      <w:r>
        <w:rPr>
          <w:rStyle w:val="FootnoteReference"/>
        </w:rPr>
        <w:footnoteRef/>
      </w:r>
      <w:r>
        <w:t xml:space="preserve"> 13c: </w:t>
      </w:r>
      <w:hyperlink r:id="rId5" w:history="1">
        <w:r w:rsidR="00765C51" w:rsidRPr="00765C51">
          <w:rPr>
            <w:rStyle w:val="Hyperlink"/>
          </w:rPr>
          <w:t>https://davesredistricting.org/join/059d4470-683a-41b1-8e5e-34f1d0223cda</w:t>
        </w:r>
      </w:hyperlink>
    </w:p>
  </w:footnote>
  <w:footnote w:id="11">
    <w:p w14:paraId="2FFFA5F9" w14:textId="1BC6D517" w:rsidR="00765C51" w:rsidRDefault="00765C51">
      <w:pPr>
        <w:pStyle w:val="FootnoteText"/>
      </w:pPr>
      <w:r>
        <w:rPr>
          <w:rStyle w:val="FootnoteReference"/>
        </w:rPr>
        <w:footnoteRef/>
      </w:r>
      <w:r>
        <w:t xml:space="preserve"> 13d: </w:t>
      </w:r>
      <w:hyperlink r:id="rId6" w:history="1">
        <w:r w:rsidRPr="00765C51">
          <w:rPr>
            <w:rStyle w:val="Hyperlink"/>
          </w:rPr>
          <w:t>https://davesredistricting.org/join/db53bd36-cba8-4ecf-b29a-904d6c698a09</w:t>
        </w:r>
      </w:hyperlink>
    </w:p>
  </w:footnote>
  <w:footnote w:id="12">
    <w:p w14:paraId="01F338CD" w14:textId="7DFA1EC1" w:rsidR="00146FA9" w:rsidRDefault="00146FA9">
      <w:pPr>
        <w:pStyle w:val="FootnoteText"/>
      </w:pPr>
      <w:r>
        <w:rPr>
          <w:rStyle w:val="FootnoteReference"/>
        </w:rPr>
        <w:footnoteRef/>
      </w:r>
      <w:r>
        <w:t xml:space="preserve"> </w:t>
      </w:r>
      <w:r w:rsidR="000D71F2">
        <w:t xml:space="preserve">13e: </w:t>
      </w:r>
      <w:hyperlink r:id="rId7" w:history="1">
        <w:r w:rsidR="000D71F2" w:rsidRPr="000D71F2">
          <w:rPr>
            <w:rStyle w:val="Hyperlink"/>
          </w:rPr>
          <w:t>https://davesredistricting.org/join/2f8e2348-4f76-4db0-8b07-abbe779d777a</w:t>
        </w:r>
      </w:hyperlink>
    </w:p>
  </w:footnote>
  <w:footnote w:id="13">
    <w:p w14:paraId="14FDD79E" w14:textId="5343B172" w:rsidR="00366508" w:rsidRDefault="00366508">
      <w:pPr>
        <w:pStyle w:val="FootnoteText"/>
      </w:pPr>
      <w:r>
        <w:rPr>
          <w:rStyle w:val="FootnoteReference"/>
        </w:rPr>
        <w:footnoteRef/>
      </w:r>
      <w:r>
        <w:t xml:space="preserve"> Calculated in DRA. Notice trivial differences from what Mr. Trende reports (see </w:t>
      </w:r>
      <w:proofErr w:type="spellStart"/>
      <w:proofErr w:type="gramStart"/>
      <w:r>
        <w:t>Ex.Trende</w:t>
      </w:r>
      <w:proofErr w:type="spellEnd"/>
      <w:proofErr w:type="gramEnd"/>
      <w:r>
        <w:t xml:space="preserve"> at 19), but that the two numbers give largely the same answer. The conclusions are not altered.</w:t>
      </w:r>
    </w:p>
  </w:footnote>
  <w:footnote w:id="14">
    <w:p w14:paraId="38BA184D" w14:textId="78486A21" w:rsidR="00992FDE" w:rsidRDefault="00992FDE">
      <w:pPr>
        <w:pStyle w:val="FootnoteText"/>
      </w:pPr>
      <w:r>
        <w:rPr>
          <w:rStyle w:val="FootnoteReference"/>
        </w:rPr>
        <w:footnoteRef/>
      </w:r>
      <w:r>
        <w:t xml:space="preserve"> Plaintiff’s counsel provided me with a confidential file containing </w:t>
      </w:r>
      <w:r>
        <w:t>incumbent address</w:t>
      </w:r>
      <w:r>
        <w:t>es on November 18, 2022. I used the U.S. Census Bureau’s Geocoder to create a geo-point file. In QGIS, I used the “Count Points in Polygons” function to count the number of paired incumbents.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7E0"/>
    <w:rsid w:val="000D71F2"/>
    <w:rsid w:val="000F27CA"/>
    <w:rsid w:val="00146FA9"/>
    <w:rsid w:val="00355041"/>
    <w:rsid w:val="00366508"/>
    <w:rsid w:val="003933A9"/>
    <w:rsid w:val="004940D1"/>
    <w:rsid w:val="005D0475"/>
    <w:rsid w:val="006226C0"/>
    <w:rsid w:val="00635040"/>
    <w:rsid w:val="00635FB3"/>
    <w:rsid w:val="00650426"/>
    <w:rsid w:val="006540B0"/>
    <w:rsid w:val="00697030"/>
    <w:rsid w:val="00722A1B"/>
    <w:rsid w:val="00765C51"/>
    <w:rsid w:val="007F47E0"/>
    <w:rsid w:val="008A1285"/>
    <w:rsid w:val="00992FDE"/>
    <w:rsid w:val="009B7B6C"/>
    <w:rsid w:val="00A16405"/>
    <w:rsid w:val="00A532A7"/>
    <w:rsid w:val="00AB6FA4"/>
    <w:rsid w:val="00AD163A"/>
    <w:rsid w:val="00B26637"/>
    <w:rsid w:val="00C04154"/>
    <w:rsid w:val="00C44520"/>
    <w:rsid w:val="00D154F8"/>
    <w:rsid w:val="00E36DDD"/>
    <w:rsid w:val="00E5540E"/>
    <w:rsid w:val="00E60630"/>
    <w:rsid w:val="00E64F8A"/>
    <w:rsid w:val="00EB021E"/>
    <w:rsid w:val="00EB6C5B"/>
    <w:rsid w:val="00F677AF"/>
    <w:rsid w:val="00F94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195685"/>
  <w15:chartTrackingRefBased/>
  <w15:docId w15:val="{E6DA2454-F0B7-C749-AD87-83AF48F76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27C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47E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47E0"/>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7F47E0"/>
    <w:rPr>
      <w:sz w:val="20"/>
      <w:szCs w:val="20"/>
    </w:rPr>
  </w:style>
  <w:style w:type="character" w:customStyle="1" w:styleId="FootnoteTextChar">
    <w:name w:val="Footnote Text Char"/>
    <w:basedOn w:val="DefaultParagraphFont"/>
    <w:link w:val="FootnoteText"/>
    <w:uiPriority w:val="99"/>
    <w:semiHidden/>
    <w:rsid w:val="007F47E0"/>
    <w:rPr>
      <w:sz w:val="20"/>
      <w:szCs w:val="20"/>
    </w:rPr>
  </w:style>
  <w:style w:type="character" w:styleId="FootnoteReference">
    <w:name w:val="footnote reference"/>
    <w:basedOn w:val="DefaultParagraphFont"/>
    <w:uiPriority w:val="99"/>
    <w:semiHidden/>
    <w:unhideWhenUsed/>
    <w:rsid w:val="007F47E0"/>
    <w:rPr>
      <w:vertAlign w:val="superscript"/>
    </w:rPr>
  </w:style>
  <w:style w:type="character" w:customStyle="1" w:styleId="Heading1Char">
    <w:name w:val="Heading 1 Char"/>
    <w:basedOn w:val="DefaultParagraphFont"/>
    <w:link w:val="Heading1"/>
    <w:uiPriority w:val="9"/>
    <w:rsid w:val="000F27CA"/>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6540B0"/>
    <w:rPr>
      <w:rFonts w:ascii="Times New Roman" w:hAnsi="Times New Roman" w:cs="Times New Roman"/>
    </w:rPr>
  </w:style>
  <w:style w:type="table" w:styleId="TableGrid">
    <w:name w:val="Table Grid"/>
    <w:basedOn w:val="TableNormal"/>
    <w:uiPriority w:val="39"/>
    <w:rsid w:val="009B7B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36DDD"/>
    <w:rPr>
      <w:color w:val="0563C1" w:themeColor="hyperlink"/>
      <w:u w:val="single"/>
    </w:rPr>
  </w:style>
  <w:style w:type="character" w:styleId="UnresolvedMention">
    <w:name w:val="Unresolved Mention"/>
    <w:basedOn w:val="DefaultParagraphFont"/>
    <w:uiPriority w:val="99"/>
    <w:semiHidden/>
    <w:unhideWhenUsed/>
    <w:rsid w:val="00E36DDD"/>
    <w:rPr>
      <w:color w:val="605E5C"/>
      <w:shd w:val="clear" w:color="auto" w:fill="E1DFDD"/>
    </w:rPr>
  </w:style>
  <w:style w:type="character" w:styleId="FollowedHyperlink">
    <w:name w:val="FollowedHyperlink"/>
    <w:basedOn w:val="DefaultParagraphFont"/>
    <w:uiPriority w:val="99"/>
    <w:semiHidden/>
    <w:unhideWhenUsed/>
    <w:rsid w:val="00765C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81769">
      <w:bodyDiv w:val="1"/>
      <w:marLeft w:val="0"/>
      <w:marRight w:val="0"/>
      <w:marTop w:val="0"/>
      <w:marBottom w:val="0"/>
      <w:divBdr>
        <w:top w:val="none" w:sz="0" w:space="0" w:color="auto"/>
        <w:left w:val="none" w:sz="0" w:space="0" w:color="auto"/>
        <w:bottom w:val="none" w:sz="0" w:space="0" w:color="auto"/>
        <w:right w:val="none" w:sz="0" w:space="0" w:color="auto"/>
      </w:divBdr>
      <w:divsChild>
        <w:div w:id="243301351">
          <w:marLeft w:val="0"/>
          <w:marRight w:val="0"/>
          <w:marTop w:val="0"/>
          <w:marBottom w:val="0"/>
          <w:divBdr>
            <w:top w:val="none" w:sz="0" w:space="0" w:color="auto"/>
            <w:left w:val="none" w:sz="0" w:space="0" w:color="auto"/>
            <w:bottom w:val="none" w:sz="0" w:space="0" w:color="auto"/>
            <w:right w:val="none" w:sz="0" w:space="0" w:color="auto"/>
          </w:divBdr>
          <w:divsChild>
            <w:div w:id="977685099">
              <w:marLeft w:val="0"/>
              <w:marRight w:val="0"/>
              <w:marTop w:val="0"/>
              <w:marBottom w:val="0"/>
              <w:divBdr>
                <w:top w:val="none" w:sz="0" w:space="0" w:color="auto"/>
                <w:left w:val="none" w:sz="0" w:space="0" w:color="auto"/>
                <w:bottom w:val="none" w:sz="0" w:space="0" w:color="auto"/>
                <w:right w:val="none" w:sz="0" w:space="0" w:color="auto"/>
              </w:divBdr>
              <w:divsChild>
                <w:div w:id="78292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33416">
      <w:bodyDiv w:val="1"/>
      <w:marLeft w:val="0"/>
      <w:marRight w:val="0"/>
      <w:marTop w:val="0"/>
      <w:marBottom w:val="0"/>
      <w:divBdr>
        <w:top w:val="none" w:sz="0" w:space="0" w:color="auto"/>
        <w:left w:val="none" w:sz="0" w:space="0" w:color="auto"/>
        <w:bottom w:val="none" w:sz="0" w:space="0" w:color="auto"/>
        <w:right w:val="none" w:sz="0" w:space="0" w:color="auto"/>
      </w:divBdr>
      <w:divsChild>
        <w:div w:id="519398204">
          <w:marLeft w:val="0"/>
          <w:marRight w:val="0"/>
          <w:marTop w:val="0"/>
          <w:marBottom w:val="0"/>
          <w:divBdr>
            <w:top w:val="none" w:sz="0" w:space="0" w:color="auto"/>
            <w:left w:val="none" w:sz="0" w:space="0" w:color="auto"/>
            <w:bottom w:val="none" w:sz="0" w:space="0" w:color="auto"/>
            <w:right w:val="none" w:sz="0" w:space="0" w:color="auto"/>
          </w:divBdr>
          <w:divsChild>
            <w:div w:id="1784424108">
              <w:marLeft w:val="0"/>
              <w:marRight w:val="0"/>
              <w:marTop w:val="0"/>
              <w:marBottom w:val="0"/>
              <w:divBdr>
                <w:top w:val="none" w:sz="0" w:space="0" w:color="auto"/>
                <w:left w:val="none" w:sz="0" w:space="0" w:color="auto"/>
                <w:bottom w:val="none" w:sz="0" w:space="0" w:color="auto"/>
                <w:right w:val="none" w:sz="0" w:space="0" w:color="auto"/>
              </w:divBdr>
              <w:divsChild>
                <w:div w:id="43216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026181">
      <w:bodyDiv w:val="1"/>
      <w:marLeft w:val="0"/>
      <w:marRight w:val="0"/>
      <w:marTop w:val="0"/>
      <w:marBottom w:val="0"/>
      <w:divBdr>
        <w:top w:val="none" w:sz="0" w:space="0" w:color="auto"/>
        <w:left w:val="none" w:sz="0" w:space="0" w:color="auto"/>
        <w:bottom w:val="none" w:sz="0" w:space="0" w:color="auto"/>
        <w:right w:val="none" w:sz="0" w:space="0" w:color="auto"/>
      </w:divBdr>
      <w:divsChild>
        <w:div w:id="901670640">
          <w:marLeft w:val="0"/>
          <w:marRight w:val="0"/>
          <w:marTop w:val="0"/>
          <w:marBottom w:val="0"/>
          <w:divBdr>
            <w:top w:val="none" w:sz="0" w:space="0" w:color="auto"/>
            <w:left w:val="none" w:sz="0" w:space="0" w:color="auto"/>
            <w:bottom w:val="none" w:sz="0" w:space="0" w:color="auto"/>
            <w:right w:val="none" w:sz="0" w:space="0" w:color="auto"/>
          </w:divBdr>
          <w:divsChild>
            <w:div w:id="334577633">
              <w:marLeft w:val="0"/>
              <w:marRight w:val="0"/>
              <w:marTop w:val="0"/>
              <w:marBottom w:val="0"/>
              <w:divBdr>
                <w:top w:val="none" w:sz="0" w:space="0" w:color="auto"/>
                <w:left w:val="none" w:sz="0" w:space="0" w:color="auto"/>
                <w:bottom w:val="none" w:sz="0" w:space="0" w:color="auto"/>
                <w:right w:val="none" w:sz="0" w:space="0" w:color="auto"/>
              </w:divBdr>
              <w:divsChild>
                <w:div w:id="123581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100648">
      <w:bodyDiv w:val="1"/>
      <w:marLeft w:val="0"/>
      <w:marRight w:val="0"/>
      <w:marTop w:val="0"/>
      <w:marBottom w:val="0"/>
      <w:divBdr>
        <w:top w:val="none" w:sz="0" w:space="0" w:color="auto"/>
        <w:left w:val="none" w:sz="0" w:space="0" w:color="auto"/>
        <w:bottom w:val="none" w:sz="0" w:space="0" w:color="auto"/>
        <w:right w:val="none" w:sz="0" w:space="0" w:color="auto"/>
      </w:divBdr>
      <w:divsChild>
        <w:div w:id="1633244293">
          <w:marLeft w:val="0"/>
          <w:marRight w:val="0"/>
          <w:marTop w:val="0"/>
          <w:marBottom w:val="0"/>
          <w:divBdr>
            <w:top w:val="none" w:sz="0" w:space="0" w:color="auto"/>
            <w:left w:val="none" w:sz="0" w:space="0" w:color="auto"/>
            <w:bottom w:val="none" w:sz="0" w:space="0" w:color="auto"/>
            <w:right w:val="none" w:sz="0" w:space="0" w:color="auto"/>
          </w:divBdr>
          <w:divsChild>
            <w:div w:id="1687168442">
              <w:marLeft w:val="0"/>
              <w:marRight w:val="0"/>
              <w:marTop w:val="0"/>
              <w:marBottom w:val="0"/>
              <w:divBdr>
                <w:top w:val="none" w:sz="0" w:space="0" w:color="auto"/>
                <w:left w:val="none" w:sz="0" w:space="0" w:color="auto"/>
                <w:bottom w:val="none" w:sz="0" w:space="0" w:color="auto"/>
                <w:right w:val="none" w:sz="0" w:space="0" w:color="auto"/>
              </w:divBdr>
              <w:divsChild>
                <w:div w:id="99896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851481">
      <w:bodyDiv w:val="1"/>
      <w:marLeft w:val="0"/>
      <w:marRight w:val="0"/>
      <w:marTop w:val="0"/>
      <w:marBottom w:val="0"/>
      <w:divBdr>
        <w:top w:val="none" w:sz="0" w:space="0" w:color="auto"/>
        <w:left w:val="none" w:sz="0" w:space="0" w:color="auto"/>
        <w:bottom w:val="none" w:sz="0" w:space="0" w:color="auto"/>
        <w:right w:val="none" w:sz="0" w:space="0" w:color="auto"/>
      </w:divBdr>
      <w:divsChild>
        <w:div w:id="1133868341">
          <w:marLeft w:val="0"/>
          <w:marRight w:val="0"/>
          <w:marTop w:val="0"/>
          <w:marBottom w:val="0"/>
          <w:divBdr>
            <w:top w:val="none" w:sz="0" w:space="0" w:color="auto"/>
            <w:left w:val="none" w:sz="0" w:space="0" w:color="auto"/>
            <w:bottom w:val="none" w:sz="0" w:space="0" w:color="auto"/>
            <w:right w:val="none" w:sz="0" w:space="0" w:color="auto"/>
          </w:divBdr>
          <w:divsChild>
            <w:div w:id="1018308923">
              <w:marLeft w:val="0"/>
              <w:marRight w:val="0"/>
              <w:marTop w:val="0"/>
              <w:marBottom w:val="0"/>
              <w:divBdr>
                <w:top w:val="none" w:sz="0" w:space="0" w:color="auto"/>
                <w:left w:val="none" w:sz="0" w:space="0" w:color="auto"/>
                <w:bottom w:val="none" w:sz="0" w:space="0" w:color="auto"/>
                <w:right w:val="none" w:sz="0" w:space="0" w:color="auto"/>
              </w:divBdr>
              <w:divsChild>
                <w:div w:id="125640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205272">
      <w:bodyDiv w:val="1"/>
      <w:marLeft w:val="0"/>
      <w:marRight w:val="0"/>
      <w:marTop w:val="0"/>
      <w:marBottom w:val="0"/>
      <w:divBdr>
        <w:top w:val="none" w:sz="0" w:space="0" w:color="auto"/>
        <w:left w:val="none" w:sz="0" w:space="0" w:color="auto"/>
        <w:bottom w:val="none" w:sz="0" w:space="0" w:color="auto"/>
        <w:right w:val="none" w:sz="0" w:space="0" w:color="auto"/>
      </w:divBdr>
      <w:divsChild>
        <w:div w:id="942155720">
          <w:marLeft w:val="0"/>
          <w:marRight w:val="0"/>
          <w:marTop w:val="0"/>
          <w:marBottom w:val="0"/>
          <w:divBdr>
            <w:top w:val="none" w:sz="0" w:space="0" w:color="auto"/>
            <w:left w:val="none" w:sz="0" w:space="0" w:color="auto"/>
            <w:bottom w:val="none" w:sz="0" w:space="0" w:color="auto"/>
            <w:right w:val="none" w:sz="0" w:space="0" w:color="auto"/>
          </w:divBdr>
          <w:divsChild>
            <w:div w:id="1991783506">
              <w:marLeft w:val="0"/>
              <w:marRight w:val="0"/>
              <w:marTop w:val="0"/>
              <w:marBottom w:val="0"/>
              <w:divBdr>
                <w:top w:val="none" w:sz="0" w:space="0" w:color="auto"/>
                <w:left w:val="none" w:sz="0" w:space="0" w:color="auto"/>
                <w:bottom w:val="none" w:sz="0" w:space="0" w:color="auto"/>
                <w:right w:val="none" w:sz="0" w:space="0" w:color="auto"/>
              </w:divBdr>
              <w:divsChild>
                <w:div w:id="15272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956963">
      <w:bodyDiv w:val="1"/>
      <w:marLeft w:val="0"/>
      <w:marRight w:val="0"/>
      <w:marTop w:val="0"/>
      <w:marBottom w:val="0"/>
      <w:divBdr>
        <w:top w:val="none" w:sz="0" w:space="0" w:color="auto"/>
        <w:left w:val="none" w:sz="0" w:space="0" w:color="auto"/>
        <w:bottom w:val="none" w:sz="0" w:space="0" w:color="auto"/>
        <w:right w:val="none" w:sz="0" w:space="0" w:color="auto"/>
      </w:divBdr>
      <w:divsChild>
        <w:div w:id="319039755">
          <w:marLeft w:val="0"/>
          <w:marRight w:val="0"/>
          <w:marTop w:val="0"/>
          <w:marBottom w:val="0"/>
          <w:divBdr>
            <w:top w:val="none" w:sz="0" w:space="0" w:color="auto"/>
            <w:left w:val="none" w:sz="0" w:space="0" w:color="auto"/>
            <w:bottom w:val="none" w:sz="0" w:space="0" w:color="auto"/>
            <w:right w:val="none" w:sz="0" w:space="0" w:color="auto"/>
          </w:divBdr>
          <w:divsChild>
            <w:div w:id="653610100">
              <w:marLeft w:val="0"/>
              <w:marRight w:val="0"/>
              <w:marTop w:val="0"/>
              <w:marBottom w:val="0"/>
              <w:divBdr>
                <w:top w:val="none" w:sz="0" w:space="0" w:color="auto"/>
                <w:left w:val="none" w:sz="0" w:space="0" w:color="auto"/>
                <w:bottom w:val="none" w:sz="0" w:space="0" w:color="auto"/>
                <w:right w:val="none" w:sz="0" w:space="0" w:color="auto"/>
              </w:divBdr>
              <w:divsChild>
                <w:div w:id="1725181669">
                  <w:marLeft w:val="0"/>
                  <w:marRight w:val="0"/>
                  <w:marTop w:val="0"/>
                  <w:marBottom w:val="0"/>
                  <w:divBdr>
                    <w:top w:val="none" w:sz="0" w:space="0" w:color="auto"/>
                    <w:left w:val="none" w:sz="0" w:space="0" w:color="auto"/>
                    <w:bottom w:val="none" w:sz="0" w:space="0" w:color="auto"/>
                    <w:right w:val="none" w:sz="0" w:space="0" w:color="auto"/>
                  </w:divBdr>
                  <w:divsChild>
                    <w:div w:id="51480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105864">
      <w:bodyDiv w:val="1"/>
      <w:marLeft w:val="0"/>
      <w:marRight w:val="0"/>
      <w:marTop w:val="0"/>
      <w:marBottom w:val="0"/>
      <w:divBdr>
        <w:top w:val="none" w:sz="0" w:space="0" w:color="auto"/>
        <w:left w:val="none" w:sz="0" w:space="0" w:color="auto"/>
        <w:bottom w:val="none" w:sz="0" w:space="0" w:color="auto"/>
        <w:right w:val="none" w:sz="0" w:space="0" w:color="auto"/>
      </w:divBdr>
      <w:divsChild>
        <w:div w:id="475031981">
          <w:marLeft w:val="0"/>
          <w:marRight w:val="0"/>
          <w:marTop w:val="0"/>
          <w:marBottom w:val="0"/>
          <w:divBdr>
            <w:top w:val="none" w:sz="0" w:space="0" w:color="auto"/>
            <w:left w:val="none" w:sz="0" w:space="0" w:color="auto"/>
            <w:bottom w:val="none" w:sz="0" w:space="0" w:color="auto"/>
            <w:right w:val="none" w:sz="0" w:space="0" w:color="auto"/>
          </w:divBdr>
          <w:divsChild>
            <w:div w:id="182478222">
              <w:marLeft w:val="0"/>
              <w:marRight w:val="0"/>
              <w:marTop w:val="0"/>
              <w:marBottom w:val="0"/>
              <w:divBdr>
                <w:top w:val="none" w:sz="0" w:space="0" w:color="auto"/>
                <w:left w:val="none" w:sz="0" w:space="0" w:color="auto"/>
                <w:bottom w:val="none" w:sz="0" w:space="0" w:color="auto"/>
                <w:right w:val="none" w:sz="0" w:space="0" w:color="auto"/>
              </w:divBdr>
              <w:divsChild>
                <w:div w:id="33476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057970">
      <w:bodyDiv w:val="1"/>
      <w:marLeft w:val="0"/>
      <w:marRight w:val="0"/>
      <w:marTop w:val="0"/>
      <w:marBottom w:val="0"/>
      <w:divBdr>
        <w:top w:val="none" w:sz="0" w:space="0" w:color="auto"/>
        <w:left w:val="none" w:sz="0" w:space="0" w:color="auto"/>
        <w:bottom w:val="none" w:sz="0" w:space="0" w:color="auto"/>
        <w:right w:val="none" w:sz="0" w:space="0" w:color="auto"/>
      </w:divBdr>
      <w:divsChild>
        <w:div w:id="276377448">
          <w:marLeft w:val="0"/>
          <w:marRight w:val="0"/>
          <w:marTop w:val="0"/>
          <w:marBottom w:val="0"/>
          <w:divBdr>
            <w:top w:val="none" w:sz="0" w:space="0" w:color="auto"/>
            <w:left w:val="none" w:sz="0" w:space="0" w:color="auto"/>
            <w:bottom w:val="none" w:sz="0" w:space="0" w:color="auto"/>
            <w:right w:val="none" w:sz="0" w:space="0" w:color="auto"/>
          </w:divBdr>
          <w:divsChild>
            <w:div w:id="735055640">
              <w:marLeft w:val="0"/>
              <w:marRight w:val="0"/>
              <w:marTop w:val="0"/>
              <w:marBottom w:val="0"/>
              <w:divBdr>
                <w:top w:val="none" w:sz="0" w:space="0" w:color="auto"/>
                <w:left w:val="none" w:sz="0" w:space="0" w:color="auto"/>
                <w:bottom w:val="none" w:sz="0" w:space="0" w:color="auto"/>
                <w:right w:val="none" w:sz="0" w:space="0" w:color="auto"/>
              </w:divBdr>
              <w:divsChild>
                <w:div w:id="201557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227718">
      <w:bodyDiv w:val="1"/>
      <w:marLeft w:val="0"/>
      <w:marRight w:val="0"/>
      <w:marTop w:val="0"/>
      <w:marBottom w:val="0"/>
      <w:divBdr>
        <w:top w:val="none" w:sz="0" w:space="0" w:color="auto"/>
        <w:left w:val="none" w:sz="0" w:space="0" w:color="auto"/>
        <w:bottom w:val="none" w:sz="0" w:space="0" w:color="auto"/>
        <w:right w:val="none" w:sz="0" w:space="0" w:color="auto"/>
      </w:divBdr>
      <w:divsChild>
        <w:div w:id="1205680904">
          <w:marLeft w:val="0"/>
          <w:marRight w:val="0"/>
          <w:marTop w:val="0"/>
          <w:marBottom w:val="0"/>
          <w:divBdr>
            <w:top w:val="none" w:sz="0" w:space="0" w:color="auto"/>
            <w:left w:val="none" w:sz="0" w:space="0" w:color="auto"/>
            <w:bottom w:val="none" w:sz="0" w:space="0" w:color="auto"/>
            <w:right w:val="none" w:sz="0" w:space="0" w:color="auto"/>
          </w:divBdr>
          <w:divsChild>
            <w:div w:id="629046773">
              <w:marLeft w:val="0"/>
              <w:marRight w:val="0"/>
              <w:marTop w:val="0"/>
              <w:marBottom w:val="0"/>
              <w:divBdr>
                <w:top w:val="none" w:sz="0" w:space="0" w:color="auto"/>
                <w:left w:val="none" w:sz="0" w:space="0" w:color="auto"/>
                <w:bottom w:val="none" w:sz="0" w:space="0" w:color="auto"/>
                <w:right w:val="none" w:sz="0" w:space="0" w:color="auto"/>
              </w:divBdr>
              <w:divsChild>
                <w:div w:id="27984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437786">
      <w:bodyDiv w:val="1"/>
      <w:marLeft w:val="0"/>
      <w:marRight w:val="0"/>
      <w:marTop w:val="0"/>
      <w:marBottom w:val="0"/>
      <w:divBdr>
        <w:top w:val="none" w:sz="0" w:space="0" w:color="auto"/>
        <w:left w:val="none" w:sz="0" w:space="0" w:color="auto"/>
        <w:bottom w:val="none" w:sz="0" w:space="0" w:color="auto"/>
        <w:right w:val="none" w:sz="0" w:space="0" w:color="auto"/>
      </w:divBdr>
      <w:divsChild>
        <w:div w:id="1884244429">
          <w:marLeft w:val="0"/>
          <w:marRight w:val="0"/>
          <w:marTop w:val="0"/>
          <w:marBottom w:val="0"/>
          <w:divBdr>
            <w:top w:val="none" w:sz="0" w:space="0" w:color="auto"/>
            <w:left w:val="none" w:sz="0" w:space="0" w:color="auto"/>
            <w:bottom w:val="none" w:sz="0" w:space="0" w:color="auto"/>
            <w:right w:val="none" w:sz="0" w:space="0" w:color="auto"/>
          </w:divBdr>
          <w:divsChild>
            <w:div w:id="1889804627">
              <w:marLeft w:val="0"/>
              <w:marRight w:val="0"/>
              <w:marTop w:val="0"/>
              <w:marBottom w:val="0"/>
              <w:divBdr>
                <w:top w:val="none" w:sz="0" w:space="0" w:color="auto"/>
                <w:left w:val="none" w:sz="0" w:space="0" w:color="auto"/>
                <w:bottom w:val="none" w:sz="0" w:space="0" w:color="auto"/>
                <w:right w:val="none" w:sz="0" w:space="0" w:color="auto"/>
              </w:divBdr>
              <w:divsChild>
                <w:div w:id="167526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563601">
      <w:bodyDiv w:val="1"/>
      <w:marLeft w:val="0"/>
      <w:marRight w:val="0"/>
      <w:marTop w:val="0"/>
      <w:marBottom w:val="0"/>
      <w:divBdr>
        <w:top w:val="none" w:sz="0" w:space="0" w:color="auto"/>
        <w:left w:val="none" w:sz="0" w:space="0" w:color="auto"/>
        <w:bottom w:val="none" w:sz="0" w:space="0" w:color="auto"/>
        <w:right w:val="none" w:sz="0" w:space="0" w:color="auto"/>
      </w:divBdr>
      <w:divsChild>
        <w:div w:id="172035622">
          <w:marLeft w:val="0"/>
          <w:marRight w:val="0"/>
          <w:marTop w:val="0"/>
          <w:marBottom w:val="0"/>
          <w:divBdr>
            <w:top w:val="none" w:sz="0" w:space="0" w:color="auto"/>
            <w:left w:val="none" w:sz="0" w:space="0" w:color="auto"/>
            <w:bottom w:val="none" w:sz="0" w:space="0" w:color="auto"/>
            <w:right w:val="none" w:sz="0" w:space="0" w:color="auto"/>
          </w:divBdr>
          <w:divsChild>
            <w:div w:id="312562841">
              <w:marLeft w:val="0"/>
              <w:marRight w:val="0"/>
              <w:marTop w:val="0"/>
              <w:marBottom w:val="0"/>
              <w:divBdr>
                <w:top w:val="none" w:sz="0" w:space="0" w:color="auto"/>
                <w:left w:val="none" w:sz="0" w:space="0" w:color="auto"/>
                <w:bottom w:val="none" w:sz="0" w:space="0" w:color="auto"/>
                <w:right w:val="none" w:sz="0" w:space="0" w:color="auto"/>
              </w:divBdr>
              <w:divsChild>
                <w:div w:id="21118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820730">
      <w:bodyDiv w:val="1"/>
      <w:marLeft w:val="0"/>
      <w:marRight w:val="0"/>
      <w:marTop w:val="0"/>
      <w:marBottom w:val="0"/>
      <w:divBdr>
        <w:top w:val="none" w:sz="0" w:space="0" w:color="auto"/>
        <w:left w:val="none" w:sz="0" w:space="0" w:color="auto"/>
        <w:bottom w:val="none" w:sz="0" w:space="0" w:color="auto"/>
        <w:right w:val="none" w:sz="0" w:space="0" w:color="auto"/>
      </w:divBdr>
      <w:divsChild>
        <w:div w:id="1237471053">
          <w:marLeft w:val="0"/>
          <w:marRight w:val="0"/>
          <w:marTop w:val="0"/>
          <w:marBottom w:val="0"/>
          <w:divBdr>
            <w:top w:val="none" w:sz="0" w:space="0" w:color="auto"/>
            <w:left w:val="none" w:sz="0" w:space="0" w:color="auto"/>
            <w:bottom w:val="none" w:sz="0" w:space="0" w:color="auto"/>
            <w:right w:val="none" w:sz="0" w:space="0" w:color="auto"/>
          </w:divBdr>
          <w:divsChild>
            <w:div w:id="276642028">
              <w:marLeft w:val="0"/>
              <w:marRight w:val="0"/>
              <w:marTop w:val="0"/>
              <w:marBottom w:val="0"/>
              <w:divBdr>
                <w:top w:val="none" w:sz="0" w:space="0" w:color="auto"/>
                <w:left w:val="none" w:sz="0" w:space="0" w:color="auto"/>
                <w:bottom w:val="none" w:sz="0" w:space="0" w:color="auto"/>
                <w:right w:val="none" w:sz="0" w:space="0" w:color="auto"/>
              </w:divBdr>
              <w:divsChild>
                <w:div w:id="150543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107127">
      <w:bodyDiv w:val="1"/>
      <w:marLeft w:val="0"/>
      <w:marRight w:val="0"/>
      <w:marTop w:val="0"/>
      <w:marBottom w:val="0"/>
      <w:divBdr>
        <w:top w:val="none" w:sz="0" w:space="0" w:color="auto"/>
        <w:left w:val="none" w:sz="0" w:space="0" w:color="auto"/>
        <w:bottom w:val="none" w:sz="0" w:space="0" w:color="auto"/>
        <w:right w:val="none" w:sz="0" w:space="0" w:color="auto"/>
      </w:divBdr>
      <w:divsChild>
        <w:div w:id="1762682386">
          <w:marLeft w:val="0"/>
          <w:marRight w:val="0"/>
          <w:marTop w:val="0"/>
          <w:marBottom w:val="0"/>
          <w:divBdr>
            <w:top w:val="none" w:sz="0" w:space="0" w:color="auto"/>
            <w:left w:val="none" w:sz="0" w:space="0" w:color="auto"/>
            <w:bottom w:val="none" w:sz="0" w:space="0" w:color="auto"/>
            <w:right w:val="none" w:sz="0" w:space="0" w:color="auto"/>
          </w:divBdr>
          <w:divsChild>
            <w:div w:id="548109060">
              <w:marLeft w:val="0"/>
              <w:marRight w:val="0"/>
              <w:marTop w:val="0"/>
              <w:marBottom w:val="0"/>
              <w:divBdr>
                <w:top w:val="none" w:sz="0" w:space="0" w:color="auto"/>
                <w:left w:val="none" w:sz="0" w:space="0" w:color="auto"/>
                <w:bottom w:val="none" w:sz="0" w:space="0" w:color="auto"/>
                <w:right w:val="none" w:sz="0" w:space="0" w:color="auto"/>
              </w:divBdr>
              <w:divsChild>
                <w:div w:id="122514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147857">
      <w:bodyDiv w:val="1"/>
      <w:marLeft w:val="0"/>
      <w:marRight w:val="0"/>
      <w:marTop w:val="0"/>
      <w:marBottom w:val="0"/>
      <w:divBdr>
        <w:top w:val="none" w:sz="0" w:space="0" w:color="auto"/>
        <w:left w:val="none" w:sz="0" w:space="0" w:color="auto"/>
        <w:bottom w:val="none" w:sz="0" w:space="0" w:color="auto"/>
        <w:right w:val="none" w:sz="0" w:space="0" w:color="auto"/>
      </w:divBdr>
      <w:divsChild>
        <w:div w:id="640236338">
          <w:marLeft w:val="0"/>
          <w:marRight w:val="0"/>
          <w:marTop w:val="0"/>
          <w:marBottom w:val="0"/>
          <w:divBdr>
            <w:top w:val="none" w:sz="0" w:space="0" w:color="auto"/>
            <w:left w:val="none" w:sz="0" w:space="0" w:color="auto"/>
            <w:bottom w:val="none" w:sz="0" w:space="0" w:color="auto"/>
            <w:right w:val="none" w:sz="0" w:space="0" w:color="auto"/>
          </w:divBdr>
          <w:divsChild>
            <w:div w:id="771631635">
              <w:marLeft w:val="0"/>
              <w:marRight w:val="0"/>
              <w:marTop w:val="0"/>
              <w:marBottom w:val="0"/>
              <w:divBdr>
                <w:top w:val="none" w:sz="0" w:space="0" w:color="auto"/>
                <w:left w:val="none" w:sz="0" w:space="0" w:color="auto"/>
                <w:bottom w:val="none" w:sz="0" w:space="0" w:color="auto"/>
                <w:right w:val="none" w:sz="0" w:space="0" w:color="auto"/>
              </w:divBdr>
              <w:divsChild>
                <w:div w:id="205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3" Type="http://schemas.openxmlformats.org/officeDocument/2006/relationships/hyperlink" Target="https://davesredistricting.org/join/8ba9a5dd-904c-4290-a87d-0da3a677c3f7" TargetMode="External"/><Relationship Id="rId7" Type="http://schemas.openxmlformats.org/officeDocument/2006/relationships/hyperlink" Target="https://davesredistricting.org/join/2f8e2348-4f76-4db0-8b07-abbe779d777a" TargetMode="External"/><Relationship Id="rId2" Type="http://schemas.openxmlformats.org/officeDocument/2006/relationships/hyperlink" Target="https://davesredistricting.org/join/388b6a2e-df40-4799-a85b-370a0e331b6b" TargetMode="External"/><Relationship Id="rId1" Type="http://schemas.openxmlformats.org/officeDocument/2006/relationships/hyperlink" Target="https://davesredistricting.org/join/89ad33c8-2e87-492b-ba8b-e2ade60734b4" TargetMode="External"/><Relationship Id="rId6" Type="http://schemas.openxmlformats.org/officeDocument/2006/relationships/hyperlink" Target="https://davesredistricting.org/join/db53bd36-cba8-4ecf-b29a-904d6c698a09" TargetMode="External"/><Relationship Id="rId5" Type="http://schemas.openxmlformats.org/officeDocument/2006/relationships/hyperlink" Target="https://davesredistricting.org/join/059d4470-683a-41b1-8e5e-34f1d0223cda" TargetMode="External"/><Relationship Id="rId4" Type="http://schemas.openxmlformats.org/officeDocument/2006/relationships/hyperlink" Target="https://davesredistricting.org/join/5a350341-6ccc-4fd0-a3a4-ca822f11f8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6</Pages>
  <Words>1215</Words>
  <Characters>6932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Cervas</dc:creator>
  <cp:keywords/>
  <dc:description/>
  <cp:lastModifiedBy>Jonathan Cervas</cp:lastModifiedBy>
  <cp:revision>9</cp:revision>
  <dcterms:created xsi:type="dcterms:W3CDTF">2022-11-30T18:00:00Z</dcterms:created>
  <dcterms:modified xsi:type="dcterms:W3CDTF">2022-12-01T05:04:00Z</dcterms:modified>
</cp:coreProperties>
</file>