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34" w:rsidRPr="006A5838" w:rsidRDefault="00741734" w:rsidP="00741734">
      <w:pPr>
        <w:spacing w:line="360" w:lineRule="auto"/>
        <w:rPr>
          <w:b/>
          <w:color w:val="FF0000"/>
          <w:sz w:val="32"/>
          <w:szCs w:val="32"/>
        </w:rPr>
      </w:pPr>
      <w:r w:rsidRPr="001330FD">
        <w:rPr>
          <w:b/>
        </w:rPr>
        <w:t xml:space="preserve">Table </w:t>
      </w:r>
      <w:r>
        <w:rPr>
          <w:b/>
        </w:rPr>
        <w:t>1</w:t>
      </w:r>
      <w:r w:rsidRPr="001330FD">
        <w:rPr>
          <w:b/>
        </w:rPr>
        <w:t xml:space="preserve">: </w:t>
      </w:r>
      <w:bookmarkStart w:id="0" w:name="_GoBack"/>
      <w:r>
        <w:rPr>
          <w:b/>
        </w:rPr>
        <w:t xml:space="preserve">County Splits, Compactness Scores </w:t>
      </w:r>
      <w:r w:rsidRPr="001330FD">
        <w:rPr>
          <w:b/>
        </w:rPr>
        <w:t>of the Plans</w:t>
      </w:r>
      <w:r>
        <w:rPr>
          <w:b/>
        </w:rPr>
        <w:t>, and Projected Outcomes using Elections in 2008 and 2016</w:t>
      </w:r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35"/>
        <w:gridCol w:w="791"/>
        <w:gridCol w:w="829"/>
        <w:gridCol w:w="760"/>
        <w:gridCol w:w="1520"/>
        <w:gridCol w:w="1385"/>
        <w:gridCol w:w="1168"/>
        <w:gridCol w:w="1362"/>
      </w:tblGrid>
      <w:tr w:rsidR="00741734" w:rsidRPr="001330FD" w:rsidTr="001D0EB7">
        <w:trPr>
          <w:trHeight w:val="935"/>
          <w:jc w:val="center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County Splits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proofErr w:type="spellStart"/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Polsby</w:t>
            </w:r>
            <w:proofErr w:type="spellEnd"/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-Popper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proofErr w:type="spellStart"/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Reock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Projected using   </w:t>
            </w: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2008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Presidential Results</w:t>
            </w:r>
          </w:p>
          <w:p w:rsidR="00741734" w:rsidRPr="0095341D" w:rsidRDefault="00741734" w:rsidP="001D0EB7">
            <w:pPr>
              <w:jc w:val="center"/>
              <w:rPr>
                <w:rFonts w:ascii="Calibri" w:hAnsi="Calibri"/>
                <w:b/>
                <w:bCs/>
                <w:color w:val="FF0000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Projected </w:t>
            </w:r>
          </w:p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using four state-wide elections in 2008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Projected using </w:t>
            </w: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2016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Presidential Results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Projected</w:t>
            </w:r>
          </w:p>
          <w:p w:rsidR="00741734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using five state-wide elections in 2016</w:t>
            </w:r>
          </w:p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2011 </w:t>
            </w: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Map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0.164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0.271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12R-6D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13R-5D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Court Remedial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0.425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6R-12D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10R-8D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9R-9D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Joint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</w:t>
            </w: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Submission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0.282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9R-9D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12R-6D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11R-7D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Gov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. </w:t>
            </w:r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Wolf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11R-7D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proofErr w:type="spellStart"/>
            <w:r w:rsidRPr="001330FD">
              <w:rPr>
                <w:rFonts w:ascii="Calibri" w:hAnsi="Calibri"/>
                <w:b/>
                <w:bCs/>
                <w:color w:val="000000"/>
                <w:sz w:val="18"/>
              </w:rPr>
              <w:t>DailyKos</w:t>
            </w:r>
            <w:proofErr w:type="spellEnd"/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0.356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0.414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7R-11D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10R-8D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Authors’ 1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7R-11D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6R-12D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7604F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10R-8D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Authors’ 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0.362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0.415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7R-11D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10R-8D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11R-8D</w:t>
            </w:r>
          </w:p>
        </w:tc>
      </w:tr>
      <w:tr w:rsidR="00741734" w:rsidRPr="001330FD" w:rsidTr="001D0EB7">
        <w:trPr>
          <w:trHeight w:val="320"/>
          <w:jc w:val="center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>Authors’ 3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0.359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0.407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8R-10D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6R-12D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  <w:sz w:val="18"/>
              </w:rPr>
              <w:t>11R-7D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734" w:rsidRPr="001330FD" w:rsidRDefault="00741734" w:rsidP="001D0EB7">
            <w:pPr>
              <w:jc w:val="center"/>
              <w:rPr>
                <w:rFonts w:ascii="Calibri" w:hAnsi="Calibri"/>
                <w:color w:val="000000"/>
                <w:sz w:val="18"/>
              </w:rPr>
            </w:pPr>
            <w:r w:rsidRPr="001330FD">
              <w:rPr>
                <w:rFonts w:ascii="Calibri" w:hAnsi="Calibri"/>
                <w:color w:val="000000"/>
                <w:sz w:val="18"/>
              </w:rPr>
              <w:t>9R-9D</w:t>
            </w:r>
          </w:p>
        </w:tc>
      </w:tr>
    </w:tbl>
    <w:p w:rsidR="00741734" w:rsidRDefault="00741734" w:rsidP="00741734">
      <w:pPr>
        <w:spacing w:line="360" w:lineRule="auto"/>
        <w:ind w:firstLine="720"/>
      </w:pPr>
    </w:p>
    <w:p w:rsidR="00741734" w:rsidRPr="00F862C9" w:rsidRDefault="00741734" w:rsidP="00741734">
      <w:pPr>
        <w:rPr>
          <w:color w:val="ED7D31"/>
        </w:rPr>
      </w:pPr>
      <w:r w:rsidRPr="00F862C9">
        <w:t xml:space="preserve">Note: County splits include all the pieces in which a county is split, not just the total number of counties split </w:t>
      </w:r>
      <w:r>
        <w:t>(The</w:t>
      </w:r>
      <w:r w:rsidRPr="00F862C9">
        <w:t xml:space="preserve"> latter number </w:t>
      </w:r>
      <w:r>
        <w:t xml:space="preserve">is the one </w:t>
      </w:r>
      <w:r w:rsidRPr="00F862C9">
        <w:t>most often reporte</w:t>
      </w:r>
      <w:r>
        <w:t>d</w:t>
      </w:r>
      <w:r w:rsidRPr="00F862C9">
        <w:t xml:space="preserve"> in both court documents and in the media.</w:t>
      </w:r>
      <w:r>
        <w:t>)</w:t>
      </w:r>
      <w:r w:rsidRPr="00F862C9">
        <w:t xml:space="preserve"> The 2008 four-election </w:t>
      </w:r>
      <w:r>
        <w:t>average</w:t>
      </w:r>
      <w:r w:rsidRPr="00F862C9">
        <w:t xml:space="preserve"> includes the Presidential, Attorneys General, Auditor, and Treasurer</w:t>
      </w:r>
      <w:r>
        <w:t xml:space="preserve"> contests. The 2016 five election average includes </w:t>
      </w:r>
      <w:r w:rsidRPr="00E80717">
        <w:rPr>
          <w:lang w:bidi="th-TH"/>
        </w:rPr>
        <w:t>President, U.S. Senate, Attorney General, Treasurer, and Auditor.</w:t>
      </w:r>
      <w:r>
        <w:rPr>
          <w:lang w:bidi="th-TH"/>
        </w:rPr>
        <w:t xml:space="preserve"> </w:t>
      </w:r>
      <w:r w:rsidRPr="00F862C9">
        <w:t xml:space="preserve">State-wide </w:t>
      </w:r>
      <w:r>
        <w:t xml:space="preserve">Democratic </w:t>
      </w:r>
      <w:r w:rsidRPr="00F862C9">
        <w:t xml:space="preserve">percentage of the two-party vote are as follows: 2008 Presidential (55.2%), 2008 </w:t>
      </w:r>
      <w:r>
        <w:t xml:space="preserve">Composite </w:t>
      </w:r>
      <w:r w:rsidRPr="00F862C9">
        <w:t xml:space="preserve">(54.7%), 2016 Presidential (49.6%), 2016 </w:t>
      </w:r>
      <w:r>
        <w:t>Composite</w:t>
      </w:r>
      <w:r w:rsidRPr="00F862C9">
        <w:t xml:space="preserve"> (51.3%).</w:t>
      </w:r>
    </w:p>
    <w:p w:rsidR="00214311" w:rsidRPr="00F862C9" w:rsidRDefault="00214311" w:rsidP="00214311">
      <w:pPr>
        <w:rPr>
          <w:color w:val="ED7D31"/>
        </w:rPr>
      </w:pPr>
    </w:p>
    <w:p w:rsidR="00214311" w:rsidRDefault="00214311"/>
    <w:sectPr w:rsidR="00214311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1"/>
    <w:rsid w:val="00027ABD"/>
    <w:rsid w:val="000415E2"/>
    <w:rsid w:val="000D1FBB"/>
    <w:rsid w:val="00105009"/>
    <w:rsid w:val="00144664"/>
    <w:rsid w:val="001C740B"/>
    <w:rsid w:val="001D3A5D"/>
    <w:rsid w:val="00214311"/>
    <w:rsid w:val="00246346"/>
    <w:rsid w:val="002B387F"/>
    <w:rsid w:val="00332809"/>
    <w:rsid w:val="005204C2"/>
    <w:rsid w:val="0059724C"/>
    <w:rsid w:val="005A31B1"/>
    <w:rsid w:val="006F2E6E"/>
    <w:rsid w:val="00741734"/>
    <w:rsid w:val="00751892"/>
    <w:rsid w:val="0079451F"/>
    <w:rsid w:val="007A355B"/>
    <w:rsid w:val="007D76CC"/>
    <w:rsid w:val="00811755"/>
    <w:rsid w:val="00842E05"/>
    <w:rsid w:val="00903C88"/>
    <w:rsid w:val="009140C7"/>
    <w:rsid w:val="00A61A71"/>
    <w:rsid w:val="00A62E29"/>
    <w:rsid w:val="00A701C0"/>
    <w:rsid w:val="00AF32B7"/>
    <w:rsid w:val="00B02521"/>
    <w:rsid w:val="00B82672"/>
    <w:rsid w:val="00BB4A97"/>
    <w:rsid w:val="00C23812"/>
    <w:rsid w:val="00C75154"/>
    <w:rsid w:val="00CB0F2C"/>
    <w:rsid w:val="00CE376C"/>
    <w:rsid w:val="00CF3A6E"/>
    <w:rsid w:val="00D26B6B"/>
    <w:rsid w:val="00D36E89"/>
    <w:rsid w:val="00F6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24A"/>
  <w14:defaultImageDpi w14:val="32767"/>
  <w15:chartTrackingRefBased/>
  <w15:docId w15:val="{9DE0C025-AE18-214E-9D17-F6CC9D8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2018-04-21T20:43:00Z</dcterms:created>
  <dcterms:modified xsi:type="dcterms:W3CDTF">2018-04-23T19:41:00Z</dcterms:modified>
</cp:coreProperties>
</file>