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7C" w:rsidRDefault="00E74A7C" w:rsidP="00E74A7C">
      <w:pPr>
        <w:spacing w:line="480" w:lineRule="auto"/>
        <w:ind w:right="630"/>
        <w:rPr>
          <w:b/>
        </w:rPr>
      </w:pPr>
      <w:bookmarkStart w:id="0" w:name="_GoBack"/>
      <w:bookmarkEnd w:id="0"/>
      <w:r>
        <w:rPr>
          <w:b/>
        </w:rPr>
        <w:t>APPENDIX: Formal Definition of the Ten Electoral College Variants Being Compared</w:t>
      </w:r>
    </w:p>
    <w:p w:rsidR="00E74A7C" w:rsidRPr="00E74A7C" w:rsidRDefault="00E74A7C" w:rsidP="00E74A7C">
      <w:pPr>
        <w:spacing w:line="480" w:lineRule="auto"/>
        <w:ind w:right="630"/>
        <w:rPr>
          <w:b/>
          <w:color w:val="FF0000"/>
          <w:sz w:val="32"/>
          <w:szCs w:val="32"/>
        </w:rPr>
      </w:pPr>
      <w:r w:rsidRPr="00E74A7C">
        <w:rPr>
          <w:b/>
          <w:color w:val="FF0000"/>
          <w:sz w:val="32"/>
          <w:szCs w:val="32"/>
        </w:rPr>
        <w:t>JONATHAN THIS WILL NEED TO BE REWRITTEN TO MAKE SURE THAT IT FOLLOWS THE SAME ORDER AS IN THE PRESENT TABLE 1.</w:t>
      </w:r>
    </w:p>
    <w:p w:rsidR="00E74A7C" w:rsidRPr="007E474C" w:rsidRDefault="00E74A7C" w:rsidP="00E74A7C">
      <w:pPr>
        <w:spacing w:line="480" w:lineRule="auto"/>
        <w:ind w:right="630"/>
        <w:rPr>
          <w:b/>
        </w:rPr>
      </w:pPr>
    </w:p>
    <w:p w:rsidR="00E74A7C" w:rsidRDefault="00E74A7C" w:rsidP="00E74A7C">
      <w:pPr>
        <w:spacing w:line="480" w:lineRule="auto"/>
        <w:ind w:right="630" w:firstLine="720"/>
        <w:rPr>
          <w:b/>
        </w:rPr>
      </w:pPr>
      <w:r>
        <w:rPr>
          <w:b/>
        </w:rPr>
        <w:t xml:space="preserve">We begin with some notation to elucidate how we will measure these </w:t>
      </w:r>
      <w:r>
        <w:rPr>
          <w:b/>
        </w:rPr>
        <w:t xml:space="preserve">Electoral College </w:t>
      </w:r>
      <w:r>
        <w:rPr>
          <w:b/>
        </w:rPr>
        <w:t xml:space="preserve">alternatives.  We are interested in all elections since 1868, </w:t>
      </w:r>
      <w:proofErr w:type="gramStart"/>
      <w:r>
        <w:rPr>
          <w:b/>
          <w:i/>
        </w:rPr>
        <w:t>Y{</w:t>
      </w:r>
      <w:proofErr w:type="gramEnd"/>
      <w:r>
        <w:rPr>
          <w:b/>
          <w:i/>
        </w:rPr>
        <w:t xml:space="preserve">1868, 1869, …y, 2016}. </w:t>
      </w:r>
      <w:r>
        <w:rPr>
          <w:b/>
        </w:rPr>
        <w:t xml:space="preserve">In each year, there is a set of states, </w:t>
      </w:r>
      <w:proofErr w:type="gramStart"/>
      <w:r>
        <w:rPr>
          <w:b/>
          <w:i/>
        </w:rPr>
        <w:t>S{</w:t>
      </w:r>
      <w:proofErr w:type="spellStart"/>
      <w:proofErr w:type="gramEnd"/>
      <w:r>
        <w:rPr>
          <w:b/>
          <w:i/>
        </w:rPr>
        <w:t>Alabama</w:t>
      </w:r>
      <w:r>
        <w:rPr>
          <w:b/>
          <w:i/>
          <w:vertAlign w:val="subscript"/>
        </w:rPr>
        <w:t>y</w:t>
      </w:r>
      <w:proofErr w:type="spellEnd"/>
      <w:r>
        <w:rPr>
          <w:b/>
          <w:i/>
        </w:rPr>
        <w:t xml:space="preserve">, </w:t>
      </w:r>
      <w:proofErr w:type="spellStart"/>
      <w:r w:rsidRPr="00B650C0">
        <w:rPr>
          <w:b/>
          <w:i/>
        </w:rPr>
        <w:t>Alas</w:t>
      </w:r>
      <w:r>
        <w:rPr>
          <w:b/>
          <w:i/>
        </w:rPr>
        <w:t>ka</w:t>
      </w:r>
      <w:r>
        <w:rPr>
          <w:b/>
          <w:i/>
          <w:vertAlign w:val="subscript"/>
        </w:rPr>
        <w:t>y</w:t>
      </w:r>
      <w:proofErr w:type="spellEnd"/>
      <w:r>
        <w:rPr>
          <w:b/>
          <w:i/>
        </w:rPr>
        <w:t xml:space="preserve">, …, </w:t>
      </w:r>
      <w:proofErr w:type="spellStart"/>
      <w:r>
        <w:rPr>
          <w:b/>
          <w:i/>
        </w:rPr>
        <w:t>s</w:t>
      </w:r>
      <w:r>
        <w:rPr>
          <w:b/>
          <w:i/>
          <w:vertAlign w:val="subscript"/>
        </w:rPr>
        <w:t>y</w:t>
      </w:r>
      <w:proofErr w:type="spellEnd"/>
      <w:r>
        <w:rPr>
          <w:b/>
          <w:i/>
        </w:rPr>
        <w:t>}</w:t>
      </w:r>
      <w:r>
        <w:rPr>
          <w:b/>
        </w:rPr>
        <w:t xml:space="preserve">, which all receive a proportion of the EC, </w:t>
      </w:r>
      <w:proofErr w:type="spellStart"/>
      <w:r>
        <w:rPr>
          <w:b/>
          <w:i/>
        </w:rPr>
        <w:t>electorss</w:t>
      </w:r>
      <w:r>
        <w:rPr>
          <w:b/>
          <w:i/>
          <w:vertAlign w:val="subscript"/>
        </w:rPr>
        <w:t>ys</w:t>
      </w:r>
      <w:proofErr w:type="spellEnd"/>
      <w:r>
        <w:rPr>
          <w:b/>
        </w:rPr>
        <w:t xml:space="preserve">, as determined by the US Constitution.  Equations are numbers in the form (A or B, I or II or III) where A is </w:t>
      </w:r>
      <w:r w:rsidRPr="001920DF">
        <w:rPr>
          <w:b/>
          <w:i/>
        </w:rPr>
        <w:t>unit-rule</w:t>
      </w:r>
      <w:r>
        <w:rPr>
          <w:b/>
        </w:rPr>
        <w:t xml:space="preserve"> and B is </w:t>
      </w:r>
      <w:r w:rsidRPr="001920DF">
        <w:rPr>
          <w:b/>
          <w:i/>
        </w:rPr>
        <w:t xml:space="preserve">proportional </w:t>
      </w:r>
      <w:r>
        <w:rPr>
          <w:b/>
        </w:rPr>
        <w:t>allocation, and I maintains the decade’s apportionment and two-state bonus while II eliminates just the two-seat bonus and III eliminates both the apportionment and two-seat bonus.</w:t>
      </w:r>
    </w:p>
    <w:p w:rsidR="00E74A7C" w:rsidRDefault="00E74A7C" w:rsidP="00E74A7C">
      <w:pPr>
        <w:spacing w:line="480" w:lineRule="auto"/>
        <w:ind w:right="630" w:firstLine="720"/>
        <w:rPr>
          <w:b/>
        </w:rPr>
      </w:pPr>
      <w:r>
        <w:rPr>
          <w:b/>
        </w:rPr>
        <w:t xml:space="preserve">The equation for the </w:t>
      </w:r>
      <w:r w:rsidRPr="00393216">
        <w:rPr>
          <w:b/>
          <w:i/>
        </w:rPr>
        <w:t>Popular Vote</w:t>
      </w:r>
      <w:r>
        <w:rPr>
          <w:b/>
          <w:i/>
        </w:rPr>
        <w:t xml:space="preserve"> (BIII)</w:t>
      </w:r>
      <w:r>
        <w:rPr>
          <w:b/>
        </w:rPr>
        <w:t xml:space="preserve"> is simply,</w:t>
      </w:r>
    </w:p>
    <w:p w:rsidR="00E74A7C" w:rsidRDefault="00E74A7C" w:rsidP="00E74A7C">
      <w:pPr>
        <w:spacing w:line="480" w:lineRule="auto"/>
        <w:ind w:right="630" w:firstLine="720"/>
        <w:rPr>
          <w:b/>
        </w:rPr>
      </w:pPr>
    </w:p>
    <w:p w:rsidR="00E74A7C" w:rsidRDefault="00E74A7C" w:rsidP="00E74A7C">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Popular Vote</m:t>
            </m:r>
          </m:e>
          <m:sub>
            <m:r>
              <m:rPr>
                <m:sty m:val="bi"/>
              </m:rPr>
              <w:rPr>
                <w:rFonts w:ascii="Cambria Math" w:hAnsi="Cambria Math"/>
              </w:rPr>
              <m:t>y</m:t>
            </m:r>
          </m:sub>
        </m:sSub>
        <m:r>
          <m:rPr>
            <m:sty m:val="bi"/>
          </m:rPr>
          <w:rPr>
            <w:rFonts w:ascii="Cambria Math" w:hAnsi="Cambria Math"/>
          </w:rPr>
          <m:t xml:space="preserve">= </m:t>
        </m:r>
        <m:f>
          <m:fPr>
            <m:ctrlPr>
              <w:rPr>
                <w:rFonts w:ascii="Cambria Math" w:hAnsi="Cambria Math"/>
                <w:b/>
                <w:i/>
              </w:rPr>
            </m:ctrlPr>
          </m:fPr>
          <m:num>
            <m:nary>
              <m:naryPr>
                <m:chr m:val="∑"/>
                <m:limLoc m:val="undOvr"/>
                <m:ctrlPr>
                  <w:rPr>
                    <w:rFonts w:ascii="Cambria Math" w:hAnsi="Cambria Math"/>
                    <w:b/>
                    <w:i/>
                  </w:rPr>
                </m:ctrlPr>
              </m:naryPr>
              <m:sub>
                <m:r>
                  <m:rPr>
                    <m:sty m:val="bi"/>
                  </m:rPr>
                  <w:rPr>
                    <w:rFonts w:ascii="Cambria Math" w:hAnsi="Cambria Math"/>
                  </w:rPr>
                  <m:t>S</m:t>
                </m:r>
              </m:sub>
              <m:sup/>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e>
            </m:nary>
          </m:num>
          <m:den>
            <m:nary>
              <m:naryPr>
                <m:chr m:val="∑"/>
                <m:limLoc m:val="undOvr"/>
                <m:ctrlPr>
                  <w:rPr>
                    <w:rFonts w:ascii="Cambria Math" w:hAnsi="Cambria Math"/>
                    <w:b/>
                    <w:i/>
                  </w:rPr>
                </m:ctrlPr>
              </m:naryPr>
              <m:sub>
                <m:r>
                  <m:rPr>
                    <m:sty m:val="bi"/>
                  </m:rPr>
                  <w:rPr>
                    <w:rFonts w:ascii="Cambria Math" w:hAnsi="Cambria Math"/>
                  </w:rPr>
                  <m:t>S</m:t>
                </m:r>
              </m:sub>
              <m:sup/>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ys</m:t>
                </m:r>
              </m:sub>
            </m:sSub>
          </m:den>
        </m:f>
      </m:oMath>
      <w:r>
        <w:rPr>
          <w:b/>
        </w:rPr>
        <w:t xml:space="preserve"> </w:t>
      </w:r>
      <w:r>
        <w:rPr>
          <w:b/>
        </w:rPr>
        <w:tab/>
        <w:t>(B, III)</w:t>
      </w:r>
      <w:r>
        <w:rPr>
          <w:rStyle w:val="FootnoteReference"/>
          <w:b/>
        </w:rPr>
        <w:footnoteReference w:id="1"/>
      </w:r>
    </w:p>
    <w:p w:rsidR="00E74A7C" w:rsidRDefault="00E74A7C" w:rsidP="00E74A7C">
      <w:pPr>
        <w:spacing w:line="480" w:lineRule="auto"/>
        <w:ind w:right="630" w:firstLine="720"/>
        <w:jc w:val="center"/>
        <w:rPr>
          <w:b/>
        </w:rPr>
      </w:pPr>
    </w:p>
    <w:p w:rsidR="00E74A7C" w:rsidRPr="00BE55B6" w:rsidRDefault="00E74A7C" w:rsidP="00E74A7C">
      <w:pPr>
        <w:spacing w:line="480" w:lineRule="auto"/>
        <w:ind w:right="630"/>
        <w:rPr>
          <w:b/>
          <w:color w:val="FF0000"/>
        </w:rPr>
      </w:pPr>
      <w:proofErr w:type="gramStart"/>
      <w:r>
        <w:rPr>
          <w:b/>
        </w:rPr>
        <w:t>which</w:t>
      </w:r>
      <w:proofErr w:type="gramEnd"/>
      <w:r>
        <w:rPr>
          <w:b/>
        </w:rPr>
        <w:t xml:space="preserve"> translates into the national summed percentage of votes for the Democratic candidate, with the two-party vote total in the denominator and third-party votes </w:t>
      </w:r>
      <w:r>
        <w:rPr>
          <w:b/>
        </w:rPr>
        <w:lastRenderedPageBreak/>
        <w:t xml:space="preserve">excluded. This is, of course, the most proportional to the voters, but not necessarily to the population since turnout rates might vary by state (Grofman, Koetzle, and Brunell 1997). It also happens to be the reform that has generated the most demand since it’s the </w:t>
      </w:r>
      <w:r>
        <w:rPr>
          <w:b/>
          <w:i/>
        </w:rPr>
        <w:t>only</w:t>
      </w:r>
      <w:r>
        <w:rPr>
          <w:b/>
        </w:rPr>
        <w:t xml:space="preserve"> system that can guarantee a plurality winner takes the office </w:t>
      </w:r>
      <w:r w:rsidRPr="00BE55B6">
        <w:rPr>
          <w:b/>
          <w:color w:val="FF0000"/>
        </w:rPr>
        <w:t>(I BELIEVE THIS IS TRUE, DO YOU HAVE REASON TO BELIEVE OTHERWISE?).</w:t>
      </w:r>
    </w:p>
    <w:p w:rsidR="00E74A7C" w:rsidRDefault="00E74A7C" w:rsidP="00E74A7C">
      <w:pPr>
        <w:spacing w:line="480" w:lineRule="auto"/>
        <w:ind w:right="630" w:firstLine="720"/>
        <w:outlineLvl w:val="0"/>
        <w:rPr>
          <w:b/>
        </w:rPr>
      </w:pPr>
      <w:r>
        <w:rPr>
          <w:b/>
        </w:rPr>
        <w:t>The actual Electoral College, assuming unit-rule for all states, is determined by the following equation,</w:t>
      </w:r>
    </w:p>
    <w:p w:rsidR="00E74A7C" w:rsidRDefault="00E74A7C" w:rsidP="00E74A7C">
      <w:pPr>
        <w:spacing w:line="480" w:lineRule="auto"/>
        <w:ind w:right="630"/>
        <w:rPr>
          <w:b/>
        </w:rPr>
      </w:pPr>
    </w:p>
    <w:p w:rsidR="00E74A7C" w:rsidRPr="00C33D9E" w:rsidRDefault="00E74A7C" w:rsidP="00E74A7C">
      <w:pPr>
        <w:spacing w:line="480" w:lineRule="auto"/>
        <w:ind w:right="630"/>
        <w:jc w:val="center"/>
        <w:rPr>
          <w:b/>
        </w:rPr>
      </w:pPr>
      <m:oMath>
        <m:sSub>
          <m:sSubPr>
            <m:ctrlPr>
              <w:rPr>
                <w:rFonts w:ascii="Cambria Math" w:hAnsi="Cambria Math"/>
                <w:b/>
                <w:i/>
              </w:rPr>
            </m:ctrlPr>
          </m:sSubPr>
          <m:e>
            <m:r>
              <m:rPr>
                <m:sty m:val="bi"/>
              </m:rPr>
              <w:rPr>
                <w:rFonts w:ascii="Cambria Math" w:hAnsi="Cambria Math"/>
              </w:rPr>
              <m:t>Electoral College</m:t>
            </m:r>
          </m:e>
          <m:sub>
            <m:r>
              <m:rPr>
                <m:sty m:val="bi"/>
              </m:rPr>
              <w:rPr>
                <w:rFonts w:ascii="Cambria Math" w:hAnsi="Cambria Math"/>
              </w:rPr>
              <m:t>y</m:t>
            </m:r>
          </m:sub>
        </m:sSub>
        <m:r>
          <m:rPr>
            <m:sty m:val="bi"/>
          </m:rPr>
          <w:rPr>
            <w:rFonts w:ascii="Cambria Math" w:hAns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yi</m:t>
                    </m:r>
                  </m:sub>
                </m:sSub>
              </m:e>
            </m:nary>
            <m:r>
              <m:rPr>
                <m:sty m:val="bi"/>
              </m:rPr>
              <w:rPr>
                <w:rFonts w:ascii="Cambria Math" w:hAnsi="Cambria Math"/>
              </w:rPr>
              <m:t>*{1*</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e>
            </m:d>
            <m:r>
              <m:rPr>
                <m:sty m:val="bi"/>
              </m:rPr>
              <w:rPr>
                <w:rFonts w:ascii="Cambria Math" w:hAnsi="Cambria Math"/>
              </w:rPr>
              <m:t>+0*</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r>
                  <m:rPr>
                    <m:sty m:val="bi"/>
                  </m:rPr>
                  <w:rPr>
                    <w:rFonts w:ascii="Cambria Math" w:hAnsi="Cambria Math"/>
                  </w:rPr>
                  <m:t xml:space="preserve">&gt; </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e>
            </m:d>
            <m:r>
              <m:rPr>
                <m:sty m:val="bi"/>
              </m:rPr>
              <w:rPr>
                <w:rFonts w:ascii="Cambria Math" w:hAnsi="Cambria Math"/>
              </w:rPr>
              <m:t>}</m:t>
            </m:r>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den>
        </m:f>
      </m:oMath>
      <w:r>
        <w:rPr>
          <w:b/>
        </w:rPr>
        <w:t xml:space="preserve"> </w:t>
      </w:r>
      <w:r>
        <w:rPr>
          <w:b/>
        </w:rPr>
        <w:tab/>
        <w:t>(A, I)</w:t>
      </w:r>
    </w:p>
    <w:p w:rsidR="00E74A7C" w:rsidRDefault="00E74A7C" w:rsidP="00E74A7C">
      <w:pPr>
        <w:spacing w:after="160" w:line="259" w:lineRule="auto"/>
        <w:rPr>
          <w:b/>
        </w:rPr>
      </w:pPr>
    </w:p>
    <w:p w:rsidR="00E74A7C" w:rsidRDefault="00E74A7C" w:rsidP="00E74A7C">
      <w:pPr>
        <w:spacing w:after="160" w:line="259" w:lineRule="auto"/>
        <w:rPr>
          <w:b/>
        </w:rPr>
      </w:pPr>
    </w:p>
    <w:p w:rsidR="00E74A7C" w:rsidRDefault="00E74A7C" w:rsidP="00E74A7C">
      <w:pPr>
        <w:pStyle w:val="Caption"/>
        <w:jc w:val="center"/>
        <w:rPr>
          <w:b/>
        </w:rPr>
      </w:pPr>
      <w:bookmarkStart w:id="1" w:name="_Ref519602796"/>
      <w:r>
        <w:rPr>
          <w:b/>
        </w:rPr>
        <w:t xml:space="preserve">&lt;&lt; Table </w:t>
      </w:r>
      <w:r>
        <w:rPr>
          <w:b/>
        </w:rPr>
        <w:fldChar w:fldCharType="begin"/>
      </w:r>
      <w:r>
        <w:rPr>
          <w:b/>
        </w:rPr>
        <w:instrText xml:space="preserve"> SEQ Table \* ARABIC </w:instrText>
      </w:r>
      <w:r>
        <w:rPr>
          <w:b/>
        </w:rPr>
        <w:fldChar w:fldCharType="separate"/>
      </w:r>
      <w:r>
        <w:rPr>
          <w:b/>
          <w:noProof/>
        </w:rPr>
        <w:t>1</w:t>
      </w:r>
      <w:r>
        <w:rPr>
          <w:b/>
        </w:rPr>
        <w:fldChar w:fldCharType="end"/>
      </w:r>
      <w:bookmarkEnd w:id="1"/>
      <w:r>
        <w:rPr>
          <w:b/>
        </w:rPr>
        <w:t xml:space="preserve"> about here &gt;&gt;</w:t>
      </w:r>
    </w:p>
    <w:p w:rsidR="00E74A7C" w:rsidRPr="004E1023" w:rsidRDefault="00E74A7C" w:rsidP="00E74A7C"/>
    <w:p w:rsidR="00E74A7C" w:rsidRDefault="00E74A7C" w:rsidP="00E74A7C">
      <w:pPr>
        <w:spacing w:line="480" w:lineRule="auto"/>
        <w:ind w:right="630" w:firstLine="720"/>
        <w:outlineLvl w:val="0"/>
        <w:rPr>
          <w:b/>
        </w:rPr>
      </w:pPr>
    </w:p>
    <w:p w:rsidR="00E74A7C" w:rsidRDefault="00E74A7C" w:rsidP="00E74A7C">
      <w:pPr>
        <w:spacing w:line="480" w:lineRule="auto"/>
        <w:ind w:right="630" w:firstLine="720"/>
        <w:outlineLvl w:val="0"/>
        <w:rPr>
          <w:b/>
        </w:rPr>
      </w:pPr>
    </w:p>
    <w:p w:rsidR="00E74A7C" w:rsidRDefault="00E74A7C" w:rsidP="00E74A7C">
      <w:pPr>
        <w:spacing w:line="480" w:lineRule="auto"/>
        <w:ind w:right="630" w:firstLine="720"/>
        <w:outlineLvl w:val="0"/>
        <w:rPr>
          <w:b/>
        </w:rPr>
      </w:pPr>
    </w:p>
    <w:p w:rsidR="00E74A7C" w:rsidRDefault="00E74A7C" w:rsidP="00E74A7C">
      <w:pPr>
        <w:spacing w:line="480" w:lineRule="auto"/>
        <w:ind w:right="630" w:firstLine="720"/>
        <w:outlineLvl w:val="0"/>
        <w:rPr>
          <w:b/>
        </w:rPr>
      </w:pPr>
    </w:p>
    <w:p w:rsidR="00E74A7C" w:rsidRDefault="00E74A7C" w:rsidP="00E74A7C">
      <w:pPr>
        <w:spacing w:line="480" w:lineRule="auto"/>
        <w:ind w:right="630" w:firstLine="720"/>
        <w:outlineLvl w:val="0"/>
        <w:rPr>
          <w:b/>
        </w:rPr>
      </w:pPr>
    </w:p>
    <w:p w:rsidR="00E74A7C" w:rsidRDefault="00E74A7C" w:rsidP="00E74A7C">
      <w:pPr>
        <w:spacing w:after="160" w:line="259" w:lineRule="auto"/>
        <w:rPr>
          <w:b/>
        </w:rPr>
      </w:pPr>
      <w:r>
        <w:rPr>
          <w:b/>
        </w:rPr>
        <w:br w:type="page"/>
      </w:r>
    </w:p>
    <w:p w:rsidR="00E74A7C" w:rsidRPr="00C0757D" w:rsidRDefault="00E74A7C" w:rsidP="00E74A7C">
      <w:pPr>
        <w:spacing w:line="480" w:lineRule="auto"/>
        <w:ind w:right="630" w:firstLine="720"/>
        <w:outlineLvl w:val="0"/>
        <w:rPr>
          <w:b/>
          <w:color w:val="FF0000"/>
          <w:sz w:val="32"/>
          <w:szCs w:val="32"/>
        </w:rPr>
      </w:pPr>
      <w:r w:rsidRPr="00C0757D">
        <w:rPr>
          <w:b/>
          <w:color w:val="FF0000"/>
          <w:sz w:val="32"/>
          <w:szCs w:val="32"/>
        </w:rPr>
        <w:lastRenderedPageBreak/>
        <w:t xml:space="preserve">Delete this old version.  Use my new Table 1 instead  </w:t>
      </w:r>
    </w:p>
    <w:p w:rsidR="00E74A7C" w:rsidRPr="00C0757D" w:rsidRDefault="00E74A7C" w:rsidP="00E74A7C">
      <w:pPr>
        <w:spacing w:line="480" w:lineRule="auto"/>
        <w:ind w:right="630" w:firstLine="720"/>
        <w:outlineLvl w:val="0"/>
        <w:rPr>
          <w:b/>
          <w:color w:val="FF0000"/>
        </w:rPr>
      </w:pPr>
      <w:r w:rsidRPr="00C0757D">
        <w:rPr>
          <w:b/>
          <w:color w:val="FF0000"/>
        </w:rPr>
        <w:t>Table 1.  Electoral College Options</w:t>
      </w:r>
    </w:p>
    <w:tbl>
      <w:tblPr>
        <w:tblStyle w:val="TableGrid"/>
        <w:tblW w:w="0" w:type="auto"/>
        <w:jc w:val="center"/>
        <w:tblLayout w:type="fixed"/>
        <w:tblLook w:val="04A0" w:firstRow="1" w:lastRow="0" w:firstColumn="1" w:lastColumn="0" w:noHBand="0" w:noVBand="1"/>
      </w:tblPr>
      <w:tblGrid>
        <w:gridCol w:w="5024"/>
        <w:gridCol w:w="1343"/>
        <w:gridCol w:w="1265"/>
        <w:gridCol w:w="1266"/>
        <w:gridCol w:w="452"/>
      </w:tblGrid>
      <w:tr w:rsidR="00E74A7C" w:rsidRPr="00C0757D" w:rsidTr="00521DAC">
        <w:trPr>
          <w:jc w:val="center"/>
        </w:trPr>
        <w:tc>
          <w:tcPr>
            <w:tcW w:w="5024" w:type="dxa"/>
            <w:shd w:val="clear" w:color="auto" w:fill="808080" w:themeFill="background1" w:themeFillShade="80"/>
            <w:vAlign w:val="center"/>
          </w:tcPr>
          <w:p w:rsidR="00E74A7C" w:rsidRPr="00C0757D" w:rsidRDefault="00E74A7C" w:rsidP="00521DAC">
            <w:pPr>
              <w:ind w:right="124"/>
              <w:jc w:val="center"/>
              <w:rPr>
                <w:b/>
                <w:color w:val="FF0000"/>
                <w:sz w:val="20"/>
              </w:rPr>
            </w:pPr>
            <w:r w:rsidRPr="00C0757D">
              <w:rPr>
                <w:b/>
                <w:color w:val="FF0000"/>
                <w:sz w:val="20"/>
              </w:rPr>
              <w:t xml:space="preserve"> </w:t>
            </w:r>
          </w:p>
        </w:tc>
        <w:tc>
          <w:tcPr>
            <w:tcW w:w="1343" w:type="dxa"/>
            <w:shd w:val="clear" w:color="auto" w:fill="D9D9D9" w:themeFill="background1" w:themeFillShade="D9"/>
            <w:vAlign w:val="center"/>
          </w:tcPr>
          <w:p w:rsidR="00E74A7C" w:rsidRPr="00C0757D" w:rsidRDefault="00E74A7C" w:rsidP="00521DAC">
            <w:pPr>
              <w:ind w:right="124"/>
              <w:jc w:val="center"/>
              <w:rPr>
                <w:b/>
                <w:i/>
                <w:color w:val="FF0000"/>
                <w:sz w:val="20"/>
              </w:rPr>
            </w:pPr>
            <w:r w:rsidRPr="00C0757D">
              <w:rPr>
                <w:b/>
                <w:i/>
                <w:color w:val="FF0000"/>
                <w:sz w:val="20"/>
              </w:rPr>
              <w:t>[State-Unit Rule]</w:t>
            </w:r>
          </w:p>
          <w:p w:rsidR="00E74A7C" w:rsidRPr="00C0757D" w:rsidRDefault="00E74A7C" w:rsidP="00521DAC">
            <w:pPr>
              <w:ind w:right="124"/>
              <w:jc w:val="center"/>
              <w:rPr>
                <w:b/>
                <w:i/>
                <w:color w:val="FF0000"/>
                <w:sz w:val="20"/>
              </w:rPr>
            </w:pPr>
            <w:r w:rsidRPr="00C0757D">
              <w:rPr>
                <w:b/>
                <w:i/>
                <w:color w:val="FF0000"/>
                <w:sz w:val="20"/>
              </w:rPr>
              <w:t>(A)</w:t>
            </w:r>
          </w:p>
          <w:p w:rsidR="00E74A7C" w:rsidRPr="00C0757D" w:rsidRDefault="00E74A7C" w:rsidP="00521DAC">
            <w:pPr>
              <w:ind w:right="124"/>
              <w:jc w:val="center"/>
              <w:rPr>
                <w:color w:val="FF0000"/>
                <w:sz w:val="20"/>
              </w:rPr>
            </w:pPr>
            <w:r w:rsidRPr="00C0757D">
              <w:rPr>
                <w:color w:val="FF0000"/>
                <w:sz w:val="20"/>
              </w:rPr>
              <w:t>keep winner-take-all state-level allocations</w:t>
            </w:r>
          </w:p>
        </w:tc>
        <w:tc>
          <w:tcPr>
            <w:tcW w:w="2983" w:type="dxa"/>
            <w:gridSpan w:val="3"/>
            <w:shd w:val="clear" w:color="auto" w:fill="D9D9D9" w:themeFill="background1" w:themeFillShade="D9"/>
            <w:vAlign w:val="center"/>
          </w:tcPr>
          <w:p w:rsidR="00E74A7C" w:rsidRPr="00C0757D" w:rsidRDefault="00E74A7C" w:rsidP="00521DAC">
            <w:pPr>
              <w:ind w:right="75"/>
              <w:jc w:val="center"/>
              <w:rPr>
                <w:b/>
                <w:i/>
                <w:color w:val="FF0000"/>
                <w:sz w:val="20"/>
              </w:rPr>
            </w:pPr>
            <w:r w:rsidRPr="00C0757D">
              <w:rPr>
                <w:b/>
                <w:i/>
                <w:color w:val="FF0000"/>
                <w:sz w:val="20"/>
              </w:rPr>
              <w:t>[Proportional]</w:t>
            </w:r>
          </w:p>
          <w:p w:rsidR="00E74A7C" w:rsidRPr="00C0757D" w:rsidRDefault="00E74A7C" w:rsidP="00521DAC">
            <w:pPr>
              <w:ind w:right="75"/>
              <w:jc w:val="center"/>
              <w:rPr>
                <w:b/>
                <w:i/>
                <w:color w:val="FF0000"/>
                <w:sz w:val="20"/>
              </w:rPr>
            </w:pPr>
            <w:r w:rsidRPr="00C0757D">
              <w:rPr>
                <w:b/>
                <w:i/>
                <w:color w:val="FF0000"/>
                <w:sz w:val="20"/>
              </w:rPr>
              <w:t>(B)</w:t>
            </w:r>
          </w:p>
          <w:p w:rsidR="00E74A7C" w:rsidRPr="00C0757D" w:rsidRDefault="00E74A7C" w:rsidP="00521DAC">
            <w:pPr>
              <w:ind w:right="75"/>
              <w:jc w:val="center"/>
              <w:rPr>
                <w:b/>
                <w:color w:val="FF0000"/>
                <w:sz w:val="20"/>
              </w:rPr>
            </w:pPr>
            <w:r w:rsidRPr="00C0757D">
              <w:rPr>
                <w:color w:val="FF0000"/>
                <w:sz w:val="20"/>
              </w:rPr>
              <w:t>eliminate state-level winner-take-all</w:t>
            </w:r>
          </w:p>
          <w:p w:rsidR="00E74A7C" w:rsidRPr="00C0757D" w:rsidRDefault="00E74A7C" w:rsidP="00521DAC">
            <w:pPr>
              <w:ind w:right="75"/>
              <w:jc w:val="center"/>
              <w:rPr>
                <w:b/>
                <w:color w:val="FF0000"/>
                <w:sz w:val="20"/>
              </w:rPr>
            </w:pPr>
          </w:p>
        </w:tc>
      </w:tr>
      <w:tr w:rsidR="00E74A7C" w:rsidRPr="00C0757D" w:rsidTr="00521DAC">
        <w:trPr>
          <w:cantSplit/>
          <w:trHeight w:val="1134"/>
          <w:jc w:val="center"/>
        </w:trPr>
        <w:tc>
          <w:tcPr>
            <w:tcW w:w="5024" w:type="dxa"/>
            <w:vMerge w:val="restart"/>
            <w:shd w:val="clear" w:color="auto" w:fill="D9D9D9" w:themeFill="background1" w:themeFillShade="D9"/>
            <w:vAlign w:val="center"/>
          </w:tcPr>
          <w:p w:rsidR="00E74A7C" w:rsidRPr="00C0757D" w:rsidRDefault="00E74A7C" w:rsidP="00521DAC">
            <w:pPr>
              <w:ind w:right="40"/>
              <w:jc w:val="center"/>
              <w:rPr>
                <w:b/>
                <w:i/>
                <w:color w:val="FF0000"/>
                <w:sz w:val="20"/>
              </w:rPr>
            </w:pPr>
            <w:r w:rsidRPr="00C0757D">
              <w:rPr>
                <w:b/>
                <w:i/>
                <w:color w:val="FF0000"/>
                <w:sz w:val="20"/>
              </w:rPr>
              <w:t>[Electoral College]</w:t>
            </w:r>
          </w:p>
          <w:p w:rsidR="00E74A7C" w:rsidRPr="00C0757D" w:rsidRDefault="00E74A7C" w:rsidP="00521DAC">
            <w:pPr>
              <w:ind w:right="40"/>
              <w:jc w:val="center"/>
              <w:rPr>
                <w:b/>
                <w:i/>
                <w:color w:val="FF0000"/>
                <w:sz w:val="20"/>
              </w:rPr>
            </w:pPr>
            <w:r w:rsidRPr="00C0757D">
              <w:rPr>
                <w:b/>
                <w:i/>
                <w:color w:val="FF0000"/>
                <w:sz w:val="20"/>
              </w:rPr>
              <w:t>(I)</w:t>
            </w:r>
          </w:p>
          <w:p w:rsidR="00E74A7C" w:rsidRPr="00C0757D" w:rsidRDefault="00E74A7C" w:rsidP="00521DAC">
            <w:pPr>
              <w:ind w:right="40"/>
              <w:jc w:val="center"/>
              <w:rPr>
                <w:color w:val="FF0000"/>
                <w:sz w:val="20"/>
              </w:rPr>
            </w:pPr>
            <w:r w:rsidRPr="00C0757D">
              <w:rPr>
                <w:color w:val="FF0000"/>
                <w:sz w:val="20"/>
              </w:rPr>
              <w:t>keep two-seat “bonus” and House-size-based seat allocations</w:t>
            </w:r>
          </w:p>
        </w:tc>
        <w:tc>
          <w:tcPr>
            <w:tcW w:w="1343" w:type="dxa"/>
            <w:vMerge w:val="restart"/>
            <w:tcBorders>
              <w:right w:val="single" w:sz="12" w:space="0" w:color="auto"/>
            </w:tcBorders>
            <w:vAlign w:val="center"/>
          </w:tcPr>
          <w:p w:rsidR="00E74A7C" w:rsidRPr="00C0757D" w:rsidRDefault="00E74A7C" w:rsidP="00521DAC">
            <w:pPr>
              <w:pStyle w:val="ListParagraph"/>
              <w:ind w:left="68" w:hanging="7"/>
              <w:jc w:val="center"/>
              <w:rPr>
                <w:i/>
                <w:color w:val="FF0000"/>
                <w:sz w:val="20"/>
              </w:rPr>
            </w:pPr>
            <w:r w:rsidRPr="00C0757D">
              <w:rPr>
                <w:i/>
                <w:color w:val="FF0000"/>
                <w:sz w:val="20"/>
              </w:rPr>
              <w:t>Electoral College</w:t>
            </w:r>
          </w:p>
          <w:p w:rsidR="00E74A7C" w:rsidRPr="00C0757D" w:rsidRDefault="00E74A7C" w:rsidP="00521DAC">
            <w:pPr>
              <w:ind w:right="54"/>
              <w:jc w:val="center"/>
              <w:rPr>
                <w:i/>
                <w:iCs/>
                <w:color w:val="FF0000"/>
                <w:sz w:val="16"/>
              </w:rPr>
            </w:pPr>
          </w:p>
          <w:p w:rsidR="00E74A7C" w:rsidRPr="00C0757D" w:rsidRDefault="00E74A7C" w:rsidP="00521DAC">
            <w:pPr>
              <w:ind w:right="54"/>
              <w:jc w:val="center"/>
              <w:rPr>
                <w:i/>
                <w:iCs/>
                <w:color w:val="FF0000"/>
                <w:sz w:val="16"/>
              </w:rPr>
            </w:pPr>
            <w:r w:rsidRPr="00C0757D">
              <w:rPr>
                <w:i/>
                <w:iCs/>
                <w:color w:val="FF0000"/>
                <w:sz w:val="16"/>
              </w:rPr>
              <w:t>(District-allocation State-Unit Rule</w:t>
            </w:r>
          </w:p>
          <w:p w:rsidR="00E74A7C" w:rsidRPr="00C0757D" w:rsidRDefault="00E74A7C" w:rsidP="00521DAC">
            <w:pPr>
              <w:pStyle w:val="ListParagraph"/>
              <w:ind w:left="68" w:hanging="7"/>
              <w:jc w:val="center"/>
              <w:rPr>
                <w:color w:val="FF0000"/>
                <w:sz w:val="20"/>
              </w:rPr>
            </w:pPr>
            <w:r w:rsidRPr="00C0757D">
              <w:rPr>
                <w:i/>
                <w:color w:val="FF0000"/>
                <w:sz w:val="16"/>
              </w:rPr>
              <w:t>with 2 seat-bonus)</w:t>
            </w:r>
          </w:p>
        </w:tc>
        <w:tc>
          <w:tcPr>
            <w:tcW w:w="2531" w:type="dxa"/>
            <w:gridSpan w:val="2"/>
            <w:tcBorders>
              <w:left w:val="single" w:sz="12" w:space="0" w:color="auto"/>
            </w:tcBorders>
            <w:shd w:val="clear" w:color="auto" w:fill="FFFFFF" w:themeFill="background1"/>
            <w:vAlign w:val="center"/>
          </w:tcPr>
          <w:p w:rsidR="00E74A7C" w:rsidRPr="00C0757D" w:rsidRDefault="00E74A7C" w:rsidP="00521DAC">
            <w:pPr>
              <w:pStyle w:val="ListParagraph"/>
              <w:ind w:left="68" w:hanging="7"/>
              <w:jc w:val="center"/>
              <w:rPr>
                <w:i/>
                <w:color w:val="FF0000"/>
                <w:sz w:val="20"/>
              </w:rPr>
            </w:pPr>
            <w:r w:rsidRPr="00C0757D">
              <w:rPr>
                <w:i/>
                <w:color w:val="FF0000"/>
                <w:sz w:val="20"/>
              </w:rPr>
              <w:t>Whole-Number Proportionality with 2 seat-bonus</w:t>
            </w:r>
          </w:p>
          <w:p w:rsidR="00E74A7C" w:rsidRPr="00C0757D" w:rsidRDefault="00E74A7C" w:rsidP="00521DAC">
            <w:pPr>
              <w:pStyle w:val="ListParagraph"/>
              <w:ind w:left="108"/>
              <w:jc w:val="center"/>
              <w:rPr>
                <w:i/>
                <w:color w:val="FF0000"/>
                <w:sz w:val="20"/>
              </w:rPr>
            </w:pPr>
            <w:r w:rsidRPr="00C0757D">
              <w:rPr>
                <w:i/>
                <w:color w:val="FF0000"/>
                <w:sz w:val="20"/>
              </w:rPr>
              <w:t>(a)</w:t>
            </w:r>
          </w:p>
        </w:tc>
        <w:tc>
          <w:tcPr>
            <w:tcW w:w="452" w:type="dxa"/>
            <w:vMerge w:val="restart"/>
            <w:shd w:val="clear" w:color="auto" w:fill="F2F2F2" w:themeFill="background1" w:themeFillShade="F2"/>
            <w:textDirection w:val="tbRl"/>
          </w:tcPr>
          <w:p w:rsidR="00E74A7C" w:rsidRPr="00C0757D" w:rsidRDefault="00E74A7C" w:rsidP="00521DAC">
            <w:pPr>
              <w:pStyle w:val="ListParagraph"/>
              <w:ind w:right="113"/>
              <w:jc w:val="left"/>
              <w:rPr>
                <w:b/>
                <w:i/>
                <w:color w:val="FF0000"/>
                <w:sz w:val="20"/>
              </w:rPr>
            </w:pPr>
            <w:r w:rsidRPr="00C0757D">
              <w:rPr>
                <w:b/>
                <w:i/>
                <w:color w:val="FF0000"/>
                <w:sz w:val="20"/>
              </w:rPr>
              <w:t xml:space="preserve">More Proportional  </w:t>
            </w:r>
            <w:r w:rsidRPr="00C0757D">
              <w:rPr>
                <w:b/>
                <w:i/>
                <w:color w:val="FF0000"/>
                <w:sz w:val="20"/>
              </w:rPr>
              <w:sym w:font="Wingdings" w:char="F0E0"/>
            </w:r>
          </w:p>
        </w:tc>
      </w:tr>
      <w:tr w:rsidR="00E74A7C" w:rsidRPr="00C0757D" w:rsidTr="00521DAC">
        <w:trPr>
          <w:trHeight w:val="646"/>
          <w:jc w:val="center"/>
        </w:trPr>
        <w:tc>
          <w:tcPr>
            <w:tcW w:w="5024" w:type="dxa"/>
            <w:vMerge/>
            <w:tcBorders>
              <w:bottom w:val="single" w:sz="4" w:space="0" w:color="auto"/>
            </w:tcBorders>
            <w:shd w:val="clear" w:color="auto" w:fill="D9D9D9" w:themeFill="background1" w:themeFillShade="D9"/>
            <w:vAlign w:val="center"/>
          </w:tcPr>
          <w:p w:rsidR="00E74A7C" w:rsidRPr="00C0757D" w:rsidRDefault="00E74A7C" w:rsidP="00521DAC">
            <w:pPr>
              <w:ind w:right="40"/>
              <w:jc w:val="center"/>
              <w:rPr>
                <w:b/>
                <w:color w:val="FF0000"/>
                <w:sz w:val="20"/>
              </w:rPr>
            </w:pPr>
          </w:p>
        </w:tc>
        <w:tc>
          <w:tcPr>
            <w:tcW w:w="1343" w:type="dxa"/>
            <w:vMerge/>
            <w:tcBorders>
              <w:bottom w:val="single" w:sz="12" w:space="0" w:color="auto"/>
              <w:right w:val="single" w:sz="12" w:space="0" w:color="auto"/>
            </w:tcBorders>
            <w:vAlign w:val="center"/>
          </w:tcPr>
          <w:p w:rsidR="00E74A7C" w:rsidRPr="00C0757D" w:rsidRDefault="00E74A7C" w:rsidP="00521DAC">
            <w:pPr>
              <w:pStyle w:val="ListParagraph"/>
              <w:ind w:left="68"/>
              <w:jc w:val="center"/>
              <w:rPr>
                <w:i/>
                <w:color w:val="FF0000"/>
                <w:sz w:val="20"/>
              </w:rPr>
            </w:pPr>
          </w:p>
        </w:tc>
        <w:tc>
          <w:tcPr>
            <w:tcW w:w="1265" w:type="dxa"/>
            <w:tcBorders>
              <w:top w:val="single" w:sz="4" w:space="0" w:color="D9D9D9" w:themeColor="background1" w:themeShade="D9"/>
              <w:left w:val="single" w:sz="12" w:space="0" w:color="auto"/>
              <w:bottom w:val="single" w:sz="12" w:space="0" w:color="auto"/>
            </w:tcBorders>
            <w:shd w:val="clear" w:color="auto" w:fill="auto"/>
            <w:vAlign w:val="center"/>
          </w:tcPr>
          <w:p w:rsidR="00E74A7C" w:rsidRPr="00C0757D" w:rsidRDefault="00E74A7C" w:rsidP="00521DAC">
            <w:pPr>
              <w:pStyle w:val="ListParagraph"/>
              <w:ind w:left="108"/>
              <w:jc w:val="center"/>
              <w:rPr>
                <w:i/>
                <w:color w:val="FF0000"/>
                <w:sz w:val="20"/>
              </w:rPr>
            </w:pPr>
            <w:r w:rsidRPr="00C0757D">
              <w:rPr>
                <w:i/>
                <w:color w:val="FF0000"/>
                <w:sz w:val="20"/>
              </w:rPr>
              <w:t>Fractional Proportionality with 2 seat-bonus</w:t>
            </w:r>
          </w:p>
          <w:p w:rsidR="00E74A7C" w:rsidRPr="00C0757D" w:rsidRDefault="00E74A7C" w:rsidP="00521DAC">
            <w:pPr>
              <w:pStyle w:val="ListParagraph"/>
              <w:ind w:left="108"/>
              <w:jc w:val="center"/>
              <w:rPr>
                <w:i/>
                <w:color w:val="FF0000"/>
                <w:sz w:val="20"/>
              </w:rPr>
            </w:pPr>
            <w:r w:rsidRPr="00C0757D">
              <w:rPr>
                <w:i/>
                <w:color w:val="FF0000"/>
                <w:sz w:val="20"/>
              </w:rPr>
              <w:t>(b)</w:t>
            </w:r>
          </w:p>
        </w:tc>
        <w:tc>
          <w:tcPr>
            <w:tcW w:w="1266" w:type="dxa"/>
            <w:tcBorders>
              <w:top w:val="single" w:sz="4" w:space="0" w:color="D9D9D9" w:themeColor="background1" w:themeShade="D9"/>
              <w:bottom w:val="single" w:sz="12" w:space="0" w:color="auto"/>
            </w:tcBorders>
            <w:shd w:val="clear" w:color="auto" w:fill="auto"/>
            <w:vAlign w:val="center"/>
          </w:tcPr>
          <w:p w:rsidR="00E74A7C" w:rsidRPr="00C0757D" w:rsidRDefault="00E74A7C" w:rsidP="00521DAC">
            <w:pPr>
              <w:pStyle w:val="ListParagraph"/>
              <w:ind w:left="68"/>
              <w:jc w:val="center"/>
              <w:rPr>
                <w:i/>
                <w:color w:val="FF0000"/>
                <w:sz w:val="20"/>
              </w:rPr>
            </w:pPr>
            <w:r w:rsidRPr="00C0757D">
              <w:rPr>
                <w:i/>
                <w:color w:val="FF0000"/>
                <w:sz w:val="20"/>
              </w:rPr>
              <w:t>District-Rule with 2 seat-bonus</w:t>
            </w:r>
          </w:p>
          <w:p w:rsidR="00E74A7C" w:rsidRPr="00C0757D" w:rsidRDefault="00E74A7C" w:rsidP="00521DAC">
            <w:pPr>
              <w:pStyle w:val="ListParagraph"/>
              <w:ind w:left="108" w:hanging="17"/>
              <w:jc w:val="center"/>
              <w:rPr>
                <w:i/>
                <w:color w:val="FF0000"/>
                <w:sz w:val="20"/>
              </w:rPr>
            </w:pPr>
            <w:r w:rsidRPr="00C0757D">
              <w:rPr>
                <w:i/>
                <w:color w:val="FF0000"/>
                <w:sz w:val="20"/>
              </w:rPr>
              <w:t>(c)</w:t>
            </w:r>
          </w:p>
        </w:tc>
        <w:tc>
          <w:tcPr>
            <w:tcW w:w="452" w:type="dxa"/>
            <w:vMerge/>
            <w:shd w:val="clear" w:color="auto" w:fill="F2F2F2" w:themeFill="background1" w:themeFillShade="F2"/>
          </w:tcPr>
          <w:p w:rsidR="00E74A7C" w:rsidRPr="00C0757D" w:rsidRDefault="00E74A7C" w:rsidP="00521DAC">
            <w:pPr>
              <w:pStyle w:val="ListParagraph"/>
              <w:numPr>
                <w:ilvl w:val="0"/>
                <w:numId w:val="1"/>
              </w:numPr>
              <w:jc w:val="center"/>
              <w:rPr>
                <w:b/>
                <w:i/>
                <w:color w:val="FF0000"/>
                <w:sz w:val="20"/>
              </w:rPr>
            </w:pPr>
          </w:p>
        </w:tc>
      </w:tr>
      <w:tr w:rsidR="00E74A7C" w:rsidRPr="00C0757D" w:rsidTr="00521DAC">
        <w:trPr>
          <w:trHeight w:val="594"/>
          <w:jc w:val="center"/>
        </w:trPr>
        <w:tc>
          <w:tcPr>
            <w:tcW w:w="5024" w:type="dxa"/>
            <w:vMerge w:val="restart"/>
            <w:tcBorders>
              <w:top w:val="single" w:sz="4" w:space="0" w:color="auto"/>
            </w:tcBorders>
            <w:shd w:val="clear" w:color="auto" w:fill="D9D9D9" w:themeFill="background1" w:themeFillShade="D9"/>
            <w:vAlign w:val="center"/>
          </w:tcPr>
          <w:p w:rsidR="00E74A7C" w:rsidRPr="00C0757D" w:rsidRDefault="00E74A7C" w:rsidP="00521DAC">
            <w:pPr>
              <w:ind w:right="40"/>
              <w:jc w:val="center"/>
              <w:rPr>
                <w:b/>
                <w:i/>
                <w:color w:val="FF0000"/>
                <w:sz w:val="20"/>
              </w:rPr>
            </w:pPr>
            <w:r w:rsidRPr="00C0757D">
              <w:rPr>
                <w:b/>
                <w:i/>
                <w:color w:val="FF0000"/>
                <w:sz w:val="20"/>
              </w:rPr>
              <w:t>[District]</w:t>
            </w:r>
          </w:p>
          <w:p w:rsidR="00E74A7C" w:rsidRPr="00C0757D" w:rsidRDefault="00E74A7C" w:rsidP="00521DAC">
            <w:pPr>
              <w:ind w:right="40"/>
              <w:jc w:val="center"/>
              <w:rPr>
                <w:b/>
                <w:i/>
                <w:iCs/>
                <w:color w:val="FF0000"/>
                <w:sz w:val="20"/>
              </w:rPr>
            </w:pPr>
            <w:r w:rsidRPr="00C0757D">
              <w:rPr>
                <w:b/>
                <w:i/>
                <w:iCs/>
                <w:color w:val="FF0000"/>
                <w:sz w:val="20"/>
              </w:rPr>
              <w:t>(II)</w:t>
            </w:r>
          </w:p>
          <w:p w:rsidR="00E74A7C" w:rsidRPr="00C0757D" w:rsidRDefault="00E74A7C" w:rsidP="00521DAC">
            <w:pPr>
              <w:ind w:right="40"/>
              <w:jc w:val="center"/>
              <w:rPr>
                <w:color w:val="FF0000"/>
                <w:sz w:val="20"/>
              </w:rPr>
            </w:pPr>
            <w:r w:rsidRPr="00C0757D">
              <w:rPr>
                <w:color w:val="FF0000"/>
                <w:sz w:val="20"/>
              </w:rPr>
              <w:t>eliminate two-seat “bonus” but keep House-size-based allocations</w:t>
            </w:r>
          </w:p>
        </w:tc>
        <w:tc>
          <w:tcPr>
            <w:tcW w:w="1343" w:type="dxa"/>
            <w:vMerge w:val="restart"/>
            <w:tcBorders>
              <w:top w:val="single" w:sz="12" w:space="0" w:color="auto"/>
              <w:right w:val="single" w:sz="12" w:space="0" w:color="auto"/>
            </w:tcBorders>
            <w:vAlign w:val="center"/>
          </w:tcPr>
          <w:p w:rsidR="00E74A7C" w:rsidRPr="00C0757D" w:rsidRDefault="00E74A7C" w:rsidP="00521DAC">
            <w:pPr>
              <w:ind w:right="54"/>
              <w:jc w:val="center"/>
              <w:rPr>
                <w:i/>
                <w:iCs/>
                <w:color w:val="FF0000"/>
                <w:sz w:val="20"/>
              </w:rPr>
            </w:pPr>
            <w:r w:rsidRPr="00C0757D">
              <w:rPr>
                <w:i/>
                <w:iCs/>
                <w:color w:val="FF0000"/>
                <w:sz w:val="20"/>
              </w:rPr>
              <w:t>District-allocation State-Unit Rule</w:t>
            </w:r>
          </w:p>
          <w:p w:rsidR="00E74A7C" w:rsidRPr="00C0757D" w:rsidRDefault="00E74A7C" w:rsidP="00521DAC">
            <w:pPr>
              <w:ind w:right="54"/>
              <w:jc w:val="center"/>
              <w:rPr>
                <w:color w:val="FF0000"/>
                <w:sz w:val="20"/>
              </w:rPr>
            </w:pPr>
            <w:r w:rsidRPr="00C0757D">
              <w:rPr>
                <w:i/>
                <w:color w:val="FF0000"/>
                <w:sz w:val="20"/>
              </w:rPr>
              <w:t>without 2 seat-bonus</w:t>
            </w:r>
          </w:p>
        </w:tc>
        <w:tc>
          <w:tcPr>
            <w:tcW w:w="2531" w:type="dxa"/>
            <w:gridSpan w:val="2"/>
            <w:tcBorders>
              <w:left w:val="single" w:sz="12" w:space="0" w:color="auto"/>
            </w:tcBorders>
            <w:shd w:val="clear" w:color="auto" w:fill="FFFFFF" w:themeFill="background1"/>
            <w:vAlign w:val="center"/>
          </w:tcPr>
          <w:p w:rsidR="00E74A7C" w:rsidRPr="00C0757D" w:rsidRDefault="00E74A7C" w:rsidP="00521DAC">
            <w:pPr>
              <w:pStyle w:val="ListParagraph"/>
              <w:ind w:left="68" w:hanging="7"/>
              <w:jc w:val="center"/>
              <w:rPr>
                <w:i/>
                <w:color w:val="FF0000"/>
                <w:sz w:val="20"/>
              </w:rPr>
            </w:pPr>
            <w:r w:rsidRPr="00C0757D">
              <w:rPr>
                <w:i/>
                <w:color w:val="FF0000"/>
                <w:sz w:val="20"/>
              </w:rPr>
              <w:t xml:space="preserve"> Whole-Number Proportionality without 2 seat-bonus</w:t>
            </w:r>
          </w:p>
          <w:p w:rsidR="00E74A7C" w:rsidRPr="00C0757D" w:rsidRDefault="00E74A7C" w:rsidP="00521DAC">
            <w:pPr>
              <w:pStyle w:val="ListParagraph"/>
              <w:ind w:left="108"/>
              <w:jc w:val="center"/>
              <w:rPr>
                <w:i/>
                <w:color w:val="FF0000"/>
                <w:sz w:val="20"/>
              </w:rPr>
            </w:pPr>
            <w:r w:rsidRPr="00C0757D">
              <w:rPr>
                <w:i/>
                <w:color w:val="FF0000"/>
                <w:sz w:val="20"/>
              </w:rPr>
              <w:t>(a)</w:t>
            </w:r>
          </w:p>
        </w:tc>
        <w:tc>
          <w:tcPr>
            <w:tcW w:w="452" w:type="dxa"/>
            <w:vMerge/>
            <w:shd w:val="clear" w:color="auto" w:fill="F2F2F2" w:themeFill="background1" w:themeFillShade="F2"/>
          </w:tcPr>
          <w:p w:rsidR="00E74A7C" w:rsidRPr="00C0757D" w:rsidRDefault="00E74A7C" w:rsidP="00521DAC">
            <w:pPr>
              <w:pStyle w:val="ListParagraph"/>
              <w:numPr>
                <w:ilvl w:val="0"/>
                <w:numId w:val="2"/>
              </w:numPr>
              <w:jc w:val="center"/>
              <w:rPr>
                <w:b/>
                <w:i/>
                <w:color w:val="FF0000"/>
                <w:sz w:val="20"/>
              </w:rPr>
            </w:pPr>
          </w:p>
        </w:tc>
      </w:tr>
      <w:tr w:rsidR="00E74A7C" w:rsidRPr="00C0757D" w:rsidTr="00521DAC">
        <w:trPr>
          <w:trHeight w:val="593"/>
          <w:jc w:val="center"/>
        </w:trPr>
        <w:tc>
          <w:tcPr>
            <w:tcW w:w="5024" w:type="dxa"/>
            <w:vMerge/>
            <w:tcBorders>
              <w:bottom w:val="single" w:sz="4" w:space="0" w:color="auto"/>
            </w:tcBorders>
            <w:shd w:val="clear" w:color="auto" w:fill="D9D9D9" w:themeFill="background1" w:themeFillShade="D9"/>
            <w:vAlign w:val="center"/>
          </w:tcPr>
          <w:p w:rsidR="00E74A7C" w:rsidRPr="00C0757D" w:rsidRDefault="00E74A7C" w:rsidP="00521DAC">
            <w:pPr>
              <w:ind w:right="40"/>
              <w:jc w:val="center"/>
              <w:rPr>
                <w:b/>
                <w:color w:val="FF0000"/>
                <w:sz w:val="20"/>
              </w:rPr>
            </w:pPr>
          </w:p>
        </w:tc>
        <w:tc>
          <w:tcPr>
            <w:tcW w:w="1343" w:type="dxa"/>
            <w:vMerge/>
            <w:tcBorders>
              <w:bottom w:val="single" w:sz="12" w:space="0" w:color="auto"/>
              <w:right w:val="single" w:sz="12" w:space="0" w:color="auto"/>
            </w:tcBorders>
            <w:vAlign w:val="center"/>
          </w:tcPr>
          <w:p w:rsidR="00E74A7C" w:rsidRPr="00C0757D" w:rsidRDefault="00E74A7C" w:rsidP="00521DAC">
            <w:pPr>
              <w:pStyle w:val="ListParagraph"/>
              <w:ind w:left="68"/>
              <w:jc w:val="center"/>
              <w:rPr>
                <w:i/>
                <w:color w:val="FF0000"/>
                <w:sz w:val="20"/>
              </w:rPr>
            </w:pPr>
          </w:p>
        </w:tc>
        <w:tc>
          <w:tcPr>
            <w:tcW w:w="1265" w:type="dxa"/>
            <w:tcBorders>
              <w:left w:val="single" w:sz="12" w:space="0" w:color="auto"/>
              <w:bottom w:val="single" w:sz="12" w:space="0" w:color="auto"/>
            </w:tcBorders>
            <w:shd w:val="clear" w:color="auto" w:fill="auto"/>
            <w:vAlign w:val="center"/>
          </w:tcPr>
          <w:p w:rsidR="00E74A7C" w:rsidRPr="00C0757D" w:rsidRDefault="00E74A7C" w:rsidP="00521DAC">
            <w:pPr>
              <w:pStyle w:val="ListParagraph"/>
              <w:ind w:left="108"/>
              <w:jc w:val="center"/>
              <w:rPr>
                <w:i/>
                <w:color w:val="FF0000"/>
                <w:sz w:val="20"/>
              </w:rPr>
            </w:pPr>
            <w:r w:rsidRPr="00C0757D">
              <w:rPr>
                <w:i/>
                <w:color w:val="FF0000"/>
                <w:sz w:val="20"/>
              </w:rPr>
              <w:t>Fractional Proportionality without 2 seat-bonus</w:t>
            </w:r>
          </w:p>
          <w:p w:rsidR="00E74A7C" w:rsidRPr="00C0757D" w:rsidRDefault="00E74A7C" w:rsidP="00521DAC">
            <w:pPr>
              <w:pStyle w:val="ListParagraph"/>
              <w:ind w:left="108"/>
              <w:jc w:val="center"/>
              <w:rPr>
                <w:i/>
                <w:color w:val="FF0000"/>
                <w:sz w:val="20"/>
              </w:rPr>
            </w:pPr>
            <w:r w:rsidRPr="00C0757D">
              <w:rPr>
                <w:i/>
                <w:color w:val="FF0000"/>
                <w:sz w:val="20"/>
              </w:rPr>
              <w:t>(b)</w:t>
            </w:r>
          </w:p>
        </w:tc>
        <w:tc>
          <w:tcPr>
            <w:tcW w:w="1266" w:type="dxa"/>
            <w:tcBorders>
              <w:top w:val="single" w:sz="4" w:space="0" w:color="D9D9D9" w:themeColor="background1" w:themeShade="D9"/>
              <w:bottom w:val="single" w:sz="12" w:space="0" w:color="auto"/>
            </w:tcBorders>
            <w:shd w:val="clear" w:color="auto" w:fill="auto"/>
            <w:vAlign w:val="center"/>
          </w:tcPr>
          <w:p w:rsidR="00E74A7C" w:rsidRPr="00C0757D" w:rsidRDefault="00E74A7C" w:rsidP="00521DAC">
            <w:pPr>
              <w:pStyle w:val="ListParagraph"/>
              <w:ind w:left="68"/>
              <w:jc w:val="center"/>
              <w:rPr>
                <w:i/>
                <w:color w:val="FF0000"/>
                <w:sz w:val="20"/>
              </w:rPr>
            </w:pPr>
            <w:r w:rsidRPr="00C0757D">
              <w:rPr>
                <w:i/>
                <w:color w:val="FF0000"/>
                <w:sz w:val="20"/>
              </w:rPr>
              <w:t>District-Rule without 2 seat-bonus</w:t>
            </w:r>
          </w:p>
          <w:p w:rsidR="00E74A7C" w:rsidRPr="00C0757D" w:rsidRDefault="00E74A7C" w:rsidP="00521DAC">
            <w:pPr>
              <w:ind w:left="108" w:hanging="17"/>
              <w:jc w:val="center"/>
              <w:rPr>
                <w:i/>
                <w:color w:val="FF0000"/>
                <w:sz w:val="20"/>
              </w:rPr>
            </w:pPr>
            <w:r w:rsidRPr="00C0757D">
              <w:rPr>
                <w:i/>
                <w:color w:val="FF0000"/>
                <w:sz w:val="20"/>
              </w:rPr>
              <w:t xml:space="preserve"> (c)</w:t>
            </w:r>
          </w:p>
        </w:tc>
        <w:tc>
          <w:tcPr>
            <w:tcW w:w="452" w:type="dxa"/>
            <w:vMerge/>
            <w:shd w:val="clear" w:color="auto" w:fill="F2F2F2" w:themeFill="background1" w:themeFillShade="F2"/>
          </w:tcPr>
          <w:p w:rsidR="00E74A7C" w:rsidRPr="00C0757D" w:rsidRDefault="00E74A7C" w:rsidP="00521DAC">
            <w:pPr>
              <w:pStyle w:val="ListParagraph"/>
              <w:numPr>
                <w:ilvl w:val="0"/>
                <w:numId w:val="2"/>
              </w:numPr>
              <w:jc w:val="center"/>
              <w:rPr>
                <w:b/>
                <w:i/>
                <w:color w:val="FF0000"/>
                <w:sz w:val="20"/>
              </w:rPr>
            </w:pPr>
          </w:p>
        </w:tc>
      </w:tr>
      <w:tr w:rsidR="00E74A7C" w:rsidRPr="00C0757D" w:rsidTr="00521DAC">
        <w:trPr>
          <w:jc w:val="center"/>
        </w:trPr>
        <w:tc>
          <w:tcPr>
            <w:tcW w:w="5024" w:type="dxa"/>
            <w:tcBorders>
              <w:top w:val="single" w:sz="4" w:space="0" w:color="auto"/>
              <w:bottom w:val="single" w:sz="4" w:space="0" w:color="auto"/>
            </w:tcBorders>
            <w:shd w:val="clear" w:color="auto" w:fill="D9D9D9" w:themeFill="background1" w:themeFillShade="D9"/>
            <w:vAlign w:val="center"/>
          </w:tcPr>
          <w:p w:rsidR="00E74A7C" w:rsidRPr="00C0757D" w:rsidRDefault="00E74A7C" w:rsidP="00521DAC">
            <w:pPr>
              <w:ind w:right="40"/>
              <w:jc w:val="center"/>
              <w:rPr>
                <w:b/>
                <w:i/>
                <w:color w:val="FF0000"/>
                <w:sz w:val="20"/>
              </w:rPr>
            </w:pPr>
            <w:r w:rsidRPr="00C0757D">
              <w:rPr>
                <w:b/>
                <w:i/>
                <w:color w:val="FF0000"/>
                <w:sz w:val="20"/>
              </w:rPr>
              <w:t>[Population]</w:t>
            </w:r>
          </w:p>
          <w:p w:rsidR="00E74A7C" w:rsidRPr="00C0757D" w:rsidRDefault="00E74A7C" w:rsidP="00521DAC">
            <w:pPr>
              <w:ind w:right="40"/>
              <w:jc w:val="center"/>
              <w:rPr>
                <w:b/>
                <w:i/>
                <w:iCs/>
                <w:color w:val="FF0000"/>
                <w:sz w:val="20"/>
              </w:rPr>
            </w:pPr>
            <w:r w:rsidRPr="00C0757D">
              <w:rPr>
                <w:b/>
                <w:i/>
                <w:iCs/>
                <w:color w:val="FF0000"/>
                <w:sz w:val="20"/>
              </w:rPr>
              <w:t>(III)</w:t>
            </w:r>
          </w:p>
          <w:p w:rsidR="00E74A7C" w:rsidRPr="00C0757D" w:rsidRDefault="00E74A7C" w:rsidP="00521DAC">
            <w:pPr>
              <w:ind w:right="40"/>
              <w:jc w:val="center"/>
              <w:rPr>
                <w:color w:val="FF0000"/>
                <w:sz w:val="20"/>
              </w:rPr>
            </w:pPr>
            <w:proofErr w:type="gramStart"/>
            <w:r w:rsidRPr="00C0757D">
              <w:rPr>
                <w:color w:val="FF0000"/>
                <w:sz w:val="20"/>
              </w:rPr>
              <w:t>eliminate</w:t>
            </w:r>
            <w:proofErr w:type="gramEnd"/>
            <w:r w:rsidRPr="00C0757D">
              <w:rPr>
                <w:color w:val="FF0000"/>
                <w:sz w:val="20"/>
              </w:rPr>
              <w:t xml:space="preserve"> both two-seat “bonus” and House-size-based allocations and replace with population allocation. </w:t>
            </w:r>
            <w:r w:rsidRPr="00C0757D">
              <w:rPr>
                <w:b/>
                <w:color w:val="FF0000"/>
                <w:sz w:val="20"/>
              </w:rPr>
              <w:t>There is no apportionment rule.</w:t>
            </w:r>
          </w:p>
        </w:tc>
        <w:tc>
          <w:tcPr>
            <w:tcW w:w="1343" w:type="dxa"/>
            <w:tcBorders>
              <w:top w:val="single" w:sz="12" w:space="0" w:color="auto"/>
              <w:bottom w:val="single" w:sz="12" w:space="0" w:color="auto"/>
              <w:right w:val="single" w:sz="12" w:space="0" w:color="auto"/>
            </w:tcBorders>
            <w:vAlign w:val="center"/>
          </w:tcPr>
          <w:p w:rsidR="00E74A7C" w:rsidRPr="00C0757D" w:rsidRDefault="00E74A7C" w:rsidP="00521DAC">
            <w:pPr>
              <w:jc w:val="center"/>
              <w:rPr>
                <w:i/>
                <w:color w:val="FF0000"/>
                <w:sz w:val="20"/>
              </w:rPr>
            </w:pPr>
            <w:r w:rsidRPr="00C0757D">
              <w:rPr>
                <w:i/>
                <w:iCs/>
                <w:color w:val="FF0000"/>
                <w:sz w:val="20"/>
              </w:rPr>
              <w:t>Population</w:t>
            </w:r>
            <w:r w:rsidRPr="00C0757D">
              <w:rPr>
                <w:i/>
                <w:color w:val="FF0000"/>
                <w:sz w:val="20"/>
              </w:rPr>
              <w:t xml:space="preserve"> State-Unit</w:t>
            </w:r>
          </w:p>
        </w:tc>
        <w:tc>
          <w:tcPr>
            <w:tcW w:w="2531" w:type="dxa"/>
            <w:gridSpan w:val="2"/>
            <w:tcBorders>
              <w:left w:val="single" w:sz="12" w:space="0" w:color="auto"/>
              <w:bottom w:val="single" w:sz="12" w:space="0" w:color="auto"/>
            </w:tcBorders>
            <w:vAlign w:val="center"/>
          </w:tcPr>
          <w:p w:rsidR="00E74A7C" w:rsidRPr="00C0757D" w:rsidRDefault="00E74A7C" w:rsidP="00521DAC">
            <w:pPr>
              <w:ind w:left="108" w:hanging="17"/>
              <w:jc w:val="center"/>
              <w:rPr>
                <w:i/>
                <w:color w:val="FF0000"/>
                <w:sz w:val="20"/>
              </w:rPr>
            </w:pPr>
            <w:r w:rsidRPr="00C0757D">
              <w:rPr>
                <w:i/>
                <w:color w:val="FF0000"/>
                <w:sz w:val="20"/>
              </w:rPr>
              <w:t>Popular Vote</w:t>
            </w:r>
          </w:p>
        </w:tc>
        <w:tc>
          <w:tcPr>
            <w:tcW w:w="452" w:type="dxa"/>
            <w:vMerge/>
            <w:shd w:val="clear" w:color="auto" w:fill="F2F2F2" w:themeFill="background1" w:themeFillShade="F2"/>
          </w:tcPr>
          <w:p w:rsidR="00E74A7C" w:rsidRPr="00C0757D" w:rsidRDefault="00E74A7C" w:rsidP="00521DAC">
            <w:pPr>
              <w:jc w:val="center"/>
              <w:rPr>
                <w:b/>
                <w:i/>
                <w:color w:val="FF0000"/>
                <w:sz w:val="20"/>
              </w:rPr>
            </w:pPr>
          </w:p>
        </w:tc>
      </w:tr>
      <w:tr w:rsidR="00E74A7C" w:rsidRPr="00C0757D" w:rsidTr="00521DAC">
        <w:trPr>
          <w:jc w:val="center"/>
        </w:trPr>
        <w:tc>
          <w:tcPr>
            <w:tcW w:w="5024" w:type="dxa"/>
            <w:tcBorders>
              <w:top w:val="single" w:sz="4" w:space="0" w:color="auto"/>
            </w:tcBorders>
            <w:shd w:val="clear" w:color="auto" w:fill="D9D9D9" w:themeFill="background1" w:themeFillShade="D9"/>
            <w:vAlign w:val="center"/>
          </w:tcPr>
          <w:p w:rsidR="00E74A7C" w:rsidRPr="00C0757D" w:rsidRDefault="00E74A7C" w:rsidP="00521DAC">
            <w:pPr>
              <w:ind w:right="40"/>
              <w:jc w:val="center"/>
              <w:rPr>
                <w:b/>
                <w:color w:val="FF0000"/>
                <w:sz w:val="20"/>
              </w:rPr>
            </w:pPr>
          </w:p>
        </w:tc>
        <w:tc>
          <w:tcPr>
            <w:tcW w:w="4326" w:type="dxa"/>
            <w:gridSpan w:val="4"/>
            <w:shd w:val="clear" w:color="auto" w:fill="F2F2F2" w:themeFill="background1" w:themeFillShade="F2"/>
            <w:vAlign w:val="center"/>
          </w:tcPr>
          <w:p w:rsidR="00E74A7C" w:rsidRPr="00C0757D" w:rsidRDefault="00E74A7C" w:rsidP="00521DAC">
            <w:pPr>
              <w:jc w:val="center"/>
              <w:rPr>
                <w:b/>
                <w:i/>
                <w:color w:val="FF0000"/>
                <w:sz w:val="20"/>
              </w:rPr>
            </w:pPr>
            <w:r w:rsidRPr="00C0757D">
              <w:rPr>
                <w:b/>
                <w:i/>
                <w:color w:val="FF0000"/>
                <w:sz w:val="20"/>
              </w:rPr>
              <w:t xml:space="preserve">More Proportional  </w:t>
            </w:r>
            <w:r w:rsidRPr="00C0757D">
              <w:rPr>
                <w:b/>
                <w:i/>
                <w:color w:val="FF0000"/>
                <w:sz w:val="20"/>
              </w:rPr>
              <w:sym w:font="Wingdings" w:char="F0E0"/>
            </w:r>
          </w:p>
        </w:tc>
      </w:tr>
    </w:tbl>
    <w:p w:rsidR="00E74A7C" w:rsidRDefault="00E74A7C" w:rsidP="00E74A7C">
      <w:pPr>
        <w:spacing w:line="480" w:lineRule="auto"/>
        <w:ind w:right="630" w:firstLine="720"/>
        <w:rPr>
          <w:b/>
          <w:color w:val="FF0000"/>
        </w:rPr>
      </w:pPr>
    </w:p>
    <w:p w:rsidR="00E74A7C" w:rsidRDefault="00E74A7C" w:rsidP="00E74A7C">
      <w:pPr>
        <w:spacing w:after="160" w:line="259" w:lineRule="auto"/>
      </w:pPr>
      <w:r>
        <w:br w:type="page"/>
      </w:r>
    </w:p>
    <w:p w:rsidR="00E74A7C" w:rsidRPr="00BE27CF" w:rsidRDefault="00E74A7C" w:rsidP="00E74A7C">
      <w:pPr>
        <w:spacing w:line="480" w:lineRule="auto"/>
        <w:ind w:right="630" w:firstLine="720"/>
        <w:rPr>
          <w:b/>
        </w:rPr>
      </w:pPr>
      <w:r w:rsidRPr="009922D4">
        <w:lastRenderedPageBreak/>
        <w:t xml:space="preserve">The </w:t>
      </w:r>
      <w:r w:rsidRPr="00F31E01">
        <w:t>first of the</w:t>
      </w:r>
      <w:r>
        <w:t xml:space="preserve"> alternatives we consider </w:t>
      </w:r>
      <w:r w:rsidRPr="00C53D9D">
        <w:t xml:space="preserve">sets an </w:t>
      </w:r>
      <w:proofErr w:type="gramStart"/>
      <w:r>
        <w:t>electoral college</w:t>
      </w:r>
      <w:proofErr w:type="gramEnd"/>
      <w:r w:rsidRPr="00C53D9D">
        <w:t xml:space="preserve"> vote share equal to the size of the state’s delegation in the U.S. House divided by the total number of seats in the House, i.e., an </w:t>
      </w:r>
      <w:r>
        <w:t xml:space="preserve">electoral college </w:t>
      </w:r>
      <w:r w:rsidRPr="00C53D9D">
        <w:t>with the two seat Senate bonus removed.</w:t>
      </w:r>
      <w:r w:rsidRPr="00C53D9D">
        <w:rPr>
          <w:rStyle w:val="FootnoteReference"/>
        </w:rPr>
        <w:footnoteReference w:id="2"/>
      </w:r>
      <w:r>
        <w:t xml:space="preserve"> We refer to it </w:t>
      </w:r>
      <w:r w:rsidRPr="00C53D9D">
        <w:t xml:space="preserve">as a </w:t>
      </w:r>
      <w:r>
        <w:rPr>
          <w:i/>
          <w:iCs/>
        </w:rPr>
        <w:t>District-allocation State-</w:t>
      </w:r>
      <w:r>
        <w:rPr>
          <w:i/>
        </w:rPr>
        <w:t xml:space="preserve">Unit Rule without 2-seat bonus (AII). </w:t>
      </w:r>
      <w:r>
        <w:rPr>
          <w:b/>
        </w:rPr>
        <w:t xml:space="preserve">The equation is the same as the Electoral College (2), except every </w:t>
      </w:r>
      <w:proofErr w:type="spellStart"/>
      <w:r w:rsidRPr="00814CC9">
        <w:rPr>
          <w:b/>
          <w:i/>
        </w:rPr>
        <w:t>electors</w:t>
      </w:r>
      <w:r w:rsidRPr="00814CC9">
        <w:rPr>
          <w:b/>
          <w:i/>
          <w:vertAlign w:val="subscript"/>
        </w:rPr>
        <w:t>ys</w:t>
      </w:r>
      <w:proofErr w:type="spellEnd"/>
      <w:r>
        <w:rPr>
          <w:b/>
        </w:rPr>
        <w:t xml:space="preserve"> is first subtracted by two (A, II).</w:t>
      </w:r>
    </w:p>
    <w:p w:rsidR="00E74A7C" w:rsidRDefault="00E74A7C" w:rsidP="00E74A7C">
      <w:pPr>
        <w:spacing w:line="480" w:lineRule="auto"/>
        <w:ind w:right="630" w:firstLine="720"/>
        <w:rPr>
          <w:b/>
        </w:rPr>
      </w:pPr>
      <w:r w:rsidRPr="00C53D9D">
        <w:rPr>
          <w:i/>
        </w:rPr>
        <w:t xml:space="preserve"> </w:t>
      </w:r>
      <w:r w:rsidRPr="00C53D9D">
        <w:t xml:space="preserve">The second sets the </w:t>
      </w:r>
      <w:proofErr w:type="gramStart"/>
      <w:r>
        <w:t>electoral college</w:t>
      </w:r>
      <w:proofErr w:type="gramEnd"/>
      <w:r>
        <w:t xml:space="preserve"> v</w:t>
      </w:r>
      <w:r w:rsidRPr="00C53D9D">
        <w:t xml:space="preserve">ote share as identical to the state’s share of the national population, with fractional allocations to allow for (nearly) perfect proportionality, i.e., an </w:t>
      </w:r>
      <w:r>
        <w:t xml:space="preserve">electoral college </w:t>
      </w:r>
      <w:r w:rsidRPr="00C53D9D">
        <w:t>that corrects for both House malapportionment and malapportionment due to the two seat Senate bonus.</w:t>
      </w:r>
      <w:r w:rsidRPr="00C53D9D">
        <w:rPr>
          <w:b/>
          <w:color w:val="FF0000"/>
        </w:rPr>
        <w:t xml:space="preserve"> </w:t>
      </w:r>
      <w:r>
        <w:rPr>
          <w:b/>
          <w:color w:val="FF0000"/>
        </w:rPr>
        <w:t xml:space="preserve"> </w:t>
      </w:r>
      <w:r w:rsidRPr="00C53D9D">
        <w:t>W</w:t>
      </w:r>
      <w:r>
        <w:t xml:space="preserve">e refer to </w:t>
      </w:r>
      <w:r w:rsidRPr="00D8413E">
        <w:t xml:space="preserve">the </w:t>
      </w:r>
      <w:r w:rsidRPr="00C53D9D">
        <w:t xml:space="preserve">second as a </w:t>
      </w:r>
      <w:r>
        <w:rPr>
          <w:i/>
          <w:iCs/>
        </w:rPr>
        <w:t>P</w:t>
      </w:r>
      <w:r w:rsidRPr="00C53D9D">
        <w:rPr>
          <w:i/>
          <w:iCs/>
        </w:rPr>
        <w:t>opulatio</w:t>
      </w:r>
      <w:r>
        <w:rPr>
          <w:i/>
          <w:iCs/>
        </w:rPr>
        <w:t xml:space="preserve">n-Weighted State-Unit </w:t>
      </w:r>
      <w:r>
        <w:rPr>
          <w:i/>
        </w:rPr>
        <w:t>Rule (AIII)</w:t>
      </w:r>
      <w:r>
        <w:t xml:space="preserve">. </w:t>
      </w:r>
      <w:r>
        <w:rPr>
          <w:b/>
        </w:rPr>
        <w:t>Here, instead of the total electors equaling 538, it is set to 1, or 100%, and each state gets exactly the percentage of this EC as their census year population, and the winning candidate is the one that wins enough states such that their share of the states’ allocations surpasses 50% of the population.</w:t>
      </w:r>
    </w:p>
    <w:p w:rsidR="00E74A7C" w:rsidRDefault="00E74A7C" w:rsidP="00E74A7C">
      <w:pPr>
        <w:spacing w:line="480" w:lineRule="auto"/>
        <w:ind w:right="630" w:firstLine="720"/>
        <w:rPr>
          <w:b/>
        </w:rPr>
      </w:pPr>
    </w:p>
    <w:p w:rsidR="00E74A7C" w:rsidRDefault="00E74A7C" w:rsidP="00E74A7C">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population weighted state unit rule</m:t>
            </m:r>
          </m:e>
          <m:sub>
            <m:r>
              <m:rPr>
                <m:sty m:val="bi"/>
              </m:rPr>
              <w:rPr>
                <w:rFonts w:ascii="Cambria Math"/>
              </w:rPr>
              <m:t>y</m:t>
            </m:r>
          </m:sub>
        </m:sSub>
        <m:r>
          <m:rPr>
            <m:sty m:val="bi"/>
          </m:rPr>
          <w:rPr>
            <w:rFonts w:asci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popshare</m:t>
                    </m:r>
                  </m:e>
                  <m:sub>
                    <m:r>
                      <m:rPr>
                        <m:sty m:val="bi"/>
                      </m:rPr>
                      <w:rPr>
                        <w:rFonts w:ascii="Cambria Math" w:hAnsi="Cambria Math"/>
                      </w:rPr>
                      <m:t>ys</m:t>
                    </m:r>
                  </m:sub>
                </m:sSub>
              </m:e>
            </m:nary>
            <m:r>
              <m:rPr>
                <m:sty m:val="bi"/>
              </m:rPr>
              <w:rPr>
                <w:rFonts w:ascii="Cambria Math" w:hAnsi="Cambria Math"/>
              </w:rPr>
              <m:t>*{1*</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r>
                  <m:rPr>
                    <m:sty m:val="bi"/>
                  </m:rPr>
                  <w:rPr>
                    <w:rFonts w:ascii="Cambria Math" w:hAnsi="Cambria Math"/>
                  </w:rPr>
                  <m:t>&gt;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e>
            </m:d>
            <m:r>
              <m:rPr>
                <m:sty m:val="bi"/>
              </m:rPr>
              <w:rPr>
                <w:rFonts w:ascii="Cambria Math" w:hAnsi="Cambria Math"/>
              </w:rPr>
              <m:t>+0*</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yi</m:t>
                    </m:r>
                  </m:sub>
                </m:sSub>
                <m:r>
                  <m:rPr>
                    <m:sty m:val="bi"/>
                  </m:rPr>
                  <w:rPr>
                    <w:rFonts w:ascii="Cambria Math" w:hAnsi="Cambria Math"/>
                  </w:rPr>
                  <m:t xml:space="preserve">&gt; </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yi</m:t>
                    </m:r>
                  </m:sub>
                </m:sSub>
              </m:e>
            </m:d>
            <m:r>
              <m:rPr>
                <m:sty m:val="bi"/>
              </m:rPr>
              <w:rPr>
                <w:rFonts w:ascii="Cambria Math" w:hAnsi="Cambria Math"/>
              </w:rPr>
              <m:t>}</m:t>
            </m:r>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pop</m:t>
                    </m:r>
                  </m:e>
                  <m:sub>
                    <m:r>
                      <m:rPr>
                        <m:sty m:val="bi"/>
                      </m:rPr>
                      <w:rPr>
                        <w:rFonts w:ascii="Cambria Math" w:hAnsi="Cambria Math"/>
                      </w:rPr>
                      <m:t>ys</m:t>
                    </m:r>
                  </m:sub>
                </m:sSub>
              </m:e>
            </m:nary>
          </m:den>
        </m:f>
      </m:oMath>
      <w:r>
        <w:rPr>
          <w:b/>
        </w:rPr>
        <w:t xml:space="preserve"> </w:t>
      </w:r>
      <w:r>
        <w:rPr>
          <w:b/>
        </w:rPr>
        <w:tab/>
        <w:t>(A, III)</w:t>
      </w:r>
    </w:p>
    <w:p w:rsidR="00E74A7C" w:rsidRDefault="00E74A7C" w:rsidP="00E74A7C">
      <w:pPr>
        <w:spacing w:line="480" w:lineRule="auto"/>
        <w:ind w:right="630" w:firstLine="720"/>
        <w:rPr>
          <w:b/>
        </w:rPr>
      </w:pPr>
    </w:p>
    <w:p w:rsidR="00E74A7C" w:rsidRPr="00681FE9" w:rsidRDefault="00E74A7C" w:rsidP="00E74A7C">
      <w:pPr>
        <w:spacing w:line="480" w:lineRule="auto"/>
        <w:ind w:right="630" w:firstLine="720"/>
        <w:rPr>
          <w:b/>
          <w:color w:val="FF0000"/>
        </w:rPr>
      </w:pPr>
      <w:r>
        <w:rPr>
          <w:b/>
        </w:rPr>
        <w:t xml:space="preserve">In the same way that one might expect campaigns to employ a different strategy then with the Electoral College, a proportionality rule such as a state </w:t>
      </w:r>
      <w:r>
        <w:rPr>
          <w:b/>
        </w:rPr>
        <w:lastRenderedPageBreak/>
        <w:t xml:space="preserve">population allocation might encourage regional candidates or smaller parties to run because it would not be necessary to win a majority of states or votes, since the winner would be the candidate who can attract enough support in a subset of states that is greater than any other candidate.  Essentially, even though seats are awarded nearly proportionately, this rule would change the nature of campaigns for the highest office.  Any increase in the number of viable candidates who go on to win </w:t>
      </w:r>
      <w:proofErr w:type="gramStart"/>
      <w:r>
        <w:rPr>
          <w:b/>
        </w:rPr>
        <w:t>electoral college</w:t>
      </w:r>
      <w:proofErr w:type="gramEnd"/>
      <w:r>
        <w:rPr>
          <w:b/>
        </w:rPr>
        <w:t xml:space="preserve"> seats would result in the winner of an election winning smaller pluralities.  With the winner-take-all feature maintained, which results in an unbalanced distribution of votes in some states, we would expect to result in </w:t>
      </w:r>
      <w:r>
        <w:rPr>
          <w:b/>
          <w:i/>
        </w:rPr>
        <w:t xml:space="preserve">more </w:t>
      </w:r>
      <w:r>
        <w:rPr>
          <w:b/>
        </w:rPr>
        <w:t>frequently split popular and electoral votes. For the purposes of this essay, we treat the actual results as if they happened under the alternative rules.</w:t>
      </w:r>
    </w:p>
    <w:p w:rsidR="00E74A7C" w:rsidRDefault="00E74A7C" w:rsidP="00E74A7C">
      <w:pPr>
        <w:spacing w:line="480" w:lineRule="auto"/>
        <w:ind w:right="630" w:firstLine="720"/>
      </w:pPr>
      <w:r w:rsidRPr="00C53D9D">
        <w:t>The third</w:t>
      </w:r>
      <w:r>
        <w:t xml:space="preserve"> proposal </w:t>
      </w:r>
      <w:r w:rsidRPr="00C53D9D">
        <w:t xml:space="preserve">is to create an </w:t>
      </w:r>
      <w:r>
        <w:t xml:space="preserve">electoral college </w:t>
      </w:r>
      <w:r w:rsidRPr="00C53D9D">
        <w:t xml:space="preserve">that allocates its votes in a proportional </w:t>
      </w:r>
      <w:r>
        <w:t xml:space="preserve">or more proportional </w:t>
      </w:r>
      <w:r w:rsidRPr="00C53D9D">
        <w:t>way to the state’s share of the present EC, rather than in terms of winner</w:t>
      </w:r>
      <w:r>
        <w:t>-</w:t>
      </w:r>
      <w:r w:rsidRPr="00C53D9D">
        <w:t>take</w:t>
      </w:r>
      <w:r>
        <w:t>-</w:t>
      </w:r>
      <w:r w:rsidRPr="00C53D9D">
        <w:t>all</w:t>
      </w:r>
      <w:r>
        <w:t>.</w:t>
      </w:r>
      <w:r w:rsidRPr="00DF5CFD">
        <w:rPr>
          <w:rStyle w:val="FootnoteReference"/>
        </w:rPr>
        <w:t xml:space="preserve"> </w:t>
      </w:r>
      <w:r>
        <w:rPr>
          <w:rStyle w:val="FootnoteReference"/>
        </w:rPr>
        <w:t xml:space="preserve"> </w:t>
      </w:r>
      <w:r>
        <w:t xml:space="preserve"> Here there are </w:t>
      </w:r>
      <w:r>
        <w:rPr>
          <w:b/>
        </w:rPr>
        <w:t>two</w:t>
      </w:r>
      <w:r>
        <w:t xml:space="preserve"> main variants, </w:t>
      </w:r>
      <w:r>
        <w:rPr>
          <w:b/>
        </w:rPr>
        <w:t>each of which have two minor distinctions</w:t>
      </w:r>
      <w:r>
        <w:t xml:space="preserve">. </w:t>
      </w:r>
      <w:r w:rsidRPr="00C53D9D">
        <w:t xml:space="preserve"> </w:t>
      </w:r>
      <w:r w:rsidRPr="004737F2">
        <w:rPr>
          <w:b/>
        </w:rPr>
        <w:t>The first</w:t>
      </w:r>
      <w:r>
        <w:rPr>
          <w:b/>
        </w:rPr>
        <w:t xml:space="preserve"> major</w:t>
      </w:r>
      <w:r w:rsidRPr="004737F2">
        <w:rPr>
          <w:b/>
        </w:rPr>
        <w:t xml:space="preserve"> variant uses the current allocation of EC seats, the second allocates </w:t>
      </w:r>
      <w:r>
        <w:rPr>
          <w:b/>
        </w:rPr>
        <w:t>electors</w:t>
      </w:r>
      <w:r w:rsidRPr="004737F2">
        <w:rPr>
          <w:b/>
        </w:rPr>
        <w:t xml:space="preserve"> based on representation in the House of Representatives</w:t>
      </w:r>
      <w:r>
        <w:rPr>
          <w:b/>
        </w:rPr>
        <w:t xml:space="preserve">, </w:t>
      </w:r>
      <w:proofErr w:type="spellStart"/>
      <w:r>
        <w:rPr>
          <w:b/>
        </w:rPr>
        <w:t>I</w:t>
      </w:r>
      <w:proofErr w:type="gramStart"/>
      <w:r>
        <w:rPr>
          <w:b/>
        </w:rPr>
        <w:t>,e</w:t>
      </w:r>
      <w:proofErr w:type="spellEnd"/>
      <w:proofErr w:type="gramEnd"/>
      <w:r>
        <w:rPr>
          <w:b/>
        </w:rPr>
        <w:t>, with the two-seat bonus eliminated</w:t>
      </w:r>
      <w:r>
        <w:rPr>
          <w:b/>
          <w:i/>
        </w:rPr>
        <w:t xml:space="preserve">. </w:t>
      </w:r>
      <w:r w:rsidRPr="00F64F89">
        <w:rPr>
          <w:b/>
        </w:rPr>
        <w:t>For the minor variations</w:t>
      </w:r>
      <w:r>
        <w:rPr>
          <w:b/>
        </w:rPr>
        <w:t>,</w:t>
      </w:r>
    </w:p>
    <w:p w:rsidR="00E74A7C" w:rsidRPr="00626287" w:rsidRDefault="00E74A7C" w:rsidP="00E74A7C">
      <w:pPr>
        <w:spacing w:line="480" w:lineRule="auto"/>
        <w:ind w:right="630" w:firstLine="720"/>
        <w:rPr>
          <w:b/>
        </w:rPr>
      </w:pPr>
      <w:r w:rsidRPr="00626287">
        <w:rPr>
          <w:b/>
          <w:i/>
        </w:rPr>
        <w:t>Whole-Number Proportiona</w:t>
      </w:r>
      <w:r>
        <w:rPr>
          <w:b/>
          <w:i/>
        </w:rPr>
        <w:t>lity (</w:t>
      </w:r>
      <w:proofErr w:type="spellStart"/>
      <w:proofErr w:type="gramStart"/>
      <w:r>
        <w:rPr>
          <w:b/>
          <w:i/>
        </w:rPr>
        <w:t>BIa</w:t>
      </w:r>
      <w:proofErr w:type="spellEnd"/>
      <w:proofErr w:type="gramEnd"/>
      <w:r>
        <w:rPr>
          <w:b/>
          <w:i/>
        </w:rPr>
        <w:t xml:space="preserve"> &amp; </w:t>
      </w:r>
      <w:proofErr w:type="spellStart"/>
      <w:r>
        <w:rPr>
          <w:b/>
          <w:i/>
        </w:rPr>
        <w:t>BIIa</w:t>
      </w:r>
      <w:proofErr w:type="spellEnd"/>
      <w:r>
        <w:rPr>
          <w:b/>
          <w:i/>
        </w:rPr>
        <w:t xml:space="preserve">) </w:t>
      </w:r>
      <w:r>
        <w:rPr>
          <w:b/>
        </w:rPr>
        <w:t>for both the Electoral College and House delegation sizes are given by the following series of equations:</w:t>
      </w:r>
    </w:p>
    <w:p w:rsidR="00E74A7C" w:rsidRDefault="00E74A7C" w:rsidP="00E74A7C">
      <w:pPr>
        <w:spacing w:line="480" w:lineRule="auto"/>
        <w:ind w:right="630" w:firstLine="720"/>
      </w:pPr>
    </w:p>
    <w:p w:rsidR="00E74A7C" w:rsidRPr="00F17A32" w:rsidRDefault="00E74A7C" w:rsidP="00E74A7C">
      <w:pPr>
        <w:spacing w:line="480" w:lineRule="auto"/>
        <w:ind w:right="630" w:firstLine="720"/>
        <w:rPr>
          <w:b/>
        </w:rPr>
      </w:pPr>
      <m:oMathPara>
        <m:oMath>
          <m:r>
            <m:rPr>
              <m:sty m:val="bi"/>
            </m:rPr>
            <w:rPr>
              <w:rFonts w:ascii="Cambria Math" w:hAnsi="Cambria Math"/>
            </w:rPr>
            <m:t>n=</m:t>
          </m:r>
          <m:d>
            <m:dPr>
              <m:begChr m:val="{"/>
              <m:endChr m:val="}"/>
              <m:ctrlPr>
                <w:rPr>
                  <w:rFonts w:ascii="Cambria Math" w:hAnsi="Cambria Math"/>
                  <w:b/>
                  <w:i/>
                </w:rPr>
              </m:ctrlPr>
            </m:dPr>
            <m:e>
              <m:r>
                <m:rPr>
                  <m:sty m:val="bi"/>
                </m:rPr>
                <w:rPr>
                  <w:rFonts w:ascii="Cambria Math" w:hAnsi="Cambria Math"/>
                </w:rPr>
                <m:t>1, 2, …, Total Seats</m:t>
              </m:r>
            </m:e>
          </m:d>
        </m:oMath>
      </m:oMathPara>
    </w:p>
    <w:p w:rsidR="00E74A7C" w:rsidRPr="00F17A32" w:rsidRDefault="00E74A7C" w:rsidP="00E74A7C">
      <w:pPr>
        <w:spacing w:line="480" w:lineRule="auto"/>
        <w:ind w:right="630" w:firstLine="720"/>
        <w:jc w:val="center"/>
        <w:rPr>
          <w:b/>
        </w:rPr>
      </w:pPr>
      <m:oMathPara>
        <m:oMath>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ys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seat</m:t>
                      </m:r>
                    </m:e>
                    <m:sub>
                      <m:r>
                        <m:rPr>
                          <m:sty m:val="bi"/>
                        </m:rPr>
                        <w:rPr>
                          <w:rFonts w:ascii="Cambria Math" w:hAnsi="Cambria Math"/>
                        </w:rPr>
                        <m:t>n</m:t>
                      </m:r>
                    </m:sub>
                  </m:sSub>
                  <m:r>
                    <m:rPr>
                      <m:sty m:val="bi"/>
                    </m:rPr>
                    <w:rPr>
                      <w:rFonts w:ascii="Cambria Math" w:hAnsi="Cambria Math"/>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seat</m:t>
                          </m:r>
                        </m:e>
                        <m:sub>
                          <m:r>
                            <m:rPr>
                              <m:sty m:val="bi"/>
                            </m:rPr>
                            <w:rPr>
                              <w:rFonts w:ascii="Cambria Math" w:hAnsi="Cambria Math"/>
                            </w:rPr>
                            <m:t>n</m:t>
                          </m:r>
                        </m:sub>
                      </m:sSub>
                      <m:r>
                        <m:rPr>
                          <m:sty m:val="bi"/>
                        </m:rPr>
                        <w:rPr>
                          <w:rFonts w:ascii="Cambria Math" w:hAnsi="Cambria Math"/>
                        </w:rPr>
                        <m:t>+1</m:t>
                      </m:r>
                    </m:e>
                  </m:d>
                </m:e>
              </m:rad>
            </m:den>
          </m:f>
        </m:oMath>
      </m:oMathPara>
    </w:p>
    <w:p w:rsidR="00E74A7C" w:rsidRPr="00F17A32" w:rsidRDefault="00E74A7C" w:rsidP="00E74A7C">
      <w:pPr>
        <w:spacing w:line="480" w:lineRule="auto"/>
        <w:ind w:right="630" w:firstLine="720"/>
        <w:jc w:val="center"/>
        <w:rPr>
          <w:b/>
        </w:rPr>
      </w:pPr>
      <m:oMath>
        <m:sSub>
          <m:sSubPr>
            <m:ctrlPr>
              <w:rPr>
                <w:rFonts w:ascii="Cambria Math" w:hAnsi="Cambria Math"/>
                <w:b/>
                <w:i/>
              </w:rPr>
            </m:ctrlPr>
          </m:sSubPr>
          <m:e>
            <m:r>
              <m:rPr>
                <m:sty m:val="bi"/>
              </m:rPr>
              <w:rPr>
                <w:rFonts w:ascii="Cambria Math" w:hAnsi="Cambria Math"/>
              </w:rPr>
              <m:t>State_allocation</m:t>
            </m:r>
          </m:e>
          <m:sub>
            <m:r>
              <m:rPr>
                <m:sty m:val="bi"/>
              </m:rPr>
              <w:rPr>
                <w:rFonts w:ascii="Cambria Math" w:hAnsi="Cambria Math"/>
              </w:rPr>
              <m:t>y</m:t>
            </m:r>
          </m:sub>
        </m:sSub>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 xml:space="preserve">ys </m:t>
                    </m:r>
                  </m:sub>
                </m:sSub>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r>
                  <m:rPr>
                    <m:sty m:val="bi"/>
                  </m:rPr>
                  <w:rPr>
                    <w:rFonts w:ascii="Cambria Math" w:hAnsi="Cambria Math"/>
                  </w:rPr>
                  <m:t xml:space="preserve">, … , </m:t>
                </m:r>
                <m:sSub>
                  <m:sSubPr>
                    <m:ctrlPr>
                      <w:rPr>
                        <w:rFonts w:ascii="Cambria Math" w:hAnsi="Cambria Math"/>
                        <w:b/>
                        <w:i/>
                      </w:rPr>
                    </m:ctrlPr>
                  </m:sSubPr>
                  <m:e>
                    <m:r>
                      <m:rPr>
                        <m:sty m:val="bi"/>
                      </m:rPr>
                      <w:rPr>
                        <w:rFonts w:ascii="Cambria Math" w:hAnsi="Cambria Math"/>
                      </w:rPr>
                      <m:t>Quota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 xml:space="preserve">ys </m:t>
                    </m:r>
                  </m:sub>
                </m:sSub>
                <m:ctrlPr>
                  <w:rPr>
                    <w:rFonts w:ascii="Cambria Math" w:eastAsia="Cambria Math" w:hAnsi="Cambria Math" w:cs="Cambria Math"/>
                    <w:b/>
                    <w:i/>
                  </w:rPr>
                </m:ctrlPr>
              </m:e>
              <m:e/>
            </m:eqArr>
          </m:e>
        </m:d>
      </m:oMath>
      <w:r w:rsidRPr="00F17A32">
        <w:rPr>
          <w:b/>
        </w:rPr>
        <w:t xml:space="preserve"> </w:t>
      </w:r>
      <w:r w:rsidRPr="00F17A32">
        <w:rPr>
          <w:b/>
        </w:rPr>
        <w:tab/>
      </w:r>
    </w:p>
    <w:p w:rsidR="00E74A7C" w:rsidRDefault="00E74A7C" w:rsidP="00E74A7C">
      <w:pPr>
        <w:spacing w:line="480" w:lineRule="auto"/>
        <w:ind w:right="630" w:firstLine="720"/>
        <w:rPr>
          <w:b/>
        </w:rPr>
      </w:pPr>
      <w:r w:rsidRPr="00F17A32">
        <w:rPr>
          <w:b/>
        </w:rPr>
        <w:t xml:space="preserve">Where the products in set </w:t>
      </w:r>
      <w:proofErr w:type="spellStart"/>
      <w:r w:rsidRPr="00F17A32">
        <w:rPr>
          <w:b/>
          <w:i/>
        </w:rPr>
        <w:t>State_allocation</w:t>
      </w:r>
      <w:proofErr w:type="spellEnd"/>
      <w:r w:rsidRPr="00F17A32">
        <w:rPr>
          <w:b/>
        </w:rPr>
        <w:t xml:space="preserve"> are ordered and the </w:t>
      </w:r>
      <w:r>
        <w:rPr>
          <w:b/>
        </w:rPr>
        <w:t xml:space="preserve">number of seats, </w:t>
      </w:r>
      <w:r w:rsidRPr="00F17A32">
        <w:rPr>
          <w:b/>
          <w:i/>
        </w:rPr>
        <w:t>n</w:t>
      </w:r>
      <w:r>
        <w:rPr>
          <w:b/>
        </w:rPr>
        <w:t>-</w:t>
      </w:r>
      <w:r w:rsidRPr="00F17A32">
        <w:rPr>
          <w:b/>
        </w:rPr>
        <w:t xml:space="preserve">top </w:t>
      </w:r>
      <w:r w:rsidRPr="00F17A32">
        <w:rPr>
          <w:b/>
          <w:i/>
        </w:rPr>
        <w:t xml:space="preserve">priority numbers </w:t>
      </w:r>
      <w:r w:rsidRPr="00F17A32">
        <w:rPr>
          <w:b/>
        </w:rPr>
        <w:t>are allocated seats accordingly.</w:t>
      </w:r>
    </w:p>
    <w:p w:rsidR="00E74A7C" w:rsidRPr="00F17A32" w:rsidRDefault="00E74A7C" w:rsidP="00E74A7C">
      <w:pPr>
        <w:spacing w:line="480" w:lineRule="auto"/>
        <w:ind w:right="630" w:firstLine="720"/>
        <w:rPr>
          <w:b/>
        </w:rPr>
      </w:pPr>
    </w:p>
    <w:p w:rsidR="00E74A7C" w:rsidRPr="00CC0C08" w:rsidRDefault="00E74A7C" w:rsidP="00E74A7C">
      <w:pPr>
        <w:spacing w:line="480" w:lineRule="auto"/>
        <w:ind w:right="630" w:firstLine="720"/>
        <w:jc w:val="center"/>
        <w:rPr>
          <w:b/>
        </w:rPr>
      </w:pPr>
      <m:oMath>
        <m:r>
          <m:rPr>
            <m:sty m:val="bi"/>
          </m:rPr>
          <w:rPr>
            <w:rFonts w:ascii="Cambria Math" w:hAnsi="Cambria Math"/>
          </w:rPr>
          <m:t>whole number proportionality</m:t>
        </m:r>
        <m:r>
          <m:rPr>
            <m:sty m:val="bi"/>
          </m:rPr>
          <w:rPr>
            <w:rFonts w:asci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1 * Stat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allocation</m:t>
                            </m:r>
                          </m:sub>
                        </m:sSub>
                      </m:e>
                      <m:sub>
                        <m:r>
                          <m:rPr>
                            <m:sty m:val="bi"/>
                          </m:rPr>
                          <w:rPr>
                            <w:rFonts w:ascii="Cambria Math" w:hAnsi="Cambria Math"/>
                          </w:rPr>
                          <m:t>ys Dem</m:t>
                        </m:r>
                      </m:sub>
                    </m:sSub>
                  </m:e>
                </m:d>
                <m:r>
                  <m:rPr>
                    <m:sty m:val="bi"/>
                  </m:rPr>
                  <w:rPr>
                    <w:rFonts w:ascii="Cambria Math" w:hAnsi="Cambria Math"/>
                  </w:rPr>
                  <m:t xml:space="preserve">+(0 * </m:t>
                </m:r>
                <m:sSub>
                  <m:sSubPr>
                    <m:ctrlPr>
                      <w:rPr>
                        <w:rFonts w:ascii="Cambria Math" w:hAnsi="Cambria Math"/>
                        <w:b/>
                        <w:i/>
                      </w:rPr>
                    </m:ctrlPr>
                  </m:sSubPr>
                  <m:e>
                    <m:r>
                      <m:rPr>
                        <m:sty m:val="bi"/>
                      </m:rPr>
                      <w:rPr>
                        <w:rFonts w:ascii="Cambria Math" w:hAnsi="Cambria Math"/>
                      </w:rPr>
                      <m:t>Stat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allocation</m:t>
                        </m:r>
                      </m:sub>
                    </m:sSub>
                  </m:e>
                  <m:sub>
                    <m:r>
                      <m:rPr>
                        <m:sty m:val="bi"/>
                      </m:rPr>
                      <w:rPr>
                        <w:rFonts w:ascii="Cambria Math" w:hAnsi="Cambria Math"/>
                      </w:rPr>
                      <m:t>ys Rep</m:t>
                    </m:r>
                  </m:sub>
                </m:sSub>
                <m:r>
                  <m:rPr>
                    <m:sty m:val="bi"/>
                  </m:rPr>
                  <w:rPr>
                    <w:rFonts w:ascii="Cambria Math" w:hAnsi="Cambria Math"/>
                  </w:rPr>
                  <m:t xml:space="preserve"> )</m:t>
                </m:r>
              </m:e>
            </m:nary>
          </m:num>
          <m:den>
            <m:r>
              <m:rPr>
                <m:sty m:val="bi"/>
              </m:rPr>
              <w:rPr>
                <w:rFonts w:ascii="Cambria Math" w:hAnsi="Cambria Math"/>
              </w:rPr>
              <m:t>total electors</m:t>
            </m:r>
          </m:den>
        </m:f>
      </m:oMath>
      <w:r>
        <w:rPr>
          <w:b/>
        </w:rPr>
        <w:t xml:space="preserve"> </w:t>
      </w:r>
      <w:r>
        <w:rPr>
          <w:b/>
        </w:rPr>
        <w:tab/>
      </w:r>
      <w:r w:rsidRPr="00F17A32">
        <w:rPr>
          <w:b/>
        </w:rPr>
        <w:t xml:space="preserve">(B, </w:t>
      </w:r>
      <w:proofErr w:type="spellStart"/>
      <w:proofErr w:type="gramStart"/>
      <w:r w:rsidRPr="00F17A32">
        <w:rPr>
          <w:b/>
        </w:rPr>
        <w:t>Ia</w:t>
      </w:r>
      <w:proofErr w:type="spellEnd"/>
      <w:proofErr w:type="gramEnd"/>
      <w:r>
        <w:rPr>
          <w:b/>
        </w:rPr>
        <w:t xml:space="preserve"> &amp; </w:t>
      </w:r>
      <w:proofErr w:type="spellStart"/>
      <w:r>
        <w:rPr>
          <w:b/>
        </w:rPr>
        <w:t>IIa</w:t>
      </w:r>
      <w:proofErr w:type="spellEnd"/>
      <w:r w:rsidRPr="00F17A32">
        <w:rPr>
          <w:b/>
        </w:rPr>
        <w:t>)</w:t>
      </w:r>
    </w:p>
    <w:p w:rsidR="00E74A7C" w:rsidRDefault="00E74A7C" w:rsidP="00E74A7C">
      <w:pPr>
        <w:spacing w:line="480" w:lineRule="auto"/>
        <w:ind w:right="630" w:firstLine="720"/>
        <w:jc w:val="center"/>
      </w:pPr>
    </w:p>
    <w:p w:rsidR="00E74A7C" w:rsidRPr="00626287" w:rsidRDefault="00E74A7C" w:rsidP="00E74A7C">
      <w:pPr>
        <w:spacing w:line="480" w:lineRule="auto"/>
        <w:ind w:right="630" w:firstLine="720"/>
      </w:pPr>
      <w:r>
        <w:rPr>
          <w:b/>
        </w:rPr>
        <w:t xml:space="preserve">The second minor variation is the </w:t>
      </w:r>
      <w:r>
        <w:rPr>
          <w:b/>
          <w:i/>
        </w:rPr>
        <w:t>Fractional</w:t>
      </w:r>
      <w:r w:rsidRPr="00C62C2A">
        <w:rPr>
          <w:b/>
          <w:i/>
        </w:rPr>
        <w:t xml:space="preserve"> Proportional</w:t>
      </w:r>
      <w:r>
        <w:rPr>
          <w:b/>
          <w:i/>
        </w:rPr>
        <w:t>ity (</w:t>
      </w:r>
      <w:proofErr w:type="spellStart"/>
      <w:r>
        <w:rPr>
          <w:b/>
          <w:i/>
        </w:rPr>
        <w:t>BIb</w:t>
      </w:r>
      <w:proofErr w:type="spellEnd"/>
      <w:r>
        <w:rPr>
          <w:b/>
          <w:i/>
        </w:rPr>
        <w:t xml:space="preserve"> &amp; </w:t>
      </w:r>
      <w:proofErr w:type="spellStart"/>
      <w:r>
        <w:rPr>
          <w:b/>
          <w:i/>
        </w:rPr>
        <w:t>BIIb</w:t>
      </w:r>
      <w:proofErr w:type="spellEnd"/>
      <w:r>
        <w:rPr>
          <w:b/>
          <w:i/>
        </w:rPr>
        <w:t>)</w:t>
      </w:r>
      <w:r>
        <w:rPr>
          <w:b/>
        </w:rPr>
        <w:t>, which electors are abolished, and candidates receive their share of the state-wide vote rounded to the third decimal. This variant has been proposed numerous times and was actually passed by the US Senate in 1950 under what was known as the Lodge-Gossett amendment (S.J. Res. 2 of the 81</w:t>
      </w:r>
      <w:r w:rsidRPr="00C83A39">
        <w:rPr>
          <w:b/>
          <w:vertAlign w:val="superscript"/>
        </w:rPr>
        <w:t>st</w:t>
      </w:r>
      <w:r>
        <w:rPr>
          <w:b/>
        </w:rPr>
        <w:t xml:space="preserve"> Congress). The </w:t>
      </w:r>
      <w:r w:rsidRPr="00626287">
        <w:rPr>
          <w:b/>
          <w:i/>
        </w:rPr>
        <w:t>Fractional</w:t>
      </w:r>
      <w:r>
        <w:rPr>
          <w:b/>
          <w:i/>
        </w:rPr>
        <w:t xml:space="preserve"> Proportionality </w:t>
      </w:r>
      <w:r>
        <w:rPr>
          <w:b/>
        </w:rPr>
        <w:t xml:space="preserve">alternative results in an increase in proportionality from </w:t>
      </w:r>
      <w:r>
        <w:rPr>
          <w:b/>
          <w:i/>
        </w:rPr>
        <w:t xml:space="preserve">Whole-Number Proportionality </w:t>
      </w:r>
      <w:r>
        <w:rPr>
          <w:b/>
        </w:rPr>
        <w:t xml:space="preserve">but yet is less proportional then </w:t>
      </w:r>
      <w:r>
        <w:rPr>
          <w:b/>
          <w:i/>
        </w:rPr>
        <w:t>Popular Vote,</w:t>
      </w:r>
      <w:r>
        <w:rPr>
          <w:b/>
        </w:rPr>
        <w:t xml:space="preserve"> because it sets the number of Electors each state gets but relaxes the unit-rule nature of the election.  It failed ratification in the House of Representatives (</w:t>
      </w:r>
      <w:proofErr w:type="spellStart"/>
      <w:r>
        <w:rPr>
          <w:b/>
        </w:rPr>
        <w:t>Koza</w:t>
      </w:r>
      <w:proofErr w:type="spellEnd"/>
      <w:r>
        <w:rPr>
          <w:b/>
        </w:rPr>
        <w:t xml:space="preserve"> et al 2013).  The equation is as follows,</w:t>
      </w:r>
    </w:p>
    <w:p w:rsidR="00E74A7C" w:rsidRDefault="00E74A7C" w:rsidP="00E74A7C">
      <w:pPr>
        <w:spacing w:line="480" w:lineRule="auto"/>
        <w:ind w:right="630" w:firstLine="720"/>
        <w:rPr>
          <w:b/>
        </w:rPr>
      </w:pPr>
    </w:p>
    <w:p w:rsidR="00E74A7C" w:rsidRPr="0075679C" w:rsidRDefault="00E74A7C" w:rsidP="00E74A7C">
      <w:pPr>
        <w:spacing w:line="480" w:lineRule="auto"/>
        <w:ind w:right="630" w:firstLine="720"/>
        <w:rPr>
          <w:b/>
        </w:rPr>
      </w:pPr>
      <m:oMathPara>
        <m:oMath>
          <m:r>
            <m:rPr>
              <m:sty m:val="bi"/>
            </m:rPr>
            <w:rPr>
              <w:rFonts w:ascii="Cambria Math" w:hAnsi="Cambria Math"/>
            </w:rPr>
            <m:t xml:space="preserve">fractional proportionality= </m:t>
          </m:r>
        </m:oMath>
      </m:oMathPara>
    </w:p>
    <w:p w:rsidR="00E74A7C" w:rsidRPr="00451DF2" w:rsidRDefault="00E74A7C" w:rsidP="00E74A7C">
      <w:pPr>
        <w:spacing w:line="480" w:lineRule="auto"/>
        <w:ind w:right="630" w:firstLine="720"/>
        <w:rPr>
          <w:b/>
        </w:rPr>
      </w:pPr>
      <m:oMathPara>
        <m:oMath>
          <m:r>
            <m:rPr>
              <m:sty m:val="bi"/>
            </m:rPr>
            <w:rPr>
              <w:rFonts w:ascii="Cambria Math" w:hAns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d>
                    <m:dPr>
                      <m:begChr m:val="["/>
                      <m:endChr m:val="]"/>
                      <m:ctrlPr>
                        <w:rPr>
                          <w:rFonts w:ascii="Cambria Math" w:hAnsi="Cambria Math"/>
                          <w:b/>
                          <w:i/>
                        </w:rPr>
                      </m:ctrlPr>
                    </m:dPr>
                    <m:e>
                      <m:f>
                        <m:fPr>
                          <m:type m:val="skw"/>
                          <m:ctrlPr>
                            <w:rPr>
                              <w:rFonts w:ascii="Cambria Math" w:hAnsi="Cambria Math"/>
                              <w:b/>
                              <w:i/>
                            </w:rPr>
                          </m:ctrlPr>
                        </m:fPr>
                        <m:num>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num>
                        <m:den>
                          <m:sSub>
                            <m:sSubPr>
                              <m:ctrlPr>
                                <w:rPr>
                                  <w:rFonts w:ascii="Cambria Math" w:hAnsi="Cambria Math"/>
                                  <w:b/>
                                  <w:i/>
                                </w:rPr>
                              </m:ctrlPr>
                            </m:sSubPr>
                            <m:e>
                              <m:r>
                                <m:rPr>
                                  <m:sty m:val="bi"/>
                                </m:rPr>
                                <w:rPr>
                                  <w:rFonts w:ascii="Cambria Math" w:hAnsi="Cambria Math"/>
                                </w:rPr>
                                <m:t>Dem votes</m:t>
                              </m:r>
                            </m:e>
                            <m:sub>
                              <m:r>
                                <m:rPr>
                                  <m:sty m:val="bi"/>
                                </m:rPr>
                                <w:rPr>
                                  <w:rFonts w:ascii="Cambria Math" w:hAnsi="Cambria Math"/>
                                </w:rPr>
                                <m:t>ys</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Rep votes</m:t>
                              </m:r>
                            </m:e>
                            <m:sub>
                              <m:r>
                                <m:rPr>
                                  <m:sty m:val="bi"/>
                                </m:rPr>
                                <w:rPr>
                                  <w:rFonts w:ascii="Cambria Math" w:hAnsi="Cambria Math"/>
                                </w:rPr>
                                <m:t>ys</m:t>
                              </m:r>
                            </m:sub>
                          </m:sSub>
                        </m:den>
                      </m:f>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electors</m:t>
                      </m:r>
                    </m:e>
                    <m:sub>
                      <m:r>
                        <m:rPr>
                          <m:sty m:val="bi"/>
                        </m:rPr>
                        <w:rPr>
                          <w:rFonts w:ascii="Cambria Math" w:hAnsi="Cambria Math"/>
                        </w:rPr>
                        <m:t>ys</m:t>
                      </m:r>
                    </m:sub>
                  </m:sSub>
                </m:e>
              </m:nary>
            </m:den>
          </m:f>
        </m:oMath>
      </m:oMathPara>
    </w:p>
    <w:p w:rsidR="00E74A7C" w:rsidRPr="00451DF2" w:rsidRDefault="00E74A7C" w:rsidP="00E74A7C">
      <w:pPr>
        <w:spacing w:line="480" w:lineRule="auto"/>
        <w:ind w:right="630" w:firstLine="720"/>
        <w:jc w:val="center"/>
        <w:rPr>
          <w:b/>
        </w:rPr>
      </w:pPr>
      <w:r w:rsidRPr="00451DF2">
        <w:rPr>
          <w:b/>
        </w:rPr>
        <w:lastRenderedPageBreak/>
        <w:t xml:space="preserve">(B, </w:t>
      </w:r>
      <w:proofErr w:type="spellStart"/>
      <w:proofErr w:type="gramStart"/>
      <w:r w:rsidRPr="00451DF2">
        <w:rPr>
          <w:b/>
        </w:rPr>
        <w:t>Ib</w:t>
      </w:r>
      <w:proofErr w:type="spellEnd"/>
      <w:proofErr w:type="gramEnd"/>
      <w:r w:rsidRPr="00451DF2">
        <w:rPr>
          <w:b/>
        </w:rPr>
        <w:t xml:space="preserve"> &amp; </w:t>
      </w:r>
      <w:proofErr w:type="spellStart"/>
      <w:r w:rsidRPr="00451DF2">
        <w:rPr>
          <w:b/>
        </w:rPr>
        <w:t>IIb</w:t>
      </w:r>
      <w:proofErr w:type="spellEnd"/>
      <w:r w:rsidRPr="00451DF2">
        <w:rPr>
          <w:b/>
        </w:rPr>
        <w:t>)</w:t>
      </w:r>
    </w:p>
    <w:p w:rsidR="00E74A7C" w:rsidRPr="0035637C" w:rsidRDefault="00E74A7C" w:rsidP="00E74A7C">
      <w:pPr>
        <w:spacing w:line="480" w:lineRule="auto"/>
        <w:ind w:right="630" w:firstLine="720"/>
        <w:rPr>
          <w:b/>
        </w:rPr>
      </w:pPr>
    </w:p>
    <w:p w:rsidR="00E74A7C" w:rsidRPr="00D826AD" w:rsidRDefault="00E74A7C" w:rsidP="00E74A7C">
      <w:pPr>
        <w:spacing w:line="480" w:lineRule="auto"/>
        <w:ind w:right="630" w:firstLine="720"/>
      </w:pPr>
      <w:r>
        <w:t xml:space="preserve">The other </w:t>
      </w:r>
      <w:r>
        <w:rPr>
          <w:b/>
        </w:rPr>
        <w:t xml:space="preserve">frequently proposed </w:t>
      </w:r>
      <w:r>
        <w:t>variant is one in which EC votes are allocated</w:t>
      </w:r>
      <w:r w:rsidRPr="00BC2158">
        <w:t xml:space="preserve"> by giving one seat for each House district won</w:t>
      </w:r>
      <w:r>
        <w:t>,</w:t>
      </w:r>
      <w:r w:rsidRPr="00BC2158">
        <w:t xml:space="preserve"> </w:t>
      </w:r>
      <w:r w:rsidRPr="008300C9">
        <w:t>and a two</w:t>
      </w:r>
      <w:r>
        <w:t>-</w:t>
      </w:r>
      <w:r w:rsidRPr="00BC2158">
        <w:t>seat bonus for the candidate who wins the popular vote in the state.</w:t>
      </w:r>
      <w:r>
        <w:t xml:space="preserve"> </w:t>
      </w:r>
      <w:r w:rsidRPr="00C01809">
        <w:rPr>
          <w:b/>
        </w:rPr>
        <w:t xml:space="preserve">This variation emulates the rules </w:t>
      </w:r>
      <w:r>
        <w:t xml:space="preserve">presently </w:t>
      </w:r>
      <w:r w:rsidRPr="00C01809">
        <w:rPr>
          <w:b/>
        </w:rPr>
        <w:t>practiced</w:t>
      </w:r>
      <w:r>
        <w:t xml:space="preserve"> in the states of Maine and Nebraska</w:t>
      </w:r>
      <w:r>
        <w:rPr>
          <w:b/>
        </w:rPr>
        <w:t>.</w:t>
      </w:r>
      <w:r>
        <w:rPr>
          <w:rStyle w:val="FootnoteReference"/>
        </w:rPr>
        <w:t xml:space="preserve"> </w:t>
      </w:r>
      <w:r>
        <w:rPr>
          <w:rStyle w:val="FootnoteReference"/>
        </w:rPr>
        <w:footnoteReference w:id="3"/>
      </w:r>
      <w:r>
        <w:t xml:space="preserve"> We refer to this as the </w:t>
      </w:r>
      <w:r>
        <w:rPr>
          <w:i/>
        </w:rPr>
        <w:t>D</w:t>
      </w:r>
      <w:r w:rsidRPr="00DE62FB">
        <w:rPr>
          <w:i/>
        </w:rPr>
        <w:t xml:space="preserve">istrict </w:t>
      </w:r>
      <w:r>
        <w:rPr>
          <w:i/>
        </w:rPr>
        <w:t>R</w:t>
      </w:r>
      <w:r w:rsidRPr="00DE62FB">
        <w:rPr>
          <w:i/>
        </w:rPr>
        <w:t>ule</w:t>
      </w:r>
      <w:r>
        <w:rPr>
          <w:i/>
        </w:rPr>
        <w:t xml:space="preserve">. </w:t>
      </w:r>
      <w:r>
        <w:rPr>
          <w:b/>
        </w:rPr>
        <w:t xml:space="preserve">It has two minor variations, </w:t>
      </w:r>
      <w:r w:rsidRPr="00DE62FB">
        <w:rPr>
          <w:i/>
        </w:rPr>
        <w:t>with</w:t>
      </w:r>
      <w:r>
        <w:rPr>
          <w:i/>
        </w:rPr>
        <w:t xml:space="preserve"> </w:t>
      </w:r>
      <w:r w:rsidRPr="00C01809">
        <w:t xml:space="preserve">and </w:t>
      </w:r>
      <w:r w:rsidRPr="00C01809">
        <w:rPr>
          <w:i/>
        </w:rPr>
        <w:t>without</w:t>
      </w:r>
      <w:r w:rsidRPr="00DE62FB">
        <w:rPr>
          <w:i/>
        </w:rPr>
        <w:t xml:space="preserve"> </w:t>
      </w:r>
      <w:r>
        <w:rPr>
          <w:i/>
        </w:rPr>
        <w:t>2 seat-</w:t>
      </w:r>
      <w:r w:rsidRPr="00DE62FB">
        <w:rPr>
          <w:i/>
        </w:rPr>
        <w:t>bonus.</w:t>
      </w:r>
      <w:r w:rsidRPr="00C53D9D">
        <w:rPr>
          <w:rStyle w:val="FootnoteReference"/>
        </w:rPr>
        <w:footnoteReference w:id="4"/>
      </w:r>
      <w:r>
        <w:t xml:space="preserve"> </w:t>
      </w:r>
      <w:r w:rsidRPr="004376C6">
        <w:rPr>
          <w:rStyle w:val="FootnoteReference"/>
        </w:rPr>
        <w:t xml:space="preserve"> </w:t>
      </w:r>
      <w:r w:rsidRPr="00D826AD">
        <w:rPr>
          <w:b/>
        </w:rPr>
        <w:t xml:space="preserve">It is </w:t>
      </w:r>
      <w:r>
        <w:rPr>
          <w:b/>
        </w:rPr>
        <w:t xml:space="preserve">akin to a plan advocated by Senator Karl E. </w:t>
      </w:r>
      <w:proofErr w:type="spellStart"/>
      <w:r>
        <w:rPr>
          <w:b/>
        </w:rPr>
        <w:t>Mundt</w:t>
      </w:r>
      <w:proofErr w:type="spellEnd"/>
      <w:r>
        <w:rPr>
          <w:b/>
        </w:rPr>
        <w:t xml:space="preserve"> (R-SD), which was opposed by then Senator John F. Kennedy (D-MA).</w:t>
      </w:r>
      <w:r>
        <w:rPr>
          <w:rStyle w:val="FootnoteReference"/>
          <w:b/>
        </w:rPr>
        <w:footnoteReference w:id="5"/>
      </w:r>
    </w:p>
    <w:p w:rsidR="00E74A7C" w:rsidRDefault="00E74A7C" w:rsidP="00E74A7C">
      <w:pPr>
        <w:spacing w:line="480" w:lineRule="auto"/>
        <w:ind w:right="630" w:firstLine="720"/>
        <w:rPr>
          <w:i/>
        </w:rPr>
      </w:pPr>
    </w:p>
    <w:p w:rsidR="00E74A7C" w:rsidRPr="00245DA0" w:rsidRDefault="00E74A7C" w:rsidP="00E74A7C">
      <w:pPr>
        <w:spacing w:line="480" w:lineRule="auto"/>
        <w:ind w:right="630" w:firstLine="720"/>
        <w:rPr>
          <w:i/>
        </w:rPr>
      </w:pPr>
      <m:oMathPara>
        <m:oMath>
          <m:r>
            <w:rPr>
              <w:rFonts w:ascii="Cambria Math" w:hAnsi="Cambria Math"/>
            </w:rPr>
            <m:t>District Rule</m:t>
          </m:r>
          <m:r>
            <w:rPr>
              <w:rFonts w:ascii="Cambria Math"/>
            </w:rPr>
            <m:t>=</m:t>
          </m:r>
        </m:oMath>
      </m:oMathPara>
    </w:p>
    <w:p w:rsidR="00E74A7C" w:rsidRDefault="00E74A7C" w:rsidP="00E74A7C">
      <w:pPr>
        <w:spacing w:line="480" w:lineRule="auto"/>
        <w:ind w:right="630" w:firstLine="720"/>
        <w:jc w:val="center"/>
      </w:pPr>
      <m:oMath>
        <m:f>
          <m:fPr>
            <m:ctrlPr>
              <w:rPr>
                <w:rFonts w:ascii="Cambria Math" w:hAnsi="Cambria Math"/>
                <w:i/>
              </w:rPr>
            </m:ctrlPr>
          </m:fPr>
          <m:num>
            <m:nary>
              <m:naryPr>
                <m:chr m:val="∑"/>
                <m:limLoc m:val="undOvr"/>
                <m:subHide m:val="1"/>
                <m:supHide m:val="1"/>
                <m:ctrlPr>
                  <w:rPr>
                    <w:rFonts w:ascii="Cambria Math" w:hAnsi="Cambria Math"/>
                    <w:i/>
                  </w:rPr>
                </m:ctrlPr>
              </m:naryPr>
              <m:sub/>
              <m:sup/>
              <m:e>
                <m:eqArr>
                  <m:eqArrPr>
                    <m:ctrlPr>
                      <w:rPr>
                        <w:rFonts w:ascii="Cambria Math" w:hAnsi="Cambria Math"/>
                        <w:i/>
                      </w:rPr>
                    </m:ctrlPr>
                  </m:eqArrPr>
                  <m:e>
                    <m:nary>
                      <m:naryPr>
                        <m:chr m:val="∑"/>
                        <m:limLoc m:val="undOvr"/>
                        <m:subHide m:val="1"/>
                        <m:supHide m:val="1"/>
                        <m:ctrlPr>
                          <w:rPr>
                            <w:rFonts w:ascii="Cambria Math" w:hAnsi="Cambria Math"/>
                            <w:i/>
                          </w:rPr>
                        </m:ctrlPr>
                      </m:naryPr>
                      <m:sub/>
                      <m:sup/>
                      <m:e>
                        <m:r>
                          <w:rPr>
                            <w:rFonts w:ascii="Cambria Math" w:hAnsi="Cambria Math"/>
                            <w:color w:val="000000" w:themeColor="text1"/>
                          </w:rPr>
                          <m:t xml:space="preserve">1 *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yd</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yd</m:t>
                                </m:r>
                              </m:sub>
                            </m:sSub>
                          </m:e>
                        </m:d>
                        <m:r>
                          <w:rPr>
                            <w:rFonts w:ascii="Cambria Math" w:hAnsi="Cambria Math"/>
                            <w:color w:val="000000" w:themeColor="text1"/>
                          </w:rPr>
                          <m:t xml:space="preserve"> + 0 * </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yd</m:t>
                                </m:r>
                              </m:sub>
                            </m:sSub>
                            <m:r>
                              <w:rPr>
                                <w:rFonts w:ascii="Cambria Math" w:hAnsi="Cambria Math"/>
                                <w:color w:val="000000" w:themeColor="text1"/>
                              </w:rPr>
                              <m:t xml:space="preserve">&gt; </m:t>
                            </m:r>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yd</m:t>
                                </m:r>
                              </m:sub>
                            </m:sSub>
                          </m:e>
                        </m:d>
                      </m:e>
                    </m:nary>
                  </m:e>
                  <m:e>
                    <m:r>
                      <w:rPr>
                        <w:rFonts w:ascii="Cambria Math"/>
                      </w:rPr>
                      <m:t xml:space="preserve">+ </m:t>
                    </m:r>
                    <m:nary>
                      <m:naryPr>
                        <m:chr m:val="∑"/>
                        <m:limLoc m:val="undOvr"/>
                        <m:subHide m:val="1"/>
                        <m:supHide m:val="1"/>
                        <m:ctrlPr>
                          <w:rPr>
                            <w:rFonts w:ascii="Cambria Math" w:hAnsi="Cambria Math"/>
                            <w:i/>
                            <w:color w:val="000000" w:themeColor="text1"/>
                          </w:rPr>
                        </m:ctrlPr>
                      </m:naryPr>
                      <m:sub/>
                      <m:sup/>
                      <m:e>
                        <m:r>
                          <w:rPr>
                            <w:rFonts w:ascii="Cambria Math" w:hAnsi="Cambria Math"/>
                            <w:i/>
                            <w:color w:val="000000" w:themeColor="text1"/>
                          </w:rPr>
                          <w:sym w:font="Symbol" w:char="F077"/>
                        </m:r>
                        <m:r>
                          <w:rPr>
                            <w:rFonts w:ascii="Cambria Math" w:hAnsi="Cambria Math"/>
                            <w:color w:val="000000" w:themeColor="text1"/>
                          </w:rPr>
                          <m:t xml:space="preserve"> * </m:t>
                        </m:r>
                        <m:d>
                          <m:dPr>
                            <m:ctrlPr>
                              <w:rPr>
                                <w:rFonts w:ascii="Cambria Math" w:hAnsi="Cambria Math"/>
                                <w:i/>
                                <w:color w:val="000000" w:themeColor="text1"/>
                              </w:rPr>
                            </m:ctrlPr>
                          </m:d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ys</m:t>
                                    </m:r>
                                  </m:sub>
                                </m:sSub>
                              </m:e>
                            </m:nary>
                            <m:r>
                              <w:rPr>
                                <w:rFonts w:ascii="Cambria Math" w:hAnsi="Cambria Math"/>
                                <w:color w:val="000000" w:themeColor="text1"/>
                              </w:rPr>
                              <m:t>&gt;</m:t>
                            </m:r>
                            <m:sSub>
                              <m:sSubPr>
                                <m:ctrlPr>
                                  <w:rPr>
                                    <w:rFonts w:ascii="Cambria Math" w:hAnsi="Cambria Math"/>
                                    <w:i/>
                                    <w:color w:val="000000" w:themeColor="text1"/>
                                  </w:rPr>
                                </m:ctrlPr>
                              </m:sSub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ys</m:t>
                                        </m:r>
                                      </m:sub>
                                    </m:sSub>
                                  </m:e>
                                </m:nary>
                              </m:e>
                              <m:sub/>
                            </m:sSub>
                          </m:e>
                        </m:d>
                        <m:r>
                          <w:rPr>
                            <w:rFonts w:ascii="Cambria Math" w:hAnsi="Cambria Math"/>
                            <w:color w:val="000000" w:themeColor="text1"/>
                          </w:rPr>
                          <m:t xml:space="preserve">+ 0 * </m:t>
                        </m:r>
                        <m:d>
                          <m:dPr>
                            <m:ctrlPr>
                              <w:rPr>
                                <w:rFonts w:ascii="Cambria Math" w:hAnsi="Cambria Math"/>
                                <w:i/>
                                <w:color w:val="000000" w:themeColor="text1"/>
                              </w:rPr>
                            </m:ctrlPr>
                          </m:dPr>
                          <m:e>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Rep Votes</m:t>
                                    </m:r>
                                  </m:e>
                                  <m:sub>
                                    <m:r>
                                      <w:rPr>
                                        <w:rFonts w:ascii="Cambria Math" w:hAnsi="Cambria Math"/>
                                        <w:color w:val="000000" w:themeColor="text1"/>
                                      </w:rPr>
                                      <m:t>ys</m:t>
                                    </m:r>
                                  </m:sub>
                                </m:sSub>
                              </m:e>
                            </m:nary>
                            <m:r>
                              <w:rPr>
                                <w:rFonts w:ascii="Cambria Math" w:hAnsi="Cambria Math"/>
                                <w:color w:val="000000" w:themeColor="text1"/>
                              </w:rPr>
                              <m:t xml:space="preserve">&gt; </m:t>
                            </m:r>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Dem Votes</m:t>
                                    </m:r>
                                  </m:e>
                                  <m:sub>
                                    <m:r>
                                      <w:rPr>
                                        <w:rFonts w:ascii="Cambria Math" w:hAnsi="Cambria Math"/>
                                        <w:color w:val="000000" w:themeColor="text1"/>
                                      </w:rPr>
                                      <m:t>ys</m:t>
                                    </m:r>
                                  </m:sub>
                                </m:sSub>
                              </m:e>
                            </m:nary>
                          </m:e>
                        </m:d>
                      </m:e>
                    </m:nary>
                    <m:ctrlPr>
                      <w:rPr>
                        <w:rFonts w:ascii="Cambria Math" w:hAnsi="Cambria Math"/>
                        <w:i/>
                        <w:color w:val="000000" w:themeColor="text1"/>
                      </w:rPr>
                    </m:ctrlPr>
                  </m:e>
                </m:eqArr>
              </m:e>
            </m:nary>
          </m:num>
          <m:den>
            <m:r>
              <w:rPr>
                <w:rFonts w:ascii="Cambria Math"/>
              </w:rPr>
              <m:t>Total Seats</m:t>
            </m:r>
          </m:den>
        </m:f>
        <m:r>
          <w:rPr>
            <w:rFonts w:ascii="Cambria Math"/>
          </w:rPr>
          <m:t xml:space="preserve"> </m:t>
        </m:r>
      </m:oMath>
      <w:r>
        <w:tab/>
      </w:r>
    </w:p>
    <w:p w:rsidR="00E74A7C" w:rsidRPr="00DE62FB" w:rsidRDefault="00E74A7C" w:rsidP="00E74A7C">
      <w:pPr>
        <w:spacing w:line="480" w:lineRule="auto"/>
        <w:ind w:right="630" w:firstLine="720"/>
        <w:jc w:val="center"/>
        <w:rPr>
          <w:b/>
          <w:color w:val="000000" w:themeColor="text1"/>
        </w:rPr>
      </w:pPr>
      <w:r>
        <w:t xml:space="preserve">(B, </w:t>
      </w:r>
      <w:proofErr w:type="spellStart"/>
      <w:proofErr w:type="gramStart"/>
      <w:r>
        <w:t>Ib</w:t>
      </w:r>
      <w:proofErr w:type="spellEnd"/>
      <w:proofErr w:type="gramEnd"/>
      <w:r>
        <w:t xml:space="preserve"> &amp; </w:t>
      </w:r>
      <w:proofErr w:type="spellStart"/>
      <w:r>
        <w:t>IIb</w:t>
      </w:r>
      <w:proofErr w:type="spellEnd"/>
      <w:r>
        <w:t>)</w:t>
      </w:r>
    </w:p>
    <w:p w:rsidR="00E74A7C" w:rsidRDefault="00E74A7C" w:rsidP="00E74A7C">
      <w:pPr>
        <w:spacing w:line="480" w:lineRule="auto"/>
        <w:ind w:right="630"/>
        <w:rPr>
          <w:b/>
        </w:rPr>
      </w:pPr>
    </w:p>
    <w:p w:rsidR="00E74A7C" w:rsidRDefault="00E74A7C" w:rsidP="00E74A7C">
      <w:pPr>
        <w:spacing w:line="480" w:lineRule="auto"/>
        <w:ind w:right="630" w:firstLine="720"/>
        <w:rPr>
          <w:b/>
        </w:rPr>
      </w:pPr>
      <w:r>
        <w:rPr>
          <w:b/>
          <w:i/>
        </w:rPr>
        <w:t>District Rule with 2-seat bonus</w:t>
      </w:r>
      <w:r w:rsidRPr="00332D13">
        <w:rPr>
          <w:b/>
        </w:rPr>
        <w:t xml:space="preserve"> sets </w:t>
      </w:r>
      <m:oMath>
        <m:r>
          <w:rPr>
            <w:rFonts w:ascii="Cambria Math" w:hAnsi="Cambria Math"/>
            <w:i/>
            <w:color w:val="000000" w:themeColor="text1"/>
          </w:rPr>
          <w:sym w:font="Symbol" w:char="F077"/>
        </m:r>
      </m:oMath>
      <w:r>
        <w:rPr>
          <w:b/>
        </w:rPr>
        <w:t xml:space="preserve"> to 2 while the </w:t>
      </w:r>
      <w:r w:rsidRPr="00332D13">
        <w:rPr>
          <w:b/>
          <w:i/>
        </w:rPr>
        <w:t xml:space="preserve">District Rule without 2-seat bonus </w:t>
      </w:r>
      <w:r>
        <w:rPr>
          <w:b/>
        </w:rPr>
        <w:t xml:space="preserve">instead sets it to zero. </w:t>
      </w:r>
    </w:p>
    <w:p w:rsidR="00E74A7C" w:rsidRDefault="00E74A7C" w:rsidP="00E74A7C">
      <w:pPr>
        <w:spacing w:line="480" w:lineRule="auto"/>
        <w:ind w:right="630" w:firstLine="720"/>
      </w:pPr>
    </w:p>
    <w:p w:rsidR="00E74A7C" w:rsidRDefault="00E74A7C" w:rsidP="00E74A7C">
      <w:pPr>
        <w:spacing w:line="480" w:lineRule="auto"/>
        <w:ind w:right="630" w:firstLine="720"/>
      </w:pPr>
      <w:r w:rsidRPr="00BC2158">
        <w:t xml:space="preserve">In addition, </w:t>
      </w:r>
      <w:r>
        <w:t xml:space="preserve">in the subsequent section, </w:t>
      </w:r>
      <w:r w:rsidRPr="00BC2158">
        <w:t xml:space="preserve">we </w:t>
      </w:r>
      <w:r>
        <w:rPr>
          <w:b/>
        </w:rPr>
        <w:t xml:space="preserve">briefly </w:t>
      </w:r>
      <w:r>
        <w:t xml:space="preserve">consider an </w:t>
      </w:r>
      <w:r>
        <w:rPr>
          <w:b/>
        </w:rPr>
        <w:t xml:space="preserve">additional </w:t>
      </w:r>
      <w:r>
        <w:t>type of</w:t>
      </w:r>
      <w:r w:rsidRPr="00BC2158">
        <w:t xml:space="preserve"> </w:t>
      </w:r>
      <w:r>
        <w:t>change</w:t>
      </w:r>
      <w:r w:rsidRPr="00BC2158">
        <w:t xml:space="preserve">, one based on the suggestion in </w:t>
      </w:r>
      <w:proofErr w:type="spellStart"/>
      <w:r w:rsidRPr="00BC2158">
        <w:t>Ladewig</w:t>
      </w:r>
      <w:proofErr w:type="spellEnd"/>
      <w:r w:rsidRPr="00BC2158">
        <w:t xml:space="preserve"> and </w:t>
      </w:r>
      <w:proofErr w:type="spellStart"/>
      <w:r w:rsidRPr="00BC2158">
        <w:t>Jasinski</w:t>
      </w:r>
      <w:proofErr w:type="spellEnd"/>
      <w:r w:rsidRPr="00BC2158">
        <w:t xml:space="preserve"> (2008) that the House size be decennially </w:t>
      </w:r>
      <w:r w:rsidRPr="0018709B">
        <w:rPr>
          <w:b/>
        </w:rPr>
        <w:t>adjusted</w:t>
      </w:r>
      <w:r w:rsidRPr="00BC2158">
        <w:t xml:space="preserve"> to reflect the cube root of U.S. population</w:t>
      </w:r>
      <w:r w:rsidRPr="00D56428">
        <w:t xml:space="preserve">.  </w:t>
      </w:r>
      <w:r>
        <w:t>T</w:t>
      </w:r>
      <w:r w:rsidRPr="00D56428">
        <w:t xml:space="preserve">he idea is that increasing the size of the House should increase the proportionality of EC outcomes, and </w:t>
      </w:r>
      <w:r>
        <w:t>hence</w:t>
      </w:r>
      <w:r w:rsidRPr="00D56428">
        <w:t xml:space="preserve"> make the EC vote look more like the popular </w:t>
      </w:r>
      <w:r w:rsidRPr="006802C3">
        <w:t>vote.</w:t>
      </w:r>
      <w:r w:rsidRPr="006802C3">
        <w:rPr>
          <w:rStyle w:val="FootnoteReference"/>
        </w:rPr>
        <w:t xml:space="preserve"> </w:t>
      </w:r>
      <w:r w:rsidRPr="006802C3">
        <w:rPr>
          <w:rStyle w:val="FootnoteReference"/>
        </w:rPr>
        <w:footnoteReference w:id="6"/>
      </w:r>
    </w:p>
    <w:p w:rsidR="00E74A7C" w:rsidRDefault="00E74A7C" w:rsidP="00E74A7C">
      <w:pPr>
        <w:spacing w:line="480" w:lineRule="auto"/>
        <w:ind w:right="630" w:firstLine="720"/>
      </w:pPr>
    </w:p>
    <w:p w:rsidR="00E74A7C" w:rsidRPr="00C469C7" w:rsidRDefault="00E74A7C" w:rsidP="00E74A7C">
      <w:pPr>
        <w:spacing w:line="480" w:lineRule="auto"/>
        <w:ind w:right="630" w:firstLine="720"/>
        <w:rPr>
          <w:b/>
        </w:rPr>
      </w:pPr>
      <m:oMathPara>
        <m:oMath>
          <m:r>
            <m:rPr>
              <m:sty m:val="bi"/>
            </m:rPr>
            <w:rPr>
              <w:rFonts w:ascii="Cambria Math" w:hAnsi="Cambria Math"/>
            </w:rPr>
            <m:t>Cube Root House Size=</m:t>
          </m:r>
          <m:nary>
            <m:naryPr>
              <m:chr m:val="∑"/>
              <m:limLoc m:val="undOvr"/>
              <m:subHide m:val="1"/>
              <m:supHide m:val="1"/>
              <m:ctrlPr>
                <w:rPr>
                  <w:rFonts w:ascii="Cambria Math" w:hAnsi="Cambria Math"/>
                  <w:b/>
                  <w:i/>
                </w:rPr>
              </m:ctrlPr>
            </m:naryPr>
            <m:sub/>
            <m:sup/>
            <m:e>
              <m:sSub>
                <m:sSubPr>
                  <m:ctrlPr>
                    <w:rPr>
                      <w:rFonts w:ascii="Cambria Math" w:hAnsi="Cambria Math"/>
                      <w:b/>
                      <w:i/>
                    </w:rPr>
                  </m:ctrlPr>
                </m:sSub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Population</m:t>
                          </m:r>
                        </m:e>
                        <m:sub>
                          <m:r>
                            <m:rPr>
                              <m:sty m:val="bi"/>
                            </m:rPr>
                            <w:rPr>
                              <w:rFonts w:ascii="Cambria Math" w:hAnsi="Cambria Math"/>
                            </w:rPr>
                            <m:t>ys</m:t>
                          </m:r>
                        </m:sub>
                      </m:sSub>
                    </m:e>
                    <m:sup>
                      <m:r>
                        <m:rPr>
                          <m:sty m:val="bi"/>
                        </m:rPr>
                        <w:rPr>
                          <w:rFonts w:ascii="Cambria Math" w:hAnsi="Cambria Math"/>
                        </w:rPr>
                        <m:t>1/3</m:t>
                      </m:r>
                    </m:sup>
                  </m:sSup>
                </m:e>
                <m:sub/>
              </m:sSub>
            </m:e>
          </m:nary>
        </m:oMath>
      </m:oMathPara>
    </w:p>
    <w:p w:rsidR="00E74A7C" w:rsidRPr="009E0D5B" w:rsidRDefault="00E74A7C" w:rsidP="00E74A7C">
      <w:pPr>
        <w:spacing w:line="480" w:lineRule="auto"/>
        <w:ind w:right="630" w:firstLine="720"/>
        <w:rPr>
          <w:b/>
        </w:rPr>
      </w:pPr>
    </w:p>
    <w:p w:rsidR="00E74A7C" w:rsidRDefault="00E74A7C" w:rsidP="00E74A7C">
      <w:pPr>
        <w:spacing w:line="480" w:lineRule="auto"/>
        <w:ind w:right="630" w:firstLine="720"/>
        <w:rPr>
          <w:b/>
        </w:rPr>
      </w:pPr>
      <w:r>
        <w:rPr>
          <w:b/>
        </w:rPr>
        <w:t>Instead of locking the size of the US House at 435, this rule would a</w:t>
      </w:r>
      <w:r w:rsidRPr="009E0D5B">
        <w:rPr>
          <w:b/>
        </w:rPr>
        <w:t xml:space="preserve">pportion seats using </w:t>
      </w:r>
      <w:r w:rsidRPr="00AD00FE">
        <w:rPr>
          <w:b/>
        </w:rPr>
        <w:t xml:space="preserve">method of equal proportions </w:t>
      </w:r>
      <w:r w:rsidRPr="009E0D5B">
        <w:rPr>
          <w:b/>
        </w:rPr>
        <w:t xml:space="preserve">(as described in equation (B, </w:t>
      </w:r>
      <w:proofErr w:type="spellStart"/>
      <w:proofErr w:type="gramStart"/>
      <w:r w:rsidRPr="009E0D5B">
        <w:rPr>
          <w:b/>
        </w:rPr>
        <w:t>Ia</w:t>
      </w:r>
      <w:proofErr w:type="spellEnd"/>
      <w:proofErr w:type="gramEnd"/>
      <w:r w:rsidRPr="009E0D5B">
        <w:rPr>
          <w:b/>
        </w:rPr>
        <w:t>)</w:t>
      </w:r>
      <w:r>
        <w:rPr>
          <w:b/>
        </w:rPr>
        <w:t xml:space="preserve">, and we replace </w:t>
      </w:r>
      <w:proofErr w:type="spellStart"/>
      <w:r>
        <w:rPr>
          <w:b/>
        </w:rPr>
        <w:t>electors</w:t>
      </w:r>
      <w:r>
        <w:rPr>
          <w:b/>
          <w:vertAlign w:val="subscript"/>
        </w:rPr>
        <w:t>y</w:t>
      </w:r>
      <w:proofErr w:type="spellEnd"/>
      <w:r>
        <w:rPr>
          <w:b/>
          <w:vertAlign w:val="subscript"/>
        </w:rPr>
        <w:t xml:space="preserve"> </w:t>
      </w:r>
      <w:r>
        <w:rPr>
          <w:b/>
        </w:rPr>
        <w:t xml:space="preserve">with the </w:t>
      </w:r>
      <w:r>
        <w:rPr>
          <w:b/>
          <w:i/>
        </w:rPr>
        <w:t xml:space="preserve">Cube Root House Size </w:t>
      </w:r>
      <w:r>
        <w:rPr>
          <w:b/>
        </w:rPr>
        <w:t>rounded down to the nearest integer</w:t>
      </w:r>
      <w:r w:rsidRPr="009E0D5B">
        <w:rPr>
          <w:b/>
        </w:rPr>
        <w:t xml:space="preserve">. We can then use the new apportionment to apply to all the alternative </w:t>
      </w:r>
      <w:proofErr w:type="gramStart"/>
      <w:r w:rsidRPr="009E0D5B">
        <w:rPr>
          <w:b/>
        </w:rPr>
        <w:t>electoral college</w:t>
      </w:r>
      <w:proofErr w:type="gramEnd"/>
      <w:r w:rsidRPr="009E0D5B">
        <w:rPr>
          <w:b/>
        </w:rPr>
        <w:t xml:space="preserve"> rules.</w:t>
      </w:r>
    </w:p>
    <w:p w:rsidR="00E74A7C" w:rsidRPr="000B52B7" w:rsidRDefault="00E74A7C" w:rsidP="00E74A7C">
      <w:pPr>
        <w:spacing w:line="480" w:lineRule="auto"/>
        <w:ind w:right="630" w:firstLine="720"/>
        <w:rPr>
          <w:b/>
        </w:rPr>
      </w:pPr>
      <w:r>
        <w:rPr>
          <w:b/>
        </w:rPr>
        <w:t xml:space="preserve">In </w:t>
      </w:r>
      <w:r w:rsidRPr="00217D5A">
        <w:rPr>
          <w:b/>
          <w:i/>
        </w:rPr>
        <w:t>toto</w:t>
      </w:r>
      <w:r>
        <w:rPr>
          <w:b/>
        </w:rPr>
        <w:t xml:space="preserve">, we offer three alternatives where the state-level unit-rule is maintained and seven alternatives where the unit-rule is eliminated. These ten total alternates include five which keep the state-wide two-seat bonus, five that eliminate the bonus, and two that eliminate electors altogether. We offer another section which reallocates the number of Electors based on the </w:t>
      </w:r>
      <w:r>
        <w:rPr>
          <w:b/>
          <w:i/>
        </w:rPr>
        <w:t>ideal</w:t>
      </w:r>
      <w:r>
        <w:rPr>
          <w:b/>
        </w:rPr>
        <w:t xml:space="preserve"> size of the US House, namely one based on the cube root of the population.</w:t>
      </w:r>
    </w:p>
    <w:p w:rsidR="00491C03" w:rsidRDefault="00491C03"/>
    <w:sectPr w:rsidR="00491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AD9" w:rsidRDefault="00D11AD9" w:rsidP="00E74A7C">
      <w:r>
        <w:separator/>
      </w:r>
    </w:p>
  </w:endnote>
  <w:endnote w:type="continuationSeparator" w:id="0">
    <w:p w:rsidR="00D11AD9" w:rsidRDefault="00D11AD9" w:rsidP="00E7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AD9" w:rsidRDefault="00D11AD9" w:rsidP="00E74A7C">
      <w:r>
        <w:separator/>
      </w:r>
    </w:p>
  </w:footnote>
  <w:footnote w:type="continuationSeparator" w:id="0">
    <w:p w:rsidR="00D11AD9" w:rsidRDefault="00D11AD9" w:rsidP="00E74A7C">
      <w:r>
        <w:continuationSeparator/>
      </w:r>
    </w:p>
  </w:footnote>
  <w:footnote w:id="1">
    <w:p w:rsidR="00E74A7C" w:rsidRDefault="00E74A7C" w:rsidP="00E74A7C">
      <w:pPr>
        <w:pStyle w:val="FootnoteText"/>
      </w:pPr>
      <w:r>
        <w:rPr>
          <w:rStyle w:val="FootnoteReference"/>
        </w:rPr>
        <w:footnoteRef/>
      </w:r>
      <w:r>
        <w:t xml:space="preserve"> This can be found in </w:t>
      </w:r>
      <w:r>
        <w:fldChar w:fldCharType="begin"/>
      </w:r>
      <w:r>
        <w:instrText xml:space="preserve"> REF _Ref519602796 \h </w:instrText>
      </w:r>
      <w:r>
        <w:fldChar w:fldCharType="separate"/>
      </w:r>
      <w:r>
        <w:rPr>
          <w:b/>
        </w:rPr>
        <w:t xml:space="preserve">&lt;&lt; Table </w:t>
      </w:r>
      <w:r>
        <w:rPr>
          <w:b/>
          <w:noProof/>
        </w:rPr>
        <w:t>1</w:t>
      </w:r>
      <w:r>
        <w:fldChar w:fldCharType="end"/>
      </w:r>
      <w:r>
        <w:t xml:space="preserve"> where the first in the set is the column and the second is the row.</w:t>
      </w:r>
    </w:p>
  </w:footnote>
  <w:footnote w:id="2">
    <w:p w:rsidR="00E74A7C" w:rsidRPr="00237471" w:rsidRDefault="00E74A7C" w:rsidP="00E74A7C">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w:t>
      </w:r>
      <w:r>
        <w:rPr>
          <w:rFonts w:ascii="Times New Roman" w:hAnsi="Times New Roman" w:cs="Times New Roman"/>
          <w:color w:val="000000" w:themeColor="text1"/>
        </w:rPr>
        <w:t>house</w:t>
      </w:r>
      <w:r w:rsidRPr="00237471">
        <w:rPr>
          <w:rFonts w:ascii="Times New Roman" w:hAnsi="Times New Roman" w:cs="Times New Roman"/>
          <w:color w:val="000000" w:themeColor="text1"/>
        </w:rPr>
        <w:t xml:space="preserve"> vote in periods after 1960 despite not having a voting member of the House of Representatives.  As per the twenty-third amendment, adopted in 1961, D.C. is allocated 3 Electoral College votes regardless of its population.</w:t>
      </w:r>
    </w:p>
    <w:p w:rsidR="00E74A7C" w:rsidRPr="00237471" w:rsidRDefault="00E74A7C" w:rsidP="00E74A7C">
      <w:pPr>
        <w:pStyle w:val="FootnoteText"/>
        <w:jc w:val="left"/>
        <w:rPr>
          <w:rFonts w:ascii="Times New Roman" w:hAnsi="Times New Roman" w:cs="Times New Roman"/>
          <w:color w:val="000000" w:themeColor="text1"/>
        </w:rPr>
      </w:pPr>
    </w:p>
  </w:footnote>
  <w:footnote w:id="3">
    <w:p w:rsidR="00E74A7C" w:rsidRDefault="00E74A7C" w:rsidP="00E74A7C">
      <w:pPr>
        <w:pStyle w:val="FootnoteText"/>
        <w:rPr>
          <w:rFonts w:ascii="Times New Roman" w:hAnsi="Times New Roman" w:cs="Times New Roman"/>
        </w:rPr>
      </w:pPr>
      <w:r>
        <w:rPr>
          <w:rStyle w:val="FootnoteReference"/>
        </w:rPr>
        <w:footnoteRef/>
      </w:r>
      <w:r w:rsidRPr="007B4ACE">
        <w:rPr>
          <w:sz w:val="24"/>
          <w:szCs w:val="24"/>
        </w:rPr>
        <w:t xml:space="preserve"> </w:t>
      </w:r>
      <w:r w:rsidRPr="00C33D9E">
        <w:rPr>
          <w:rFonts w:ascii="Times New Roman" w:hAnsi="Times New Roman" w:cs="Times New Roman"/>
        </w:rPr>
        <w:t>Maine adapted this rule in advance of the 1972 presidential election, while Nebraska enacted it starting with the 1992 election. A split has occurred once in each of these states. In 2008, Barack Obama won Nebraska's 2nd Congressional District, picking up a Democratic electoral vote in that state for the first time since 1964. In 2016, Donald Trump won Maine's 2nd Congressional District.</w:t>
      </w:r>
    </w:p>
    <w:p w:rsidR="00E74A7C" w:rsidRDefault="00E74A7C" w:rsidP="00E74A7C">
      <w:pPr>
        <w:pStyle w:val="FootnoteText"/>
      </w:pPr>
    </w:p>
  </w:footnote>
  <w:footnote w:id="4">
    <w:p w:rsidR="00E74A7C" w:rsidRPr="008D599F" w:rsidRDefault="00E74A7C" w:rsidP="00E74A7C">
      <w:pPr>
        <w:tabs>
          <w:tab w:val="left" w:pos="9990"/>
        </w:tabs>
        <w:ind w:right="630"/>
        <w:rPr>
          <w:strike/>
          <w:sz w:val="20"/>
          <w:szCs w:val="20"/>
        </w:rPr>
      </w:pPr>
      <w:r w:rsidRPr="00224F48">
        <w:rPr>
          <w:rStyle w:val="FootnoteReference"/>
          <w:strike/>
        </w:rPr>
        <w:footnoteRef/>
      </w:r>
      <w:r w:rsidRPr="00224F48">
        <w:rPr>
          <w:strike/>
          <w:sz w:val="20"/>
          <w:szCs w:val="20"/>
        </w:rPr>
        <w:t xml:space="preserve"> </w:t>
      </w:r>
      <w:r w:rsidRPr="00C46930">
        <w:rPr>
          <w:b/>
          <w:sz w:val="20"/>
          <w:szCs w:val="20"/>
        </w:rPr>
        <w:t xml:space="preserve">Although this plan is more proportional then the state-unit rule plans including the current Electoral College, it is not a proportional plan since it still awards electors on a winner-take-all basis, except now at the Congressional District level.  Given the potential for partisan gerrymanders, this plan may end up being </w:t>
      </w:r>
      <w:r w:rsidRPr="00C46930">
        <w:rPr>
          <w:b/>
          <w:i/>
          <w:sz w:val="20"/>
          <w:szCs w:val="20"/>
        </w:rPr>
        <w:t>less</w:t>
      </w:r>
      <w:r w:rsidRPr="00C46930">
        <w:rPr>
          <w:b/>
          <w:sz w:val="20"/>
          <w:szCs w:val="20"/>
        </w:rPr>
        <w:t xml:space="preserve"> proportional then a winner-take-all state rule.</w:t>
      </w:r>
    </w:p>
    <w:p w:rsidR="00E74A7C" w:rsidRPr="00237471" w:rsidRDefault="00E74A7C" w:rsidP="00E74A7C">
      <w:pPr>
        <w:tabs>
          <w:tab w:val="left" w:pos="9990"/>
        </w:tabs>
        <w:ind w:right="630"/>
        <w:rPr>
          <w:color w:val="FF0000"/>
          <w:sz w:val="20"/>
          <w:szCs w:val="20"/>
        </w:rPr>
      </w:pPr>
    </w:p>
  </w:footnote>
  <w:footnote w:id="5">
    <w:p w:rsidR="00E74A7C" w:rsidRDefault="00E74A7C" w:rsidP="00E74A7C">
      <w:pPr>
        <w:pStyle w:val="FootnoteText"/>
      </w:pPr>
      <w:r>
        <w:rPr>
          <w:rStyle w:val="FootnoteReference"/>
        </w:rPr>
        <w:footnoteRef/>
      </w:r>
      <w:r>
        <w:t xml:space="preserve"> </w:t>
      </w:r>
      <w:proofErr w:type="spellStart"/>
      <w:r>
        <w:t>S.J.Res</w:t>
      </w:r>
      <w:proofErr w:type="spellEnd"/>
      <w:r>
        <w:t>. 12, 90</w:t>
      </w:r>
      <w:r w:rsidRPr="00D826AD">
        <w:rPr>
          <w:vertAlign w:val="superscript"/>
        </w:rPr>
        <w:t>th</w:t>
      </w:r>
      <w:r>
        <w:t xml:space="preserve"> Cong., first sess.</w:t>
      </w:r>
    </w:p>
    <w:p w:rsidR="00E74A7C" w:rsidRDefault="00E74A7C" w:rsidP="00E74A7C">
      <w:pPr>
        <w:pStyle w:val="FootnoteText"/>
      </w:pPr>
    </w:p>
  </w:footnote>
  <w:footnote w:id="6">
    <w:p w:rsidR="00E74A7C" w:rsidRPr="00E2216C" w:rsidRDefault="00E74A7C" w:rsidP="00E74A7C">
      <w:pPr>
        <w:pStyle w:val="FootnoteText"/>
        <w:jc w:val="left"/>
        <w:rPr>
          <w:rFonts w:ascii="Times New Roman" w:hAnsi="Times New Roman" w:cs="Times New Roman"/>
          <w:strike/>
        </w:rPr>
      </w:pPr>
      <w:r w:rsidRPr="00BC0699">
        <w:rPr>
          <w:rStyle w:val="FootnoteReference"/>
          <w:rFonts w:ascii="Times New Roman" w:hAnsi="Times New Roman" w:cs="Times New Roman"/>
        </w:rPr>
        <w:footnoteRef/>
      </w:r>
      <w:r w:rsidRPr="00BC0699">
        <w:rPr>
          <w:rFonts w:ascii="Times New Roman" w:hAnsi="Times New Roman" w:cs="Times New Roman"/>
        </w:rPr>
        <w:t xml:space="preserve"> </w:t>
      </w:r>
      <w:r>
        <w:rPr>
          <w:rFonts w:ascii="Times New Roman" w:hAnsi="Times New Roman" w:cs="Times New Roman"/>
        </w:rPr>
        <w:t xml:space="preserve">This proposal can be seen as an </w:t>
      </w:r>
      <w:r w:rsidRPr="00BC0699">
        <w:rPr>
          <w:rFonts w:ascii="Times New Roman" w:hAnsi="Times New Roman" w:cs="Times New Roman"/>
        </w:rPr>
        <w:t xml:space="preserve">attempt to avoid change in the present Electoral College that would be impossible to achieve without a Constitutional amendment while still assuring concordance with popular vote outcomes by creating a compact of all the states such that they would report Electoral College results as if the national popular vote winner was the winner in the state. </w:t>
      </w:r>
      <w:r>
        <w:rPr>
          <w:rFonts w:ascii="Times New Roman" w:hAnsi="Times New Roman" w:cs="Times New Roman"/>
          <w:b/>
        </w:rPr>
        <w:t>This proposal would only take an act a Congress, since it sets the size of the US House and thus the percentage of Electors that are allocated via population.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A10EA"/>
    <w:multiLevelType w:val="hybridMultilevel"/>
    <w:tmpl w:val="83CE1AD0"/>
    <w:lvl w:ilvl="0" w:tplc="24120E2C">
      <w:start w:val="1"/>
      <w:numFmt w:val="lowerLetter"/>
      <w:lvlText w:val="(%1)"/>
      <w:lvlJc w:val="left"/>
      <w:pPr>
        <w:ind w:left="598" w:hanging="360"/>
      </w:pPr>
      <w:rPr>
        <w:rFonts w:hint="default"/>
        <w:color w:val="000000" w:themeColor="text1"/>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1" w15:restartNumberingAfterBreak="0">
    <w:nsid w:val="26F653F5"/>
    <w:multiLevelType w:val="hybridMultilevel"/>
    <w:tmpl w:val="7256D43E"/>
    <w:lvl w:ilvl="0" w:tplc="D04EF8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7C"/>
    <w:rsid w:val="001E5BE3"/>
    <w:rsid w:val="00491C03"/>
    <w:rsid w:val="00D11AD9"/>
    <w:rsid w:val="00E7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0EE79-197C-42F6-8FA8-BCD292A9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A7C"/>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74A7C"/>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E74A7C"/>
    <w:rPr>
      <w:rFonts w:eastAsiaTheme="minorEastAsia"/>
      <w:sz w:val="20"/>
      <w:szCs w:val="20"/>
    </w:rPr>
  </w:style>
  <w:style w:type="character" w:styleId="FootnoteReference">
    <w:name w:val="footnote reference"/>
    <w:basedOn w:val="DefaultParagraphFont"/>
    <w:unhideWhenUsed/>
    <w:qFormat/>
    <w:rsid w:val="00E74A7C"/>
    <w:rPr>
      <w:vertAlign w:val="superscript"/>
    </w:rPr>
  </w:style>
  <w:style w:type="table" w:styleId="TableGrid">
    <w:name w:val="Table Grid"/>
    <w:basedOn w:val="TableNormal"/>
    <w:uiPriority w:val="39"/>
    <w:rsid w:val="00E74A7C"/>
    <w:pPr>
      <w:spacing w:after="0" w:line="240" w:lineRule="auto"/>
      <w:jc w:val="both"/>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A7C"/>
    <w:pPr>
      <w:ind w:left="720"/>
      <w:contextualSpacing/>
    </w:pPr>
  </w:style>
  <w:style w:type="paragraph" w:styleId="Caption">
    <w:name w:val="caption"/>
    <w:basedOn w:val="Normal"/>
    <w:next w:val="Normal"/>
    <w:uiPriority w:val="35"/>
    <w:unhideWhenUsed/>
    <w:qFormat/>
    <w:rsid w:val="00E74A7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1</cp:revision>
  <dcterms:created xsi:type="dcterms:W3CDTF">2018-07-21T19:21:00Z</dcterms:created>
  <dcterms:modified xsi:type="dcterms:W3CDTF">2018-07-21T19:23:00Z</dcterms:modified>
</cp:coreProperties>
</file>