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0DE84" w14:textId="77777777" w:rsidR="004E3EC7" w:rsidRPr="00C53D9D" w:rsidRDefault="004E3EC7" w:rsidP="00975FD9">
      <w:pPr>
        <w:spacing w:after="0" w:line="360" w:lineRule="auto"/>
        <w:jc w:val="center"/>
        <w:rPr>
          <w:rFonts w:ascii="Times New Roman" w:hAnsi="Times New Roman"/>
          <w:b/>
          <w:sz w:val="24"/>
          <w:szCs w:val="24"/>
        </w:rPr>
      </w:pPr>
    </w:p>
    <w:p w14:paraId="3F852327" w14:textId="77777777" w:rsidR="004E3EC7" w:rsidRPr="00C53D9D" w:rsidRDefault="004E3EC7" w:rsidP="00975FD9">
      <w:pPr>
        <w:spacing w:after="0" w:line="360" w:lineRule="auto"/>
        <w:jc w:val="center"/>
        <w:rPr>
          <w:rFonts w:ascii="Times New Roman" w:hAnsi="Times New Roman"/>
          <w:b/>
          <w:sz w:val="24"/>
          <w:szCs w:val="24"/>
        </w:rPr>
      </w:pPr>
    </w:p>
    <w:p w14:paraId="71A267A8" w14:textId="77777777" w:rsidR="004E3EC7" w:rsidRPr="00C53D9D" w:rsidRDefault="004E3EC7" w:rsidP="00975FD9">
      <w:pPr>
        <w:spacing w:after="0" w:line="360" w:lineRule="auto"/>
        <w:jc w:val="center"/>
        <w:rPr>
          <w:rFonts w:ascii="Times New Roman" w:hAnsi="Times New Roman"/>
          <w:b/>
          <w:sz w:val="24"/>
          <w:szCs w:val="24"/>
        </w:rPr>
      </w:pPr>
    </w:p>
    <w:p w14:paraId="7E6F85B9" w14:textId="77777777" w:rsidR="004E3EC7" w:rsidRPr="00C53D9D" w:rsidRDefault="004E3EC7" w:rsidP="00975FD9">
      <w:pPr>
        <w:spacing w:after="0" w:line="360" w:lineRule="auto"/>
        <w:jc w:val="center"/>
        <w:rPr>
          <w:rFonts w:ascii="Times New Roman" w:hAnsi="Times New Roman"/>
          <w:b/>
          <w:sz w:val="24"/>
          <w:szCs w:val="24"/>
        </w:rPr>
      </w:pPr>
    </w:p>
    <w:p w14:paraId="176A076A" w14:textId="77777777" w:rsidR="004E3EC7" w:rsidRPr="00C53D9D" w:rsidRDefault="004E3EC7" w:rsidP="00975FD9">
      <w:pPr>
        <w:spacing w:after="0" w:line="360" w:lineRule="auto"/>
        <w:jc w:val="center"/>
        <w:rPr>
          <w:rFonts w:ascii="Times New Roman" w:hAnsi="Times New Roman"/>
          <w:b/>
          <w:sz w:val="24"/>
          <w:szCs w:val="24"/>
        </w:rPr>
      </w:pPr>
    </w:p>
    <w:p w14:paraId="59AB3510" w14:textId="18ABC8A1" w:rsidR="002D49F9" w:rsidRPr="00B06CAE" w:rsidRDefault="00B06CAE" w:rsidP="00975FD9">
      <w:pPr>
        <w:spacing w:after="0" w:line="360" w:lineRule="auto"/>
        <w:jc w:val="center"/>
        <w:rPr>
          <w:rFonts w:ascii="Times New Roman" w:hAnsi="Times New Roman"/>
          <w:b/>
          <w:u w:val="single"/>
        </w:rPr>
      </w:pPr>
      <w:r w:rsidRPr="00B06CAE">
        <w:rPr>
          <w:rFonts w:ascii="Times New Roman" w:hAnsi="Times New Roman"/>
          <w:b/>
          <w:u w:val="single"/>
        </w:rPr>
        <w:t>RESEARCH NOTE</w:t>
      </w:r>
    </w:p>
    <w:p w14:paraId="181F9290" w14:textId="4C65D696" w:rsidR="00585115" w:rsidRDefault="000D26FC" w:rsidP="00975FD9">
      <w:pPr>
        <w:spacing w:after="0" w:line="360" w:lineRule="auto"/>
        <w:jc w:val="center"/>
        <w:rPr>
          <w:rFonts w:ascii="Times New Roman" w:hAnsi="Times New Roman"/>
          <w:b/>
          <w:sz w:val="28"/>
          <w:szCs w:val="28"/>
        </w:rPr>
      </w:pPr>
      <w:r>
        <w:rPr>
          <w:rFonts w:ascii="Times New Roman" w:hAnsi="Times New Roman"/>
          <w:b/>
          <w:sz w:val="28"/>
          <w:szCs w:val="28"/>
        </w:rPr>
        <w:t>Comp</w:t>
      </w:r>
      <w:r w:rsidR="008132C0">
        <w:rPr>
          <w:rFonts w:ascii="Times New Roman" w:hAnsi="Times New Roman"/>
          <w:b/>
          <w:sz w:val="28"/>
          <w:szCs w:val="28"/>
        </w:rPr>
        <w:t>arative Politics vs. Legal</w:t>
      </w:r>
      <w:r>
        <w:rPr>
          <w:rFonts w:ascii="Times New Roman" w:hAnsi="Times New Roman"/>
          <w:b/>
          <w:sz w:val="28"/>
          <w:szCs w:val="28"/>
        </w:rPr>
        <w:t xml:space="preserve"> </w:t>
      </w:r>
      <w:r w:rsidR="001B64C1">
        <w:rPr>
          <w:rFonts w:ascii="Times New Roman" w:hAnsi="Times New Roman"/>
          <w:b/>
          <w:sz w:val="28"/>
          <w:szCs w:val="28"/>
        </w:rPr>
        <w:t>Perspectives on Measuring Malapportionment:</w:t>
      </w:r>
      <w:r w:rsidR="00210ED2">
        <w:rPr>
          <w:rFonts w:ascii="Times New Roman" w:hAnsi="Times New Roman"/>
          <w:b/>
          <w:sz w:val="28"/>
          <w:szCs w:val="28"/>
        </w:rPr>
        <w:t xml:space="preserve"> </w:t>
      </w:r>
    </w:p>
    <w:p w14:paraId="343B8021" w14:textId="77777777" w:rsidR="00B06CAE" w:rsidRDefault="001B64C1" w:rsidP="00975FD9">
      <w:pPr>
        <w:spacing w:after="0" w:line="360" w:lineRule="auto"/>
        <w:jc w:val="center"/>
        <w:rPr>
          <w:rFonts w:ascii="Times New Roman" w:hAnsi="Times New Roman"/>
          <w:b/>
          <w:sz w:val="28"/>
          <w:szCs w:val="28"/>
        </w:rPr>
      </w:pPr>
      <w:r>
        <w:rPr>
          <w:rFonts w:ascii="Times New Roman" w:hAnsi="Times New Roman"/>
          <w:b/>
          <w:sz w:val="28"/>
          <w:szCs w:val="28"/>
        </w:rPr>
        <w:t xml:space="preserve">With Applications to the </w:t>
      </w:r>
      <w:r w:rsidR="00B06CAE">
        <w:rPr>
          <w:rFonts w:ascii="Times New Roman" w:hAnsi="Times New Roman"/>
          <w:b/>
          <w:sz w:val="28"/>
          <w:szCs w:val="28"/>
        </w:rPr>
        <w:t xml:space="preserve">U.S. House, the </w:t>
      </w:r>
      <w:r>
        <w:rPr>
          <w:rFonts w:ascii="Times New Roman" w:hAnsi="Times New Roman"/>
          <w:b/>
          <w:sz w:val="28"/>
          <w:szCs w:val="28"/>
        </w:rPr>
        <w:t>U.S. Senate and the U.S. Electoral College,</w:t>
      </w:r>
      <w:r w:rsidR="0078285A">
        <w:rPr>
          <w:rFonts w:ascii="Times New Roman" w:hAnsi="Times New Roman"/>
          <w:b/>
          <w:sz w:val="28"/>
          <w:szCs w:val="28"/>
        </w:rPr>
        <w:t xml:space="preserve"> </w:t>
      </w:r>
    </w:p>
    <w:p w14:paraId="0E46596F" w14:textId="4D064FD5" w:rsidR="00C201AF" w:rsidRPr="007E1664" w:rsidRDefault="0078285A" w:rsidP="00975FD9">
      <w:pPr>
        <w:spacing w:after="0" w:line="360" w:lineRule="auto"/>
        <w:jc w:val="center"/>
        <w:rPr>
          <w:rFonts w:ascii="Times New Roman" w:hAnsi="Times New Roman"/>
          <w:b/>
          <w:sz w:val="28"/>
          <w:szCs w:val="28"/>
        </w:rPr>
      </w:pPr>
      <w:r>
        <w:rPr>
          <w:rFonts w:ascii="Times New Roman" w:hAnsi="Times New Roman"/>
          <w:b/>
          <w:sz w:val="28"/>
          <w:szCs w:val="28"/>
        </w:rPr>
        <w:t>1790-201</w:t>
      </w:r>
      <w:r w:rsidR="00B06CAE">
        <w:rPr>
          <w:rFonts w:ascii="Times New Roman" w:hAnsi="Times New Roman"/>
          <w:b/>
          <w:sz w:val="28"/>
          <w:szCs w:val="28"/>
        </w:rPr>
        <w:t>0</w:t>
      </w:r>
    </w:p>
    <w:p w14:paraId="3BE1B6DD" w14:textId="77777777" w:rsidR="007F33EC" w:rsidRPr="002E4CE6" w:rsidRDefault="007F33EC" w:rsidP="00975FD9">
      <w:pPr>
        <w:spacing w:after="0" w:line="360" w:lineRule="auto"/>
        <w:jc w:val="center"/>
        <w:rPr>
          <w:rFonts w:ascii="Times New Roman" w:hAnsi="Times New Roman"/>
          <w:color w:val="4472C4"/>
          <w:sz w:val="24"/>
          <w:szCs w:val="24"/>
        </w:rPr>
      </w:pPr>
    </w:p>
    <w:p w14:paraId="5D311752" w14:textId="77777777" w:rsidR="00AD1C2B" w:rsidRDefault="00AD1C2B" w:rsidP="00975FD9">
      <w:pPr>
        <w:spacing w:after="0" w:line="360" w:lineRule="auto"/>
        <w:jc w:val="center"/>
        <w:rPr>
          <w:rFonts w:ascii="Times New Roman" w:hAnsi="Times New Roman"/>
          <w:sz w:val="24"/>
          <w:szCs w:val="24"/>
        </w:rPr>
      </w:pPr>
    </w:p>
    <w:p w14:paraId="3F58993A" w14:textId="77777777" w:rsidR="00AD1C2B" w:rsidRPr="002E4CE6" w:rsidRDefault="00AD1C2B" w:rsidP="00975FD9">
      <w:pPr>
        <w:spacing w:after="0" w:line="360" w:lineRule="auto"/>
        <w:jc w:val="center"/>
        <w:rPr>
          <w:rFonts w:ascii="Times New Roman" w:hAnsi="Times New Roman"/>
          <w:color w:val="4472C4"/>
          <w:sz w:val="24"/>
          <w:szCs w:val="24"/>
        </w:rPr>
      </w:pPr>
    </w:p>
    <w:p w14:paraId="44FB2A40" w14:textId="77777777" w:rsidR="007E1664" w:rsidRPr="002E4CE6" w:rsidRDefault="007E1664" w:rsidP="00572503">
      <w:pPr>
        <w:spacing w:after="0" w:line="360" w:lineRule="auto"/>
        <w:rPr>
          <w:rFonts w:ascii="Times New Roman" w:hAnsi="Times New Roman"/>
          <w:color w:val="4472C4"/>
          <w:sz w:val="24"/>
          <w:szCs w:val="24"/>
        </w:rPr>
      </w:pPr>
    </w:p>
    <w:p w14:paraId="7290AD77" w14:textId="77777777" w:rsidR="007E1664" w:rsidRPr="002E4CE6" w:rsidRDefault="007E1664" w:rsidP="00975FD9">
      <w:pPr>
        <w:spacing w:after="0" w:line="360" w:lineRule="auto"/>
        <w:jc w:val="center"/>
        <w:rPr>
          <w:rFonts w:ascii="Times New Roman" w:hAnsi="Times New Roman"/>
          <w:color w:val="4472C4"/>
          <w:sz w:val="24"/>
          <w:szCs w:val="24"/>
        </w:rPr>
      </w:pPr>
    </w:p>
    <w:p w14:paraId="335BB4BA" w14:textId="77777777" w:rsidR="007E1664" w:rsidRPr="002E4CE6" w:rsidRDefault="007E1664" w:rsidP="00975FD9">
      <w:pPr>
        <w:spacing w:after="0" w:line="360" w:lineRule="auto"/>
        <w:jc w:val="center"/>
        <w:rPr>
          <w:rFonts w:ascii="Times New Roman" w:hAnsi="Times New Roman"/>
          <w:color w:val="4472C4"/>
          <w:sz w:val="24"/>
          <w:szCs w:val="24"/>
        </w:rPr>
      </w:pPr>
    </w:p>
    <w:p w14:paraId="52729942" w14:textId="77777777" w:rsidR="009C2EBE" w:rsidRDefault="009C2EBE">
      <w:pPr>
        <w:spacing w:after="0" w:line="240" w:lineRule="auto"/>
        <w:jc w:val="left"/>
        <w:rPr>
          <w:rFonts w:ascii="Times New Roman" w:hAnsi="Times New Roman"/>
          <w:b/>
          <w:sz w:val="24"/>
          <w:szCs w:val="24"/>
        </w:rPr>
      </w:pPr>
      <w:r>
        <w:rPr>
          <w:rFonts w:ascii="Times New Roman" w:hAnsi="Times New Roman"/>
          <w:b/>
          <w:sz w:val="24"/>
          <w:szCs w:val="24"/>
        </w:rPr>
        <w:br w:type="page"/>
      </w:r>
    </w:p>
    <w:p w14:paraId="60311F35" w14:textId="72E19088" w:rsidR="003B08B2" w:rsidRDefault="00475FDC" w:rsidP="00C63AEA">
      <w:pPr>
        <w:spacing w:after="0" w:line="360" w:lineRule="auto"/>
        <w:jc w:val="center"/>
        <w:rPr>
          <w:rFonts w:ascii="Times New Roman" w:hAnsi="Times New Roman"/>
          <w:b/>
          <w:sz w:val="24"/>
          <w:szCs w:val="24"/>
        </w:rPr>
      </w:pPr>
      <w:r w:rsidRPr="00C53D9D">
        <w:rPr>
          <w:rFonts w:ascii="Times New Roman" w:hAnsi="Times New Roman"/>
          <w:b/>
          <w:sz w:val="24"/>
          <w:szCs w:val="24"/>
        </w:rPr>
        <w:lastRenderedPageBreak/>
        <w:t>ABSTRACT</w:t>
      </w:r>
    </w:p>
    <w:p w14:paraId="578713B6" w14:textId="77777777" w:rsidR="00142C02" w:rsidRPr="00C53D9D" w:rsidRDefault="00142C02" w:rsidP="00C63AEA">
      <w:pPr>
        <w:spacing w:after="0" w:line="360" w:lineRule="auto"/>
        <w:jc w:val="center"/>
        <w:rPr>
          <w:rFonts w:ascii="Times New Roman" w:hAnsi="Times New Roman"/>
          <w:b/>
          <w:sz w:val="24"/>
          <w:szCs w:val="24"/>
        </w:rPr>
      </w:pPr>
    </w:p>
    <w:p w14:paraId="740C16B0" w14:textId="30C44633" w:rsidR="003C34A4" w:rsidRPr="000D26FC" w:rsidRDefault="001B64C1" w:rsidP="00C63AEA">
      <w:pPr>
        <w:tabs>
          <w:tab w:val="left" w:pos="10080"/>
        </w:tabs>
        <w:spacing w:after="0" w:line="240" w:lineRule="auto"/>
        <w:ind w:right="630"/>
        <w:rPr>
          <w:rFonts w:ascii="Times New Roman" w:hAnsi="Times New Roman"/>
          <w:b/>
          <w:sz w:val="24"/>
          <w:szCs w:val="24"/>
        </w:rPr>
      </w:pPr>
      <w:r w:rsidRPr="000D26FC">
        <w:rPr>
          <w:rFonts w:ascii="Times New Roman" w:hAnsi="Times New Roman"/>
          <w:b/>
          <w:sz w:val="24"/>
          <w:szCs w:val="24"/>
        </w:rPr>
        <w:t>The</w:t>
      </w:r>
      <w:r w:rsidR="000917C7" w:rsidRPr="000D26FC">
        <w:rPr>
          <w:rFonts w:ascii="Times New Roman" w:hAnsi="Times New Roman"/>
          <w:b/>
          <w:sz w:val="24"/>
          <w:szCs w:val="24"/>
        </w:rPr>
        <w:t xml:space="preserve"> comparative politics approach</w:t>
      </w:r>
      <w:r w:rsidRPr="000D26FC">
        <w:rPr>
          <w:rFonts w:ascii="Times New Roman" w:hAnsi="Times New Roman"/>
          <w:b/>
          <w:sz w:val="24"/>
          <w:szCs w:val="24"/>
        </w:rPr>
        <w:t xml:space="preserve"> to measuring malapportionment has been in terms of an adaptation of standard measures of seats-votes discrepancy, </w:t>
      </w:r>
      <w:r w:rsidR="000917C7" w:rsidRPr="000D26FC">
        <w:rPr>
          <w:rFonts w:ascii="Times New Roman" w:hAnsi="Times New Roman"/>
          <w:b/>
          <w:sz w:val="24"/>
          <w:szCs w:val="24"/>
        </w:rPr>
        <w:t xml:space="preserve">such as </w:t>
      </w:r>
      <w:r w:rsidRPr="000D26FC">
        <w:rPr>
          <w:rFonts w:ascii="Times New Roman" w:hAnsi="Times New Roman"/>
          <w:b/>
          <w:sz w:val="24"/>
          <w:szCs w:val="24"/>
        </w:rPr>
        <w:t xml:space="preserve">the </w:t>
      </w:r>
      <w:r w:rsidRPr="000D26FC">
        <w:rPr>
          <w:rFonts w:ascii="Times New Roman" w:hAnsi="Times New Roman"/>
          <w:b/>
          <w:i/>
          <w:sz w:val="24"/>
          <w:szCs w:val="24"/>
        </w:rPr>
        <w:t>Loosemore-Hanby Index of Distortion</w:t>
      </w:r>
      <w:r w:rsidRPr="000D26FC">
        <w:rPr>
          <w:rFonts w:ascii="Times New Roman" w:hAnsi="Times New Roman"/>
          <w:b/>
          <w:sz w:val="24"/>
          <w:szCs w:val="24"/>
        </w:rPr>
        <w:t xml:space="preserve"> (1971)</w:t>
      </w:r>
      <w:r w:rsidR="000917C7" w:rsidRPr="000D26FC">
        <w:rPr>
          <w:rFonts w:ascii="Times New Roman" w:hAnsi="Times New Roman"/>
          <w:b/>
          <w:sz w:val="24"/>
          <w:szCs w:val="24"/>
        </w:rPr>
        <w:t>,</w:t>
      </w:r>
      <w:r w:rsidRPr="000D26FC">
        <w:rPr>
          <w:rFonts w:ascii="Times New Roman" w:hAnsi="Times New Roman"/>
          <w:b/>
          <w:sz w:val="24"/>
          <w:szCs w:val="24"/>
        </w:rPr>
        <w:t xml:space="preserve"> </w:t>
      </w:r>
      <w:r w:rsidR="000917C7" w:rsidRPr="000D26FC">
        <w:rPr>
          <w:rFonts w:ascii="Times New Roman" w:hAnsi="Times New Roman"/>
          <w:b/>
          <w:sz w:val="24"/>
          <w:szCs w:val="24"/>
        </w:rPr>
        <w:t xml:space="preserve">used by Samuels </w:t>
      </w:r>
      <w:r w:rsidR="00783562">
        <w:rPr>
          <w:rFonts w:ascii="Times New Roman" w:hAnsi="Times New Roman"/>
          <w:b/>
          <w:sz w:val="24"/>
          <w:szCs w:val="24"/>
        </w:rPr>
        <w:t xml:space="preserve"> and Snyder </w:t>
      </w:r>
      <w:r w:rsidR="000917C7" w:rsidRPr="000D26FC">
        <w:rPr>
          <w:rFonts w:ascii="Times New Roman" w:hAnsi="Times New Roman"/>
          <w:b/>
          <w:sz w:val="24"/>
          <w:szCs w:val="24"/>
        </w:rPr>
        <w:t xml:space="preserve">(2001) </w:t>
      </w:r>
      <w:r w:rsidR="00783562">
        <w:rPr>
          <w:rFonts w:ascii="Times New Roman" w:hAnsi="Times New Roman"/>
          <w:b/>
          <w:sz w:val="24"/>
          <w:szCs w:val="24"/>
        </w:rPr>
        <w:t xml:space="preserve">and </w:t>
      </w:r>
      <w:proofErr w:type="spellStart"/>
      <w:r w:rsidR="00783562">
        <w:rPr>
          <w:rFonts w:ascii="Times New Roman" w:hAnsi="Times New Roman"/>
          <w:b/>
          <w:sz w:val="24"/>
          <w:szCs w:val="24"/>
        </w:rPr>
        <w:t>Sauger</w:t>
      </w:r>
      <w:proofErr w:type="spellEnd"/>
      <w:r w:rsidR="00783562">
        <w:rPr>
          <w:rFonts w:ascii="Times New Roman" w:hAnsi="Times New Roman"/>
          <w:b/>
          <w:sz w:val="24"/>
          <w:szCs w:val="24"/>
        </w:rPr>
        <w:t xml:space="preserve"> and Grofman (2016) </w:t>
      </w:r>
      <w:r w:rsidR="000917C7" w:rsidRPr="000D26FC">
        <w:rPr>
          <w:rFonts w:ascii="Times New Roman" w:hAnsi="Times New Roman"/>
          <w:b/>
          <w:sz w:val="24"/>
          <w:szCs w:val="24"/>
        </w:rPr>
        <w:t>among others</w:t>
      </w:r>
      <w:r w:rsidR="000D26FC" w:rsidRPr="000D26FC">
        <w:rPr>
          <w:rFonts w:ascii="Times New Roman" w:hAnsi="Times New Roman"/>
          <w:b/>
          <w:sz w:val="24"/>
          <w:szCs w:val="24"/>
        </w:rPr>
        <w:t>.</w:t>
      </w:r>
      <w:r w:rsidR="00184F9E">
        <w:rPr>
          <w:rFonts w:ascii="Times New Roman" w:hAnsi="Times New Roman"/>
          <w:b/>
          <w:sz w:val="24"/>
          <w:szCs w:val="24"/>
        </w:rPr>
        <w:t xml:space="preserve"> </w:t>
      </w:r>
      <w:r w:rsidR="006A2CBE" w:rsidRPr="000D26FC">
        <w:rPr>
          <w:rFonts w:ascii="Times New Roman" w:hAnsi="Times New Roman"/>
          <w:b/>
          <w:sz w:val="24"/>
          <w:szCs w:val="24"/>
        </w:rPr>
        <w:t>Th</w:t>
      </w:r>
      <w:r w:rsidR="008132C0">
        <w:rPr>
          <w:rFonts w:ascii="Times New Roman" w:hAnsi="Times New Roman"/>
          <w:b/>
          <w:sz w:val="24"/>
          <w:szCs w:val="24"/>
        </w:rPr>
        <w:t>is</w:t>
      </w:r>
      <w:r w:rsidR="006A2CBE" w:rsidRPr="000D26FC">
        <w:rPr>
          <w:rFonts w:ascii="Times New Roman" w:hAnsi="Times New Roman"/>
          <w:b/>
          <w:sz w:val="24"/>
          <w:szCs w:val="24"/>
        </w:rPr>
        <w:t xml:space="preserve"> approach</w:t>
      </w:r>
      <w:r w:rsidR="008132C0">
        <w:rPr>
          <w:rFonts w:ascii="Times New Roman" w:hAnsi="Times New Roman"/>
          <w:b/>
          <w:sz w:val="24"/>
          <w:szCs w:val="24"/>
        </w:rPr>
        <w:t xml:space="preserve"> </w:t>
      </w:r>
      <w:r w:rsidRPr="000D26FC">
        <w:rPr>
          <w:rFonts w:ascii="Times New Roman" w:hAnsi="Times New Roman"/>
          <w:b/>
          <w:sz w:val="24"/>
          <w:szCs w:val="24"/>
        </w:rPr>
        <w:t>examine</w:t>
      </w:r>
      <w:r w:rsidR="008132C0">
        <w:rPr>
          <w:rFonts w:ascii="Times New Roman" w:hAnsi="Times New Roman"/>
          <w:b/>
          <w:sz w:val="24"/>
          <w:szCs w:val="24"/>
        </w:rPr>
        <w:t>s</w:t>
      </w:r>
      <w:r w:rsidR="004F191C">
        <w:rPr>
          <w:rFonts w:ascii="Times New Roman" w:hAnsi="Times New Roman"/>
          <w:b/>
          <w:sz w:val="24"/>
          <w:szCs w:val="24"/>
        </w:rPr>
        <w:t xml:space="preserve"> </w:t>
      </w:r>
      <w:r w:rsidRPr="000D26FC">
        <w:rPr>
          <w:rFonts w:ascii="Times New Roman" w:hAnsi="Times New Roman"/>
          <w:b/>
          <w:sz w:val="24"/>
          <w:szCs w:val="24"/>
        </w:rPr>
        <w:t xml:space="preserve">malapportionment levels as whole, taking into account the differences in each of the districts between actual </w:t>
      </w:r>
      <w:r w:rsidR="00783562">
        <w:rPr>
          <w:rFonts w:ascii="Times New Roman" w:hAnsi="Times New Roman"/>
          <w:b/>
          <w:sz w:val="24"/>
          <w:szCs w:val="24"/>
        </w:rPr>
        <w:t>population and ideal population.</w:t>
      </w:r>
      <w:r w:rsidRPr="000D26FC">
        <w:rPr>
          <w:rFonts w:ascii="Times New Roman" w:hAnsi="Times New Roman"/>
          <w:b/>
          <w:sz w:val="24"/>
          <w:szCs w:val="24"/>
        </w:rPr>
        <w:t xml:space="preserve"> In contrast, U.S. courts</w:t>
      </w:r>
      <w:r w:rsidR="00783562">
        <w:rPr>
          <w:rFonts w:ascii="Times New Roman" w:hAnsi="Times New Roman"/>
          <w:b/>
          <w:sz w:val="24"/>
          <w:szCs w:val="24"/>
        </w:rPr>
        <w:t>,</w:t>
      </w:r>
      <w:r w:rsidRPr="000D26FC">
        <w:rPr>
          <w:rFonts w:ascii="Times New Roman" w:hAnsi="Times New Roman"/>
          <w:b/>
          <w:sz w:val="24"/>
          <w:szCs w:val="24"/>
        </w:rPr>
        <w:t xml:space="preserve"> </w:t>
      </w:r>
      <w:r w:rsidR="009C2EBE" w:rsidRPr="000D26FC">
        <w:rPr>
          <w:rFonts w:ascii="Times New Roman" w:hAnsi="Times New Roman"/>
          <w:b/>
          <w:sz w:val="24"/>
          <w:szCs w:val="24"/>
        </w:rPr>
        <w:t>and courts in many other countries</w:t>
      </w:r>
      <w:r w:rsidR="000D26FC" w:rsidRPr="000D26FC">
        <w:rPr>
          <w:rFonts w:ascii="Times New Roman" w:hAnsi="Times New Roman"/>
          <w:b/>
          <w:sz w:val="24"/>
          <w:szCs w:val="24"/>
        </w:rPr>
        <w:t>,</w:t>
      </w:r>
      <w:r w:rsidR="009C2EBE" w:rsidRPr="000D26FC">
        <w:rPr>
          <w:rFonts w:ascii="Times New Roman" w:hAnsi="Times New Roman"/>
          <w:b/>
          <w:sz w:val="24"/>
          <w:szCs w:val="24"/>
        </w:rPr>
        <w:t xml:space="preserve"> </w:t>
      </w:r>
      <w:r w:rsidR="00783562">
        <w:rPr>
          <w:rFonts w:ascii="Times New Roman" w:hAnsi="Times New Roman"/>
          <w:b/>
          <w:sz w:val="24"/>
          <w:szCs w:val="24"/>
        </w:rPr>
        <w:t xml:space="preserve">including Canada, France and Germany, </w:t>
      </w:r>
      <w:r w:rsidR="006A2CBE" w:rsidRPr="000D26FC">
        <w:rPr>
          <w:rFonts w:ascii="Times New Roman" w:hAnsi="Times New Roman"/>
          <w:b/>
          <w:sz w:val="24"/>
          <w:szCs w:val="24"/>
        </w:rPr>
        <w:t>measure</w:t>
      </w:r>
      <w:r w:rsidR="00330117">
        <w:rPr>
          <w:rFonts w:ascii="Times New Roman" w:hAnsi="Times New Roman"/>
          <w:b/>
          <w:sz w:val="24"/>
          <w:szCs w:val="24"/>
        </w:rPr>
        <w:t xml:space="preserve"> </w:t>
      </w:r>
      <w:r w:rsidR="006A2CBE" w:rsidRPr="000D26FC">
        <w:rPr>
          <w:rFonts w:ascii="Times New Roman" w:hAnsi="Times New Roman"/>
          <w:b/>
          <w:sz w:val="24"/>
          <w:szCs w:val="24"/>
        </w:rPr>
        <w:t xml:space="preserve">compliance with </w:t>
      </w:r>
      <w:r w:rsidR="00184F9E">
        <w:rPr>
          <w:rFonts w:ascii="Times New Roman" w:hAnsi="Times New Roman"/>
          <w:b/>
          <w:sz w:val="24"/>
          <w:szCs w:val="24"/>
        </w:rPr>
        <w:t>a</w:t>
      </w:r>
      <w:r w:rsidR="006A2CBE" w:rsidRPr="000D26FC">
        <w:rPr>
          <w:rFonts w:ascii="Times New Roman" w:hAnsi="Times New Roman"/>
          <w:b/>
          <w:sz w:val="24"/>
          <w:szCs w:val="24"/>
        </w:rPr>
        <w:t xml:space="preserve"> one person, one vote standard using </w:t>
      </w:r>
      <w:r w:rsidRPr="000D26FC">
        <w:rPr>
          <w:rFonts w:ascii="Times New Roman" w:hAnsi="Times New Roman"/>
          <w:b/>
          <w:sz w:val="24"/>
          <w:szCs w:val="24"/>
        </w:rPr>
        <w:t xml:space="preserve">what is called the </w:t>
      </w:r>
      <w:r w:rsidRPr="000D26FC">
        <w:rPr>
          <w:rFonts w:ascii="Times New Roman" w:hAnsi="Times New Roman"/>
          <w:b/>
          <w:i/>
          <w:sz w:val="24"/>
          <w:szCs w:val="24"/>
        </w:rPr>
        <w:t>total population deviation</w:t>
      </w:r>
      <w:r w:rsidR="000D26FC" w:rsidRPr="000D26FC">
        <w:rPr>
          <w:rFonts w:ascii="Times New Roman" w:hAnsi="Times New Roman"/>
          <w:b/>
          <w:i/>
          <w:sz w:val="24"/>
          <w:szCs w:val="24"/>
        </w:rPr>
        <w:t xml:space="preserve"> </w:t>
      </w:r>
      <w:r w:rsidR="000D26FC" w:rsidRPr="000D26FC">
        <w:rPr>
          <w:rFonts w:ascii="Times New Roman" w:hAnsi="Times New Roman"/>
          <w:b/>
          <w:sz w:val="24"/>
          <w:szCs w:val="24"/>
        </w:rPr>
        <w:t>(TPD)</w:t>
      </w:r>
      <w:r w:rsidRPr="000D26FC">
        <w:rPr>
          <w:rFonts w:ascii="Times New Roman" w:hAnsi="Times New Roman"/>
          <w:b/>
          <w:sz w:val="24"/>
          <w:szCs w:val="24"/>
        </w:rPr>
        <w:t>, which looks only at the two extreme poles of malapportionment, i.e., the difference between actual population and ideal population in the smallest district</w:t>
      </w:r>
      <w:r w:rsidR="006A2CBE" w:rsidRPr="000D26FC">
        <w:rPr>
          <w:rFonts w:ascii="Times New Roman" w:hAnsi="Times New Roman"/>
          <w:b/>
          <w:sz w:val="24"/>
          <w:szCs w:val="24"/>
        </w:rPr>
        <w:t xml:space="preserve"> </w:t>
      </w:r>
      <w:r w:rsidRPr="000D26FC">
        <w:rPr>
          <w:rFonts w:ascii="Times New Roman" w:hAnsi="Times New Roman"/>
          <w:b/>
          <w:sz w:val="24"/>
          <w:szCs w:val="24"/>
        </w:rPr>
        <w:t xml:space="preserve">and in the largest district. </w:t>
      </w:r>
      <w:r w:rsidR="000D26FC" w:rsidRPr="000D26FC">
        <w:rPr>
          <w:rFonts w:ascii="Times New Roman" w:hAnsi="Times New Roman"/>
          <w:b/>
          <w:sz w:val="24"/>
          <w:szCs w:val="24"/>
        </w:rPr>
        <w:t>We demonstrate that which approach we take can dramatically affect the conclusions we reach, illustrating this point with data from the U.S. House, Senate, and Electoral College over the period 1790-201</w:t>
      </w:r>
      <w:r w:rsidR="00B06CAE">
        <w:rPr>
          <w:rFonts w:ascii="Times New Roman" w:hAnsi="Times New Roman"/>
          <w:b/>
          <w:sz w:val="24"/>
          <w:szCs w:val="24"/>
        </w:rPr>
        <w:t>0</w:t>
      </w:r>
      <w:r w:rsidR="000D26FC" w:rsidRPr="000D26FC">
        <w:rPr>
          <w:rFonts w:ascii="Times New Roman" w:hAnsi="Times New Roman"/>
          <w:b/>
          <w:sz w:val="28"/>
          <w:szCs w:val="28"/>
        </w:rPr>
        <w:t>.</w:t>
      </w:r>
      <w:r w:rsidR="000D26FC" w:rsidRPr="000D26FC">
        <w:rPr>
          <w:rFonts w:ascii="Times New Roman" w:hAnsi="Times New Roman"/>
          <w:b/>
          <w:sz w:val="24"/>
          <w:szCs w:val="24"/>
        </w:rPr>
        <w:t xml:space="preserve">  </w:t>
      </w:r>
      <w:r w:rsidR="00184F9E">
        <w:rPr>
          <w:rFonts w:ascii="Times New Roman" w:hAnsi="Times New Roman"/>
          <w:b/>
          <w:sz w:val="24"/>
          <w:szCs w:val="24"/>
        </w:rPr>
        <w:t>In particular, u</w:t>
      </w:r>
      <w:r w:rsidR="006A2CBE" w:rsidRPr="000D26FC">
        <w:rPr>
          <w:rFonts w:ascii="Times New Roman" w:hAnsi="Times New Roman"/>
          <w:b/>
          <w:sz w:val="24"/>
          <w:szCs w:val="24"/>
        </w:rPr>
        <w:t xml:space="preserve">sing </w:t>
      </w:r>
      <w:r w:rsidR="000D26FC" w:rsidRPr="000D26FC">
        <w:rPr>
          <w:rFonts w:ascii="Times New Roman" w:hAnsi="Times New Roman"/>
          <w:b/>
          <w:sz w:val="24"/>
          <w:szCs w:val="24"/>
        </w:rPr>
        <w:t>TPD</w:t>
      </w:r>
      <w:r w:rsidR="006A2CBE" w:rsidRPr="000D26FC">
        <w:rPr>
          <w:rFonts w:ascii="Times New Roman" w:hAnsi="Times New Roman"/>
          <w:b/>
          <w:sz w:val="24"/>
          <w:szCs w:val="24"/>
        </w:rPr>
        <w:t>, the Electoral College (EC) is substantially malapportioned; under the</w:t>
      </w:r>
      <w:r w:rsidR="00330117">
        <w:rPr>
          <w:rFonts w:ascii="Times New Roman" w:hAnsi="Times New Roman"/>
          <w:b/>
          <w:sz w:val="24"/>
          <w:szCs w:val="24"/>
        </w:rPr>
        <w:t xml:space="preserve"> Loosemore-Hanby Index and the closely related Gallagher Index (Gallagher 1991), it is not</w:t>
      </w:r>
      <w:r w:rsidR="006A2CBE" w:rsidRPr="000D26FC">
        <w:rPr>
          <w:rFonts w:ascii="Times New Roman" w:hAnsi="Times New Roman"/>
          <w:b/>
          <w:sz w:val="24"/>
          <w:szCs w:val="24"/>
        </w:rPr>
        <w:t>. In contrast</w:t>
      </w:r>
      <w:r w:rsidR="008132C0">
        <w:rPr>
          <w:rFonts w:ascii="Times New Roman" w:hAnsi="Times New Roman"/>
          <w:b/>
          <w:sz w:val="24"/>
          <w:szCs w:val="24"/>
        </w:rPr>
        <w:t>,</w:t>
      </w:r>
      <w:r w:rsidR="006A2CBE" w:rsidRPr="000D26FC">
        <w:rPr>
          <w:rFonts w:ascii="Times New Roman" w:hAnsi="Times New Roman"/>
          <w:b/>
          <w:sz w:val="24"/>
          <w:szCs w:val="24"/>
        </w:rPr>
        <w:t xml:space="preserve"> the U.S. Senate is malapportioned no matter how we measure malapportionment</w:t>
      </w:r>
      <w:r w:rsidR="000D26FC" w:rsidRPr="000D26FC">
        <w:rPr>
          <w:rFonts w:ascii="Times New Roman" w:hAnsi="Times New Roman"/>
          <w:b/>
          <w:sz w:val="24"/>
          <w:szCs w:val="24"/>
        </w:rPr>
        <w:t xml:space="preserve">.  </w:t>
      </w:r>
      <w:r w:rsidR="000D5E43" w:rsidRPr="000D26FC">
        <w:rPr>
          <w:rFonts w:ascii="Times New Roman" w:hAnsi="Times New Roman"/>
          <w:b/>
          <w:sz w:val="24"/>
          <w:szCs w:val="24"/>
        </w:rPr>
        <w:t xml:space="preserve">We show that </w:t>
      </w:r>
      <w:r w:rsidR="006A2CBE" w:rsidRPr="000D26FC">
        <w:rPr>
          <w:rFonts w:ascii="Times New Roman" w:hAnsi="Times New Roman"/>
          <w:b/>
          <w:sz w:val="24"/>
          <w:szCs w:val="24"/>
        </w:rPr>
        <w:t xml:space="preserve">we can explain these difference in </w:t>
      </w:r>
      <w:r w:rsidR="000D26FC" w:rsidRPr="000D26FC">
        <w:rPr>
          <w:rFonts w:ascii="Times New Roman" w:hAnsi="Times New Roman"/>
          <w:b/>
          <w:sz w:val="24"/>
          <w:szCs w:val="24"/>
        </w:rPr>
        <w:t>measurement results</w:t>
      </w:r>
      <w:r w:rsidR="006A2CBE" w:rsidRPr="000D26FC">
        <w:rPr>
          <w:rFonts w:ascii="Times New Roman" w:hAnsi="Times New Roman"/>
          <w:b/>
          <w:sz w:val="24"/>
          <w:szCs w:val="24"/>
        </w:rPr>
        <w:t xml:space="preserve"> </w:t>
      </w:r>
      <w:r w:rsidR="00E46B68" w:rsidRPr="000D26FC">
        <w:rPr>
          <w:rFonts w:ascii="Times New Roman" w:hAnsi="Times New Roman"/>
          <w:b/>
          <w:sz w:val="24"/>
          <w:szCs w:val="24"/>
        </w:rPr>
        <w:t xml:space="preserve">once we </w:t>
      </w:r>
      <w:r w:rsidR="006A2CBE" w:rsidRPr="000D26FC">
        <w:rPr>
          <w:rFonts w:ascii="Times New Roman" w:hAnsi="Times New Roman"/>
          <w:b/>
          <w:sz w:val="24"/>
          <w:szCs w:val="24"/>
        </w:rPr>
        <w:t>realize that</w:t>
      </w:r>
      <w:r w:rsidR="00E46B68" w:rsidRPr="000D26FC">
        <w:rPr>
          <w:rFonts w:ascii="Times New Roman" w:hAnsi="Times New Roman"/>
          <w:b/>
          <w:color w:val="000000" w:themeColor="text1"/>
          <w:sz w:val="24"/>
          <w:szCs w:val="24"/>
        </w:rPr>
        <w:t xml:space="preserve"> the states with the greatest malapportionment do not make up</w:t>
      </w:r>
      <w:r w:rsidR="00B72DDA" w:rsidRPr="000D26FC">
        <w:rPr>
          <w:rFonts w:ascii="Times New Roman" w:hAnsi="Times New Roman"/>
          <w:b/>
          <w:color w:val="000000" w:themeColor="text1"/>
          <w:sz w:val="24"/>
          <w:szCs w:val="24"/>
        </w:rPr>
        <w:t xml:space="preserve"> a large share of the EC vote. </w:t>
      </w:r>
      <w:r w:rsidR="006A2CBE" w:rsidRPr="000D26FC">
        <w:rPr>
          <w:rFonts w:ascii="Times New Roman" w:hAnsi="Times New Roman"/>
          <w:b/>
          <w:color w:val="000000" w:themeColor="text1"/>
          <w:sz w:val="24"/>
          <w:szCs w:val="24"/>
        </w:rPr>
        <w:t xml:space="preserve">While as a matter of mathematical necessity, </w:t>
      </w:r>
      <w:r w:rsidR="000B2037" w:rsidRPr="000D26FC">
        <w:rPr>
          <w:rFonts w:ascii="Times New Roman" w:hAnsi="Times New Roman"/>
          <w:b/>
          <w:color w:val="000000" w:themeColor="text1"/>
          <w:sz w:val="24"/>
          <w:szCs w:val="24"/>
        </w:rPr>
        <w:t>malapportionment in the EC m</w:t>
      </w:r>
      <w:r w:rsidR="00EA0846" w:rsidRPr="000D26FC">
        <w:rPr>
          <w:rFonts w:ascii="Times New Roman" w:hAnsi="Times New Roman"/>
          <w:b/>
          <w:color w:val="000000" w:themeColor="text1"/>
          <w:sz w:val="24"/>
          <w:szCs w:val="24"/>
        </w:rPr>
        <w:t>u</w:t>
      </w:r>
      <w:r w:rsidR="000B2037" w:rsidRPr="000D26FC">
        <w:rPr>
          <w:rFonts w:ascii="Times New Roman" w:hAnsi="Times New Roman"/>
          <w:b/>
          <w:color w:val="000000" w:themeColor="text1"/>
          <w:sz w:val="24"/>
          <w:szCs w:val="24"/>
        </w:rPr>
        <w:t>st be larger than malapportionment in the U.S. House, it is not that much larger, and</w:t>
      </w:r>
      <w:r w:rsidR="00976383" w:rsidRPr="000D26FC">
        <w:rPr>
          <w:rFonts w:ascii="Times New Roman" w:hAnsi="Times New Roman"/>
          <w:b/>
          <w:color w:val="000000" w:themeColor="text1"/>
          <w:sz w:val="24"/>
          <w:szCs w:val="24"/>
        </w:rPr>
        <w:t xml:space="preserve"> the EC</w:t>
      </w:r>
      <w:r w:rsidR="000B2037" w:rsidRPr="000D26FC">
        <w:rPr>
          <w:rFonts w:ascii="Times New Roman" w:hAnsi="Times New Roman"/>
          <w:b/>
          <w:color w:val="000000" w:themeColor="text1"/>
          <w:sz w:val="24"/>
          <w:szCs w:val="24"/>
        </w:rPr>
        <w:t xml:space="preserve"> is far less malapportioned than the U.S. Senate.</w:t>
      </w:r>
    </w:p>
    <w:p w14:paraId="0ECF5B85" w14:textId="77777777" w:rsidR="001F2463" w:rsidRDefault="001F2463" w:rsidP="00C63AEA">
      <w:pPr>
        <w:tabs>
          <w:tab w:val="left" w:pos="10080"/>
        </w:tabs>
        <w:spacing w:after="0" w:line="240" w:lineRule="auto"/>
        <w:ind w:right="630"/>
        <w:rPr>
          <w:rFonts w:ascii="Times New Roman" w:hAnsi="Times New Roman"/>
          <w:i/>
          <w:sz w:val="24"/>
          <w:szCs w:val="24"/>
        </w:rPr>
      </w:pPr>
    </w:p>
    <w:p w14:paraId="76033B34" w14:textId="77777777" w:rsidR="001F2463" w:rsidRDefault="001F2463" w:rsidP="00C63AEA">
      <w:pPr>
        <w:tabs>
          <w:tab w:val="left" w:pos="10080"/>
        </w:tabs>
        <w:spacing w:after="0" w:line="240" w:lineRule="auto"/>
        <w:ind w:right="630"/>
        <w:rPr>
          <w:rFonts w:ascii="Times New Roman" w:hAnsi="Times New Roman"/>
          <w:i/>
          <w:sz w:val="24"/>
          <w:szCs w:val="24"/>
        </w:rPr>
      </w:pPr>
    </w:p>
    <w:p w14:paraId="6FE77F9A" w14:textId="06BF5C59" w:rsidR="00475FDC" w:rsidRPr="00F45091" w:rsidRDefault="00B62231" w:rsidP="0050309F">
      <w:pPr>
        <w:spacing w:after="0" w:line="360" w:lineRule="auto"/>
        <w:rPr>
          <w:rFonts w:ascii="Times New Roman" w:hAnsi="Times New Roman"/>
          <w:b/>
          <w:sz w:val="24"/>
          <w:szCs w:val="24"/>
        </w:rPr>
      </w:pPr>
      <w:r w:rsidRPr="00F45091">
        <w:rPr>
          <w:rFonts w:ascii="Times New Roman" w:hAnsi="Times New Roman"/>
          <w:b/>
          <w:sz w:val="24"/>
          <w:szCs w:val="24"/>
        </w:rPr>
        <w:t xml:space="preserve">Keywords: Malapportionment, Electoral College, </w:t>
      </w:r>
      <w:r w:rsidR="006A2CBE" w:rsidRPr="006A2CBE">
        <w:rPr>
          <w:rFonts w:ascii="Times New Roman" w:hAnsi="Times New Roman"/>
          <w:b/>
          <w:i/>
          <w:sz w:val="24"/>
          <w:szCs w:val="24"/>
        </w:rPr>
        <w:t>Total Population Deviation</w:t>
      </w:r>
      <w:r w:rsidR="006A2CBE">
        <w:rPr>
          <w:rFonts w:ascii="Times New Roman" w:hAnsi="Times New Roman"/>
          <w:b/>
          <w:sz w:val="24"/>
          <w:szCs w:val="24"/>
        </w:rPr>
        <w:t xml:space="preserve">, </w:t>
      </w:r>
      <w:r w:rsidRPr="00572503">
        <w:rPr>
          <w:rFonts w:ascii="Times New Roman" w:hAnsi="Times New Roman"/>
          <w:b/>
          <w:i/>
          <w:sz w:val="24"/>
          <w:szCs w:val="24"/>
        </w:rPr>
        <w:t>Gallagher Index</w:t>
      </w:r>
      <w:r w:rsidR="00F45091">
        <w:rPr>
          <w:rFonts w:ascii="Times New Roman" w:hAnsi="Times New Roman"/>
          <w:b/>
          <w:sz w:val="24"/>
          <w:szCs w:val="24"/>
        </w:rPr>
        <w:t xml:space="preserve">, </w:t>
      </w:r>
      <w:r w:rsidR="00F45091" w:rsidRPr="00572503">
        <w:rPr>
          <w:rFonts w:ascii="Times New Roman" w:hAnsi="Times New Roman"/>
          <w:b/>
          <w:i/>
          <w:sz w:val="24"/>
          <w:szCs w:val="24"/>
        </w:rPr>
        <w:t>Gini Index</w:t>
      </w:r>
      <w:r w:rsidR="00FD11E0" w:rsidRPr="00F45091">
        <w:rPr>
          <w:rFonts w:ascii="Times New Roman" w:hAnsi="Times New Roman"/>
          <w:b/>
          <w:sz w:val="24"/>
          <w:szCs w:val="24"/>
        </w:rPr>
        <w:t>, Elections</w:t>
      </w:r>
      <w:r w:rsidRPr="00F45091">
        <w:rPr>
          <w:rFonts w:ascii="Times New Roman" w:hAnsi="Times New Roman"/>
          <w:b/>
          <w:sz w:val="24"/>
          <w:szCs w:val="24"/>
        </w:rPr>
        <w:t xml:space="preserve">, Representation, </w:t>
      </w:r>
      <w:r w:rsidR="006A2CBE">
        <w:rPr>
          <w:rFonts w:ascii="Times New Roman" w:hAnsi="Times New Roman"/>
          <w:b/>
          <w:sz w:val="24"/>
          <w:szCs w:val="24"/>
        </w:rPr>
        <w:t xml:space="preserve">One person, one vote, </w:t>
      </w:r>
      <w:r w:rsidRPr="00F45091">
        <w:rPr>
          <w:rFonts w:ascii="Times New Roman" w:hAnsi="Times New Roman"/>
          <w:b/>
          <w:sz w:val="24"/>
          <w:szCs w:val="24"/>
        </w:rPr>
        <w:t>Voting</w:t>
      </w:r>
    </w:p>
    <w:p w14:paraId="1F172218" w14:textId="77777777" w:rsidR="002D49F9" w:rsidRDefault="00FA7E29" w:rsidP="007E0DE3">
      <w:pPr>
        <w:pStyle w:val="Heading1"/>
        <w:rPr>
          <w:rFonts w:ascii="Times New Roman" w:hAnsi="Times New Roman"/>
          <w:sz w:val="24"/>
          <w:szCs w:val="24"/>
        </w:rPr>
      </w:pPr>
      <w:r>
        <w:rPr>
          <w:i/>
        </w:rPr>
        <w:br w:type="page"/>
      </w:r>
      <w:r w:rsidR="002D49F9" w:rsidRPr="007E0DE3">
        <w:rPr>
          <w:rFonts w:ascii="Times New Roman" w:hAnsi="Times New Roman"/>
          <w:sz w:val="24"/>
          <w:szCs w:val="24"/>
        </w:rPr>
        <w:lastRenderedPageBreak/>
        <w:t>I.  Introduction</w:t>
      </w:r>
    </w:p>
    <w:p w14:paraId="379BBE0F" w14:textId="77777777" w:rsidR="007E0DE3" w:rsidRPr="007E0DE3" w:rsidRDefault="007E0DE3" w:rsidP="007E0DE3"/>
    <w:p w14:paraId="185EDEA3" w14:textId="1B601874" w:rsidR="00406C92" w:rsidRPr="009C2EBE" w:rsidRDefault="00C8604C" w:rsidP="00BA1BEE">
      <w:pPr>
        <w:pStyle w:val="MainBody"/>
        <w:rPr>
          <w:b/>
        </w:rPr>
      </w:pPr>
      <w:r w:rsidRPr="009C2EBE">
        <w:rPr>
          <w:b/>
        </w:rPr>
        <w:t>Malapportionment, in and of itself, may or may not have direct pernicious consequences for the treatment of particular political parties or cognizable groups of voters</w:t>
      </w:r>
      <w:r w:rsidR="000917C7" w:rsidRPr="009C2EBE">
        <w:rPr>
          <w:b/>
        </w:rPr>
        <w:t xml:space="preserve"> with distinct interests</w:t>
      </w:r>
      <w:r w:rsidRPr="009C2EBE">
        <w:rPr>
          <w:b/>
        </w:rPr>
        <w:t>.  For example, Singapore has high levels of malapportionment</w:t>
      </w:r>
      <w:r w:rsidR="00406C92" w:rsidRPr="009C2EBE">
        <w:rPr>
          <w:b/>
        </w:rPr>
        <w:t>,</w:t>
      </w:r>
      <w:r w:rsidRPr="009C2EBE">
        <w:rPr>
          <w:b/>
        </w:rPr>
        <w:t xml:space="preserve"> but </w:t>
      </w:r>
      <w:r w:rsidR="00406C92" w:rsidRPr="009C2EBE">
        <w:rPr>
          <w:b/>
        </w:rPr>
        <w:t xml:space="preserve">that malapportionment </w:t>
      </w:r>
      <w:r w:rsidRPr="009C2EBE">
        <w:rPr>
          <w:b/>
        </w:rPr>
        <w:t xml:space="preserve">does </w:t>
      </w:r>
      <w:r w:rsidR="00406C92" w:rsidRPr="009C2EBE">
        <w:rPr>
          <w:b/>
        </w:rPr>
        <w:t xml:space="preserve">not </w:t>
      </w:r>
      <w:r w:rsidRPr="009C2EBE">
        <w:rPr>
          <w:b/>
        </w:rPr>
        <w:t>appear to have effects that favor the ruling party, the PAP (Tan and Grofman, 2016).  In contrast, malapportionment in Japan has historically favored rural areas by over-representing rural voters, and thus been a boon to the LDP whose greatest strength came from rural voters (</w:t>
      </w:r>
      <w:r w:rsidRPr="009C2EBE">
        <w:rPr>
          <w:b/>
          <w:color w:val="00B0F0"/>
        </w:rPr>
        <w:t>BG FILL IN REF</w:t>
      </w:r>
      <w:r w:rsidRPr="009C2EBE">
        <w:rPr>
          <w:b/>
        </w:rPr>
        <w:t>)</w:t>
      </w:r>
      <w:r w:rsidR="00406C92" w:rsidRPr="009C2EBE">
        <w:rPr>
          <w:b/>
        </w:rPr>
        <w:t xml:space="preserve">.  </w:t>
      </w:r>
      <w:r w:rsidRPr="009C2EBE">
        <w:rPr>
          <w:b/>
        </w:rPr>
        <w:t>In the U.S., although m</w:t>
      </w:r>
      <w:r w:rsidR="000F32C5" w:rsidRPr="009C2EBE">
        <w:rPr>
          <w:b/>
        </w:rPr>
        <w:t xml:space="preserve">alapportionment bias is often regarded as </w:t>
      </w:r>
      <w:r w:rsidR="000F32C5" w:rsidRPr="009C2EBE">
        <w:rPr>
          <w:b/>
          <w:u w:val="single"/>
        </w:rPr>
        <w:t>inherently</w:t>
      </w:r>
      <w:r w:rsidR="000F32C5" w:rsidRPr="009C2EBE">
        <w:rPr>
          <w:b/>
        </w:rPr>
        <w:t xml:space="preserve"> normatively undesirable</w:t>
      </w:r>
      <w:r w:rsidRPr="009C2EBE">
        <w:rPr>
          <w:b/>
        </w:rPr>
        <w:t>,</w:t>
      </w:r>
      <w:r w:rsidR="00406C92" w:rsidRPr="009C2EBE">
        <w:rPr>
          <w:rStyle w:val="FootnoteReference"/>
          <w:b/>
        </w:rPr>
        <w:footnoteReference w:id="1"/>
      </w:r>
      <w:r w:rsidRPr="009C2EBE">
        <w:rPr>
          <w:b/>
        </w:rPr>
        <w:t xml:space="preserve"> it was the </w:t>
      </w:r>
      <w:r w:rsidR="00406C92" w:rsidRPr="009C2EBE">
        <w:rPr>
          <w:b/>
        </w:rPr>
        <w:t xml:space="preserve">perceived </w:t>
      </w:r>
      <w:r w:rsidR="005D009E" w:rsidRPr="009C2EBE">
        <w:rPr>
          <w:b/>
        </w:rPr>
        <w:t>effects on</w:t>
      </w:r>
      <w:r w:rsidR="000917C7" w:rsidRPr="009C2EBE">
        <w:rPr>
          <w:b/>
        </w:rPr>
        <w:t xml:space="preserve"> government policies </w:t>
      </w:r>
      <w:r w:rsidR="00406C92" w:rsidRPr="009C2EBE">
        <w:rPr>
          <w:b/>
        </w:rPr>
        <w:t>stemming from underrepresentation of city dweller</w:t>
      </w:r>
      <w:r w:rsidRPr="009C2EBE">
        <w:rPr>
          <w:b/>
        </w:rPr>
        <w:t xml:space="preserve">s that motivated much of the sentiment that </w:t>
      </w:r>
      <w:r w:rsidR="00406C92" w:rsidRPr="009C2EBE">
        <w:rPr>
          <w:b/>
        </w:rPr>
        <w:t>agitated  pre-</w:t>
      </w:r>
      <w:r w:rsidR="00406C92" w:rsidRPr="009C2EBE">
        <w:rPr>
          <w:b/>
          <w:i/>
        </w:rPr>
        <w:t xml:space="preserve">Baker v. Carr </w:t>
      </w:r>
      <w:r w:rsidR="00406C92" w:rsidRPr="009C2EBE">
        <w:rPr>
          <w:b/>
        </w:rPr>
        <w:t xml:space="preserve">(1962) reformers (see e.g. Baker, </w:t>
      </w:r>
      <w:r w:rsidR="00406C92" w:rsidRPr="009C2EBE">
        <w:rPr>
          <w:b/>
          <w:color w:val="00B0F0"/>
        </w:rPr>
        <w:t>BG FILL IN</w:t>
      </w:r>
      <w:r w:rsidR="00406C92" w:rsidRPr="009C2EBE">
        <w:rPr>
          <w:b/>
        </w:rPr>
        <w:t>).</w:t>
      </w:r>
      <w:r w:rsidR="005D009E" w:rsidRPr="009C2EBE">
        <w:rPr>
          <w:rStyle w:val="FootnoteReference"/>
          <w:b/>
        </w:rPr>
        <w:footnoteReference w:id="2"/>
      </w:r>
      <w:r w:rsidRPr="009C2EBE">
        <w:rPr>
          <w:b/>
        </w:rPr>
        <w:t xml:space="preserve"> </w:t>
      </w:r>
      <w:r w:rsidR="000F32C5" w:rsidRPr="009C2EBE">
        <w:rPr>
          <w:b/>
        </w:rPr>
        <w:t xml:space="preserve"> </w:t>
      </w:r>
      <w:r w:rsidR="000917C7" w:rsidRPr="009C2EBE">
        <w:rPr>
          <w:b/>
        </w:rPr>
        <w:t xml:space="preserve"> </w:t>
      </w:r>
      <w:r w:rsidR="00543C9E" w:rsidRPr="009C2EBE">
        <w:rPr>
          <w:b/>
        </w:rPr>
        <w:t>But</w:t>
      </w:r>
      <w:r w:rsidR="009C2EBE" w:rsidRPr="009C2EBE">
        <w:rPr>
          <w:b/>
        </w:rPr>
        <w:t xml:space="preserve">, regardless of why we regard </w:t>
      </w:r>
      <w:r w:rsidR="00233E01">
        <w:rPr>
          <w:b/>
        </w:rPr>
        <w:t xml:space="preserve">malapportionment </w:t>
      </w:r>
      <w:r w:rsidR="009C2EBE" w:rsidRPr="009C2EBE">
        <w:rPr>
          <w:b/>
        </w:rPr>
        <w:t xml:space="preserve">as problematic, we must answer the question: </w:t>
      </w:r>
      <w:r w:rsidR="00543C9E" w:rsidRPr="009C2EBE">
        <w:rPr>
          <w:b/>
        </w:rPr>
        <w:t xml:space="preserve"> </w:t>
      </w:r>
      <w:r w:rsidR="009C2EBE" w:rsidRPr="009C2EBE">
        <w:rPr>
          <w:b/>
        </w:rPr>
        <w:t>“H</w:t>
      </w:r>
      <w:r w:rsidR="00543C9E" w:rsidRPr="009C2EBE">
        <w:rPr>
          <w:b/>
        </w:rPr>
        <w:t>ow d</w:t>
      </w:r>
      <w:r w:rsidR="009C2EBE" w:rsidRPr="009C2EBE">
        <w:rPr>
          <w:b/>
        </w:rPr>
        <w:t xml:space="preserve">o </w:t>
      </w:r>
      <w:proofErr w:type="gramStart"/>
      <w:r w:rsidR="009C2EBE" w:rsidRPr="009C2EBE">
        <w:rPr>
          <w:b/>
        </w:rPr>
        <w:t>we</w:t>
      </w:r>
      <w:proofErr w:type="gramEnd"/>
      <w:r w:rsidR="009C2EBE" w:rsidRPr="009C2EBE">
        <w:rPr>
          <w:b/>
        </w:rPr>
        <w:t xml:space="preserve"> measure malapportionment?”</w:t>
      </w:r>
      <w:r w:rsidR="00543C9E" w:rsidRPr="009C2EBE">
        <w:rPr>
          <w:b/>
        </w:rPr>
        <w:t xml:space="preserve"> </w:t>
      </w:r>
      <w:r w:rsidR="00D870B7">
        <w:rPr>
          <w:rStyle w:val="FootnoteReference"/>
          <w:b/>
        </w:rPr>
        <w:footnoteReference w:id="3"/>
      </w:r>
    </w:p>
    <w:p w14:paraId="78AB7873" w14:textId="6599F3C4" w:rsidR="008132C0" w:rsidRDefault="00543C9E" w:rsidP="00543C9E">
      <w:pPr>
        <w:pStyle w:val="MainBody"/>
        <w:rPr>
          <w:b/>
        </w:rPr>
      </w:pPr>
      <w:r w:rsidRPr="009C2EBE">
        <w:rPr>
          <w:b/>
        </w:rPr>
        <w:t xml:space="preserve"> </w:t>
      </w:r>
      <w:r w:rsidR="003D118C">
        <w:rPr>
          <w:b/>
        </w:rPr>
        <w:t xml:space="preserve">Students of American politics </w:t>
      </w:r>
      <w:r w:rsidRPr="009C2EBE">
        <w:rPr>
          <w:b/>
        </w:rPr>
        <w:t xml:space="preserve">writing before and just after </w:t>
      </w:r>
      <w:r w:rsidRPr="009C2EBE">
        <w:rPr>
          <w:b/>
          <w:i/>
        </w:rPr>
        <w:t>Baker v. Carr</w:t>
      </w:r>
      <w:r w:rsidRPr="009C2EBE">
        <w:rPr>
          <w:b/>
        </w:rPr>
        <w:t xml:space="preserve"> </w:t>
      </w:r>
      <w:r w:rsidR="003D118C">
        <w:rPr>
          <w:b/>
        </w:rPr>
        <w:t xml:space="preserve">(1962) </w:t>
      </w:r>
      <w:r w:rsidRPr="009C2EBE">
        <w:rPr>
          <w:b/>
        </w:rPr>
        <w:t xml:space="preserve">considered a number of different ways to measure malapportionment.  These included the </w:t>
      </w:r>
      <w:r w:rsidRPr="009C2EBE">
        <w:rPr>
          <w:b/>
          <w:i/>
        </w:rPr>
        <w:t>total population deviation</w:t>
      </w:r>
      <w:r w:rsidRPr="009C2EBE">
        <w:rPr>
          <w:b/>
        </w:rPr>
        <w:t>, which looks at the</w:t>
      </w:r>
      <w:r w:rsidR="00975301">
        <w:rPr>
          <w:b/>
        </w:rPr>
        <w:t xml:space="preserve"> difference in population between the</w:t>
      </w:r>
      <w:r w:rsidRPr="009C2EBE">
        <w:rPr>
          <w:b/>
        </w:rPr>
        <w:t xml:space="preserve"> most underpopulated and the most overpopulated district</w:t>
      </w:r>
      <w:r w:rsidR="003D118C">
        <w:rPr>
          <w:b/>
        </w:rPr>
        <w:t>;</w:t>
      </w:r>
      <w:r w:rsidRPr="009C2EBE">
        <w:rPr>
          <w:b/>
        </w:rPr>
        <w:t xml:space="preserve"> </w:t>
      </w:r>
      <w:r w:rsidR="00975301">
        <w:rPr>
          <w:b/>
        </w:rPr>
        <w:t xml:space="preserve">the </w:t>
      </w:r>
      <w:r w:rsidR="00975301" w:rsidRPr="00975301">
        <w:rPr>
          <w:b/>
          <w:i/>
        </w:rPr>
        <w:t>population deviation ratio</w:t>
      </w:r>
      <w:r w:rsidR="00975301">
        <w:rPr>
          <w:b/>
        </w:rPr>
        <w:t xml:space="preserve">, which is the ratio of the population in the largest district to that in the smallest, </w:t>
      </w:r>
      <w:r w:rsidR="007E31A6" w:rsidRPr="009C2EBE">
        <w:rPr>
          <w:b/>
        </w:rPr>
        <w:t xml:space="preserve">average </w:t>
      </w:r>
      <w:r w:rsidR="007E31A6">
        <w:rPr>
          <w:b/>
        </w:rPr>
        <w:t xml:space="preserve">absolute </w:t>
      </w:r>
      <w:r w:rsidR="007E31A6" w:rsidRPr="009C2EBE">
        <w:rPr>
          <w:b/>
        </w:rPr>
        <w:t>level of malapportionment</w:t>
      </w:r>
      <w:r w:rsidR="007E31A6">
        <w:rPr>
          <w:b/>
        </w:rPr>
        <w:t xml:space="preserve">; </w:t>
      </w:r>
      <w:r w:rsidRPr="009C2EBE">
        <w:rPr>
          <w:b/>
        </w:rPr>
        <w:t xml:space="preserve">and the minimum population </w:t>
      </w:r>
      <w:r w:rsidR="009C2EBE" w:rsidRPr="009C2EBE">
        <w:rPr>
          <w:b/>
        </w:rPr>
        <w:t>share</w:t>
      </w:r>
      <w:r w:rsidRPr="009C2EBE">
        <w:rPr>
          <w:b/>
        </w:rPr>
        <w:t xml:space="preserve"> needed to control a majority of seats in the </w:t>
      </w:r>
      <w:r w:rsidR="00E30FFC" w:rsidRPr="009C2EBE">
        <w:rPr>
          <w:b/>
        </w:rPr>
        <w:t xml:space="preserve">legislature. </w:t>
      </w:r>
      <w:r w:rsidR="0054236D" w:rsidRPr="009C2EBE">
        <w:rPr>
          <w:b/>
        </w:rPr>
        <w:t xml:space="preserve"> </w:t>
      </w:r>
    </w:p>
    <w:p w14:paraId="7CCB4B6C" w14:textId="6FE8EFF2" w:rsidR="008F42AD" w:rsidRDefault="0054236D" w:rsidP="008132C0">
      <w:pPr>
        <w:pStyle w:val="MainBody"/>
        <w:rPr>
          <w:b/>
        </w:rPr>
      </w:pPr>
      <w:r w:rsidRPr="009C2EBE">
        <w:rPr>
          <w:b/>
        </w:rPr>
        <w:t>For simplicity of exposition</w:t>
      </w:r>
      <w:r w:rsidR="00330117">
        <w:rPr>
          <w:b/>
        </w:rPr>
        <w:t>,</w:t>
      </w:r>
      <w:r w:rsidRPr="009C2EBE">
        <w:rPr>
          <w:b/>
        </w:rPr>
        <w:t xml:space="preserve"> we present</w:t>
      </w:r>
      <w:r w:rsidR="008132C0">
        <w:rPr>
          <w:b/>
        </w:rPr>
        <w:t xml:space="preserve"> below definitions of</w:t>
      </w:r>
      <w:r w:rsidRPr="009C2EBE">
        <w:rPr>
          <w:b/>
        </w:rPr>
        <w:t xml:space="preserve"> </w:t>
      </w:r>
      <w:r w:rsidR="009C2EBE" w:rsidRPr="009C2EBE">
        <w:rPr>
          <w:b/>
        </w:rPr>
        <w:t>these</w:t>
      </w:r>
      <w:r w:rsidRPr="009C2EBE">
        <w:rPr>
          <w:b/>
        </w:rPr>
        <w:t xml:space="preserve"> </w:t>
      </w:r>
      <w:r w:rsidR="00975301">
        <w:rPr>
          <w:b/>
        </w:rPr>
        <w:t>four</w:t>
      </w:r>
      <w:r w:rsidRPr="009C2EBE">
        <w:rPr>
          <w:b/>
        </w:rPr>
        <w:t xml:space="preserve"> measures for the case of single seat constituencies.</w:t>
      </w:r>
      <w:r w:rsidR="008132C0">
        <w:rPr>
          <w:b/>
        </w:rPr>
        <w:t xml:space="preserve">  </w:t>
      </w:r>
      <w:r w:rsidR="00E30FFC" w:rsidRPr="009C2EBE">
        <w:rPr>
          <w:b/>
        </w:rPr>
        <w:t xml:space="preserve">Let </w:t>
      </w:r>
      <m:oMath>
        <m:acc>
          <m:accPr>
            <m:chr m:val="̅"/>
            <m:ctrlPr>
              <w:rPr>
                <w:rFonts w:ascii="Cambria Math" w:hAnsi="Cambria Math"/>
                <w:b/>
                <w:i/>
              </w:rPr>
            </m:ctrlPr>
          </m:accPr>
          <m:e>
            <m:r>
              <m:rPr>
                <m:sty m:val="bi"/>
              </m:rPr>
              <w:rPr>
                <w:rFonts w:ascii="Cambria Math" w:hAnsi="Cambria Math"/>
              </w:rPr>
              <m:t>p</m:t>
            </m:r>
          </m:e>
        </m:acc>
      </m:oMath>
      <w:r w:rsidR="008F42AD" w:rsidRPr="009C2EBE">
        <w:rPr>
          <w:b/>
        </w:rPr>
        <w:t xml:space="preserve"> </w:t>
      </w:r>
      <w:r w:rsidR="00E30FFC" w:rsidRPr="009C2EBE">
        <w:rPr>
          <w:b/>
        </w:rPr>
        <w:t>= ideal population,</w:t>
      </w:r>
      <w:r w:rsidR="008F42AD" w:rsidRPr="009C2EBE">
        <w:rPr>
          <w:b/>
        </w:rPr>
        <w:t xml:space="preserve"> </w:t>
      </w:r>
      <w:r w:rsidRPr="009C2EBE">
        <w:rPr>
          <w:b/>
        </w:rPr>
        <w:t xml:space="preserve">i.e., the total population divided by the number of seats in the legislature, </w:t>
      </w:r>
      <w:r w:rsidR="008F42AD" w:rsidRPr="009C2EBE">
        <w:rPr>
          <w:b/>
        </w:rPr>
        <w:t>p</w:t>
      </w:r>
      <w:r w:rsidR="008F42AD" w:rsidRPr="009C2EBE">
        <w:rPr>
          <w:b/>
          <w:vertAlign w:val="subscript"/>
        </w:rPr>
        <w:t>i</w:t>
      </w:r>
      <w:r w:rsidR="008F42AD" w:rsidRPr="009C2EBE">
        <w:rPr>
          <w:b/>
        </w:rPr>
        <w:t xml:space="preserve"> = population in the ith constituency, </w:t>
      </w:r>
      <w:proofErr w:type="spellStart"/>
      <w:proofErr w:type="gramStart"/>
      <w:r w:rsidR="008F42AD" w:rsidRPr="009C2EBE">
        <w:rPr>
          <w:b/>
        </w:rPr>
        <w:t>p</w:t>
      </w:r>
      <w:r w:rsidR="008F42AD" w:rsidRPr="009C2EBE">
        <w:rPr>
          <w:b/>
          <w:vertAlign w:val="subscript"/>
        </w:rPr>
        <w:t>L</w:t>
      </w:r>
      <w:proofErr w:type="spellEnd"/>
      <w:proofErr w:type="gramEnd"/>
      <w:r w:rsidR="008F42AD" w:rsidRPr="009C2EBE">
        <w:rPr>
          <w:b/>
        </w:rPr>
        <w:t xml:space="preserve"> = population in the constituency with the largest population, </w:t>
      </w:r>
      <w:proofErr w:type="spellStart"/>
      <w:r w:rsidR="008F42AD" w:rsidRPr="009C2EBE">
        <w:rPr>
          <w:b/>
        </w:rPr>
        <w:t>p</w:t>
      </w:r>
      <w:r w:rsidR="008F42AD" w:rsidRPr="009C2EBE">
        <w:rPr>
          <w:b/>
          <w:vertAlign w:val="subscript"/>
        </w:rPr>
        <w:t>S</w:t>
      </w:r>
      <w:proofErr w:type="spellEnd"/>
      <w:r w:rsidR="008F42AD" w:rsidRPr="009C2EBE">
        <w:rPr>
          <w:b/>
        </w:rPr>
        <w:t xml:space="preserve"> = population in the constituency with the smallest population,</w:t>
      </w:r>
      <w:r w:rsidR="00E30FFC" w:rsidRPr="009C2EBE">
        <w:rPr>
          <w:b/>
        </w:rPr>
        <w:t xml:space="preserve"> n = number of </w:t>
      </w:r>
      <w:r w:rsidRPr="009C2EBE">
        <w:rPr>
          <w:b/>
        </w:rPr>
        <w:t>constituencies.</w:t>
      </w:r>
    </w:p>
    <w:p w14:paraId="33A686FF" w14:textId="77777777" w:rsidR="003410AC" w:rsidRPr="009C2EBE" w:rsidRDefault="003410AC" w:rsidP="008132C0">
      <w:pPr>
        <w:pStyle w:val="MainBody"/>
        <w:rPr>
          <w:b/>
        </w:rPr>
      </w:pPr>
    </w:p>
    <w:p w14:paraId="3A456335" w14:textId="77777777" w:rsidR="008132C0" w:rsidRDefault="008132C0" w:rsidP="003410AC">
      <w:pPr>
        <w:pStyle w:val="MainBody"/>
        <w:tabs>
          <w:tab w:val="left" w:pos="2160"/>
        </w:tabs>
        <w:ind w:firstLine="0"/>
        <w:jc w:val="center"/>
        <w:rPr>
          <w:b/>
        </w:rPr>
      </w:pPr>
    </w:p>
    <w:p w14:paraId="70BBD2E0" w14:textId="7095CDDD" w:rsidR="003410AC" w:rsidRPr="009C2EBE" w:rsidRDefault="008F42AD" w:rsidP="003410AC">
      <w:pPr>
        <w:pStyle w:val="MainBody"/>
        <w:tabs>
          <w:tab w:val="center" w:pos="5400"/>
        </w:tabs>
        <w:jc w:val="center"/>
        <w:rPr>
          <w:rFonts w:ascii=")" w:hAnsi=")"/>
          <w:b/>
        </w:rPr>
      </w:pPr>
      <w:r w:rsidRPr="009C2EBE">
        <w:rPr>
          <w:rFonts w:ascii=")" w:hAnsi=")"/>
          <w:b/>
        </w:rPr>
        <w:lastRenderedPageBreak/>
        <w:t>Total population deviation</w:t>
      </w:r>
      <w:r w:rsidR="00154B50">
        <w:rPr>
          <w:rFonts w:ascii=")" w:hAnsi=")"/>
          <w:b/>
        </w:rPr>
        <w:t xml:space="preserve"> (TPD)</w:t>
      </w:r>
      <w:r w:rsidR="003410AC" w:rsidRPr="003410AC">
        <w:rPr>
          <w:rFonts w:ascii=")" w:hAnsi=")"/>
          <w:b/>
        </w:rPr>
        <w:t xml:space="preserve"> </w:t>
      </w:r>
      <w:r w:rsidR="003410AC" w:rsidRPr="009C2EBE">
        <w:rPr>
          <w:rFonts w:ascii=")" w:hAnsi=")"/>
          <w:b/>
        </w:rPr>
        <w:t>= (</w:t>
      </w:r>
      <w:proofErr w:type="spellStart"/>
      <w:proofErr w:type="gramStart"/>
      <w:r w:rsidR="003410AC" w:rsidRPr="009C2EBE">
        <w:rPr>
          <w:b/>
        </w:rPr>
        <w:t>p</w:t>
      </w:r>
      <w:r w:rsidR="003410AC" w:rsidRPr="009C2EBE">
        <w:rPr>
          <w:b/>
          <w:vertAlign w:val="subscript"/>
        </w:rPr>
        <w:t>L</w:t>
      </w:r>
      <w:proofErr w:type="spellEnd"/>
      <w:proofErr w:type="gramEnd"/>
      <w:r w:rsidR="003410AC">
        <w:rPr>
          <w:b/>
          <w:vertAlign w:val="subscript"/>
        </w:rPr>
        <w:t xml:space="preserve"> </w:t>
      </w:r>
      <w:r w:rsidR="003410AC" w:rsidRPr="009C2EBE">
        <w:rPr>
          <w:b/>
        </w:rPr>
        <w:t xml:space="preserve">- </w:t>
      </w:r>
      <w:proofErr w:type="spellStart"/>
      <w:r w:rsidR="003410AC" w:rsidRPr="009C2EBE">
        <w:rPr>
          <w:b/>
        </w:rPr>
        <w:t>p</w:t>
      </w:r>
      <w:r w:rsidR="003410AC" w:rsidRPr="009C2EBE">
        <w:rPr>
          <w:b/>
          <w:vertAlign w:val="subscript"/>
        </w:rPr>
        <w:t>S</w:t>
      </w:r>
      <w:proofErr w:type="spellEnd"/>
      <w:r w:rsidR="003410AC" w:rsidRPr="009C2EBE">
        <w:rPr>
          <w:b/>
        </w:rPr>
        <w:t>)/</w:t>
      </w:r>
      <m:oMath>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p</m:t>
            </m:r>
          </m:e>
        </m:acc>
      </m:oMath>
    </w:p>
    <w:p w14:paraId="3CC3F035" w14:textId="6D1364F5" w:rsidR="008F42AD" w:rsidRPr="009C2EBE" w:rsidRDefault="008F42AD" w:rsidP="008132C0">
      <w:pPr>
        <w:pStyle w:val="MainBody"/>
        <w:tabs>
          <w:tab w:val="left" w:pos="2160"/>
        </w:tabs>
        <w:rPr>
          <w:rFonts w:ascii=")" w:hAnsi=")"/>
          <w:b/>
        </w:rPr>
      </w:pPr>
    </w:p>
    <w:p w14:paraId="617D7499" w14:textId="208EA273" w:rsidR="008132C0" w:rsidRDefault="00154B50" w:rsidP="008132C0">
      <w:pPr>
        <w:pStyle w:val="MainBody"/>
        <w:rPr>
          <w:b/>
        </w:rPr>
      </w:pPr>
      <w:r>
        <w:rPr>
          <w:b/>
        </w:rPr>
        <w:t>Th</w:t>
      </w:r>
      <w:r w:rsidR="003D118C">
        <w:rPr>
          <w:b/>
        </w:rPr>
        <w:t xml:space="preserve">e </w:t>
      </w:r>
      <w:proofErr w:type="gramStart"/>
      <w:r w:rsidR="003D118C">
        <w:rPr>
          <w:b/>
        </w:rPr>
        <w:t xml:space="preserve">TPD </w:t>
      </w:r>
      <w:r>
        <w:rPr>
          <w:b/>
        </w:rPr>
        <w:t xml:space="preserve"> measure</w:t>
      </w:r>
      <w:proofErr w:type="gramEnd"/>
      <w:r>
        <w:rPr>
          <w:b/>
        </w:rPr>
        <w:t xml:space="preserve"> </w:t>
      </w:r>
      <w:r w:rsidR="008132C0">
        <w:rPr>
          <w:b/>
        </w:rPr>
        <w:t xml:space="preserve">is </w:t>
      </w:r>
      <w:r w:rsidR="003D118C">
        <w:rPr>
          <w:b/>
        </w:rPr>
        <w:t>sometimes</w:t>
      </w:r>
      <w:r w:rsidR="008132C0">
        <w:rPr>
          <w:b/>
        </w:rPr>
        <w:t xml:space="preserve"> written as </w:t>
      </w:r>
      <w:r>
        <w:rPr>
          <w:b/>
        </w:rPr>
        <w:t>(</w:t>
      </w:r>
      <m:oMath>
        <m:acc>
          <m:accPr>
            <m:chr m:val="̅"/>
            <m:ctrlPr>
              <w:rPr>
                <w:rFonts w:ascii="Cambria Math" w:hAnsi="Cambria Math"/>
                <w:b/>
                <w:i/>
              </w:rPr>
            </m:ctrlPr>
          </m:accPr>
          <m:e>
            <m:r>
              <m:rPr>
                <m:sty m:val="bi"/>
              </m:rPr>
              <w:rPr>
                <w:rFonts w:ascii="Cambria Math" w:hAnsi="Cambria Math"/>
              </w:rPr>
              <m:t>p</m:t>
            </m:r>
          </m:e>
        </m:acc>
      </m:oMath>
      <w:r w:rsidR="008132C0" w:rsidRPr="009C2EBE">
        <w:rPr>
          <w:b/>
        </w:rPr>
        <w:t xml:space="preserve"> </w:t>
      </w:r>
      <w:r w:rsidR="008132C0">
        <w:rPr>
          <w:b/>
        </w:rPr>
        <w:t>–</w:t>
      </w:r>
      <w:proofErr w:type="spellStart"/>
      <w:r w:rsidRPr="009C2EBE">
        <w:rPr>
          <w:b/>
        </w:rPr>
        <w:t>p</w:t>
      </w:r>
      <w:r w:rsidR="008132C0">
        <w:rPr>
          <w:b/>
          <w:vertAlign w:val="subscript"/>
        </w:rPr>
        <w:t>S</w:t>
      </w:r>
      <w:proofErr w:type="spellEnd"/>
      <w:r w:rsidRPr="009C2EBE">
        <w:rPr>
          <w:b/>
        </w:rPr>
        <w:t>)/</w:t>
      </w:r>
      <m:oMath>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p</m:t>
            </m:r>
          </m:e>
        </m:acc>
      </m:oMath>
      <w:r>
        <w:rPr>
          <w:b/>
        </w:rPr>
        <w:t xml:space="preserve"> ) +</w:t>
      </w:r>
      <w:r w:rsidR="008132C0">
        <w:rPr>
          <w:b/>
        </w:rPr>
        <w:t>(</w:t>
      </w:r>
      <w:proofErr w:type="spellStart"/>
      <w:r w:rsidR="008132C0" w:rsidRPr="009C2EBE">
        <w:rPr>
          <w:b/>
        </w:rPr>
        <w:t>p</w:t>
      </w:r>
      <w:r w:rsidR="008132C0" w:rsidRPr="009C2EBE">
        <w:rPr>
          <w:b/>
          <w:vertAlign w:val="subscript"/>
        </w:rPr>
        <w:t>L</w:t>
      </w:r>
      <w:proofErr w:type="spellEnd"/>
      <w:r w:rsidR="008132C0" w:rsidRPr="009C2EBE">
        <w:rPr>
          <w:b/>
        </w:rPr>
        <w:t xml:space="preserve">- </w:t>
      </w:r>
      <m:oMath>
        <m:acc>
          <m:accPr>
            <m:chr m:val="̅"/>
            <m:ctrlPr>
              <w:rPr>
                <w:rFonts w:ascii="Cambria Math" w:hAnsi="Cambria Math"/>
                <w:b/>
                <w:i/>
              </w:rPr>
            </m:ctrlPr>
          </m:accPr>
          <m:e>
            <m:r>
              <m:rPr>
                <m:sty m:val="bi"/>
              </m:rPr>
              <w:rPr>
                <w:rFonts w:ascii="Cambria Math" w:hAnsi="Cambria Math"/>
              </w:rPr>
              <m:t>p</m:t>
            </m:r>
          </m:e>
        </m:acc>
      </m:oMath>
      <w:r w:rsidR="008132C0" w:rsidRPr="009C2EBE">
        <w:rPr>
          <w:b/>
        </w:rPr>
        <w:t>)/</w:t>
      </w:r>
      <m:oMath>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p</m:t>
            </m:r>
          </m:e>
        </m:acc>
      </m:oMath>
      <w:r w:rsidR="008132C0">
        <w:rPr>
          <w:b/>
        </w:rPr>
        <w:t xml:space="preserve"> .  </w:t>
      </w:r>
    </w:p>
    <w:p w14:paraId="081D3AD0" w14:textId="77777777" w:rsidR="00975301" w:rsidRDefault="00975301" w:rsidP="008132C0">
      <w:pPr>
        <w:pStyle w:val="MainBody"/>
        <w:rPr>
          <w:b/>
        </w:rPr>
      </w:pPr>
    </w:p>
    <w:p w14:paraId="77DAFED9" w14:textId="2F657B32" w:rsidR="00975301" w:rsidRDefault="00975301" w:rsidP="00975301">
      <w:pPr>
        <w:pStyle w:val="MainBody"/>
        <w:tabs>
          <w:tab w:val="center" w:pos="5400"/>
        </w:tabs>
        <w:jc w:val="center"/>
        <w:rPr>
          <w:b/>
        </w:rPr>
      </w:pPr>
      <w:r w:rsidRPr="009C2EBE">
        <w:rPr>
          <w:rFonts w:ascii=")" w:hAnsi=")"/>
          <w:b/>
        </w:rPr>
        <w:t>Total population</w:t>
      </w:r>
      <w:r>
        <w:rPr>
          <w:rFonts w:ascii=")" w:hAnsi=")"/>
          <w:b/>
        </w:rPr>
        <w:t xml:space="preserve"> ratio (TRD)</w:t>
      </w:r>
      <w:r w:rsidRPr="003410AC">
        <w:rPr>
          <w:rFonts w:ascii=")" w:hAnsi=")"/>
          <w:b/>
        </w:rPr>
        <w:t xml:space="preserve"> </w:t>
      </w:r>
      <w:proofErr w:type="gramStart"/>
      <w:r w:rsidRPr="009C2EBE">
        <w:rPr>
          <w:rFonts w:ascii=")" w:hAnsi=")"/>
          <w:b/>
        </w:rPr>
        <w:t xml:space="preserve">= </w:t>
      </w:r>
      <w:r>
        <w:rPr>
          <w:rFonts w:ascii=")" w:hAnsi=")"/>
          <w:b/>
        </w:rPr>
        <w:t xml:space="preserve"> </w:t>
      </w:r>
      <w:proofErr w:type="spellStart"/>
      <w:r w:rsidRPr="009C2EBE">
        <w:rPr>
          <w:b/>
        </w:rPr>
        <w:t>p</w:t>
      </w:r>
      <w:r>
        <w:rPr>
          <w:b/>
          <w:vertAlign w:val="subscript"/>
        </w:rPr>
        <w:t>S</w:t>
      </w:r>
      <w:proofErr w:type="spellEnd"/>
      <w:proofErr w:type="gramEnd"/>
      <w:r>
        <w:rPr>
          <w:b/>
          <w:vertAlign w:val="subscript"/>
        </w:rPr>
        <w:t xml:space="preserve"> </w:t>
      </w:r>
      <w:r>
        <w:rPr>
          <w:b/>
        </w:rPr>
        <w:t>/</w:t>
      </w:r>
      <w:r w:rsidRPr="009C2EBE">
        <w:rPr>
          <w:b/>
        </w:rPr>
        <w:t xml:space="preserve"> </w:t>
      </w:r>
      <w:proofErr w:type="spellStart"/>
      <w:r w:rsidRPr="009C2EBE">
        <w:rPr>
          <w:b/>
        </w:rPr>
        <w:t>p</w:t>
      </w:r>
      <w:r>
        <w:rPr>
          <w:b/>
          <w:vertAlign w:val="subscript"/>
        </w:rPr>
        <w:t>L</w:t>
      </w:r>
      <w:proofErr w:type="spellEnd"/>
      <w:r>
        <w:rPr>
          <w:b/>
        </w:rPr>
        <w:t xml:space="preserve">  </w:t>
      </w:r>
    </w:p>
    <w:p w14:paraId="7C7519A5" w14:textId="77777777" w:rsidR="007E31A6" w:rsidRDefault="007E31A6" w:rsidP="00975301">
      <w:pPr>
        <w:pStyle w:val="MainBody"/>
        <w:tabs>
          <w:tab w:val="center" w:pos="5400"/>
        </w:tabs>
        <w:jc w:val="center"/>
        <w:rPr>
          <w:b/>
        </w:rPr>
      </w:pPr>
    </w:p>
    <w:p w14:paraId="118FDB18" w14:textId="77777777" w:rsidR="00975301" w:rsidRPr="009C2EBE" w:rsidRDefault="00975301" w:rsidP="00975301">
      <w:pPr>
        <w:pStyle w:val="MainBody"/>
        <w:jc w:val="center"/>
        <w:rPr>
          <w:b/>
        </w:rPr>
      </w:pPr>
      <w:r w:rsidRPr="009C2EBE">
        <w:rPr>
          <w:b/>
        </w:rPr>
        <w:t xml:space="preserve">Average </w:t>
      </w:r>
      <w:proofErr w:type="gramStart"/>
      <w:r w:rsidRPr="009C2EBE">
        <w:rPr>
          <w:b/>
        </w:rPr>
        <w:t>malapportionment  =</w:t>
      </w:r>
      <w:proofErr w:type="gramEnd"/>
      <w:r>
        <w:rPr>
          <w:b/>
        </w:rPr>
        <w:t xml:space="preserve"> </w:t>
      </w:r>
      <w:r w:rsidRPr="003410AC">
        <w:rPr>
          <w:b/>
          <w:sz w:val="32"/>
          <w:szCs w:val="32"/>
        </w:rPr>
        <w:sym w:font="Symbol" w:char="F053"/>
      </w:r>
      <w:r w:rsidRPr="009C2EBE">
        <w:rPr>
          <w:b/>
        </w:rPr>
        <w:t xml:space="preserve"> </w:t>
      </w:r>
      <w:r>
        <w:rPr>
          <w:b/>
        </w:rPr>
        <w:t>│</w:t>
      </w:r>
      <w:r w:rsidRPr="009C2EBE">
        <w:rPr>
          <w:b/>
        </w:rPr>
        <w:t>p</w:t>
      </w:r>
      <w:r w:rsidRPr="009C2EBE">
        <w:rPr>
          <w:b/>
          <w:vertAlign w:val="subscript"/>
        </w:rPr>
        <w:t>i</w:t>
      </w:r>
      <w:r w:rsidRPr="009C2EBE">
        <w:rPr>
          <w:b/>
        </w:rPr>
        <w:t xml:space="preserve"> -</w:t>
      </w:r>
      <m:oMath>
        <m:acc>
          <m:accPr>
            <m:chr m:val="̅"/>
            <m:ctrlPr>
              <w:rPr>
                <w:rFonts w:ascii="Cambria Math" w:hAnsi="Cambria Math"/>
                <w:b/>
                <w:i/>
              </w:rPr>
            </m:ctrlPr>
          </m:accPr>
          <m:e>
            <m:r>
              <m:rPr>
                <m:sty m:val="bi"/>
              </m:rPr>
              <w:rPr>
                <w:rFonts w:ascii="Cambria Math" w:hAnsi="Cambria Math"/>
              </w:rPr>
              <m:t>p</m:t>
            </m:r>
          </m:e>
        </m:acc>
      </m:oMath>
      <w:r>
        <w:rPr>
          <w:b/>
        </w:rPr>
        <w:t>│</w:t>
      </w:r>
      <w:r w:rsidRPr="009C2EBE">
        <w:rPr>
          <w:b/>
        </w:rPr>
        <w:t>/n</w:t>
      </w:r>
    </w:p>
    <w:p w14:paraId="0DC0FCFB" w14:textId="77777777" w:rsidR="00470DC5" w:rsidRDefault="00470DC5" w:rsidP="008132C0">
      <w:pPr>
        <w:pStyle w:val="MainBody"/>
        <w:rPr>
          <w:b/>
        </w:rPr>
      </w:pPr>
    </w:p>
    <w:p w14:paraId="2C46A725" w14:textId="3BD682D2" w:rsidR="008F42AD" w:rsidRDefault="00975301" w:rsidP="008132C0">
      <w:pPr>
        <w:pStyle w:val="MainBody"/>
      </w:pPr>
      <w:r>
        <w:rPr>
          <w:b/>
        </w:rPr>
        <w:t>Finally, t</w:t>
      </w:r>
      <w:r w:rsidR="009C2EBE" w:rsidRPr="00233E01">
        <w:rPr>
          <w:b/>
        </w:rPr>
        <w:t xml:space="preserve">o find the </w:t>
      </w:r>
      <w:r w:rsidR="009C2EBE" w:rsidRPr="00154B50">
        <w:rPr>
          <w:b/>
          <w:i/>
        </w:rPr>
        <w:t>minimum population share needed to control a majority of the seats</w:t>
      </w:r>
      <w:r w:rsidR="009C2EBE" w:rsidRPr="00233E01">
        <w:rPr>
          <w:b/>
        </w:rPr>
        <w:t xml:space="preserve"> in the legislature, for the case of single seat constituencies, we order the districts from smallest to largest in population, and continue until we find the median district.  </w:t>
      </w:r>
      <w:r w:rsidR="003410AC">
        <w:rPr>
          <w:b/>
        </w:rPr>
        <w:t>We find t</w:t>
      </w:r>
      <w:r w:rsidR="009C2EBE" w:rsidRPr="00233E01">
        <w:rPr>
          <w:b/>
        </w:rPr>
        <w:t>he population</w:t>
      </w:r>
      <w:r w:rsidR="003410AC">
        <w:rPr>
          <w:b/>
        </w:rPr>
        <w:t xml:space="preserve"> of the districts</w:t>
      </w:r>
      <w:r w:rsidR="009C2EBE" w:rsidRPr="00233E01">
        <w:rPr>
          <w:b/>
        </w:rPr>
        <w:t xml:space="preserve"> up to and including the median district </w:t>
      </w:r>
      <w:r w:rsidR="003410AC">
        <w:rPr>
          <w:b/>
        </w:rPr>
        <w:t xml:space="preserve">and then </w:t>
      </w:r>
      <w:r w:rsidR="009C2EBE" w:rsidRPr="00233E01">
        <w:rPr>
          <w:b/>
        </w:rPr>
        <w:t>divide</w:t>
      </w:r>
      <w:r w:rsidR="003410AC">
        <w:rPr>
          <w:b/>
        </w:rPr>
        <w:t xml:space="preserve"> </w:t>
      </w:r>
      <w:r w:rsidR="009C2EBE" w:rsidRPr="00233E01">
        <w:rPr>
          <w:b/>
        </w:rPr>
        <w:t xml:space="preserve">by the total population </w:t>
      </w:r>
      <w:r w:rsidR="003410AC">
        <w:rPr>
          <w:b/>
        </w:rPr>
        <w:t>to obtain</w:t>
      </w:r>
      <w:r w:rsidR="009C2EBE" w:rsidRPr="00233E01">
        <w:rPr>
          <w:b/>
        </w:rPr>
        <w:t xml:space="preserve"> the proportion we seek</w:t>
      </w:r>
      <w:r w:rsidR="009C2EBE">
        <w:t>.</w:t>
      </w:r>
      <w:r w:rsidR="009C2EBE" w:rsidRPr="00233E01">
        <w:rPr>
          <w:rStyle w:val="FootnoteReference"/>
          <w:b/>
        </w:rPr>
        <w:footnoteReference w:id="4"/>
      </w:r>
    </w:p>
    <w:p w14:paraId="3FB5D1DF" w14:textId="77777777" w:rsidR="00470DC5" w:rsidRDefault="00470DC5" w:rsidP="008132C0">
      <w:pPr>
        <w:pStyle w:val="MainBody"/>
      </w:pPr>
    </w:p>
    <w:p w14:paraId="0FB1F798" w14:textId="4F3DFBFA" w:rsidR="008F42AD" w:rsidRDefault="003D118C" w:rsidP="00470DC5">
      <w:pPr>
        <w:pStyle w:val="MainBody"/>
        <w:rPr>
          <w:b/>
        </w:rPr>
      </w:pPr>
      <w:r>
        <w:rPr>
          <w:b/>
        </w:rPr>
        <w:t>A</w:t>
      </w:r>
      <w:r w:rsidRPr="00470DC5">
        <w:rPr>
          <w:b/>
        </w:rPr>
        <w:t>t the beginning of the Reapportionment Revolution</w:t>
      </w:r>
      <w:r>
        <w:rPr>
          <w:b/>
        </w:rPr>
        <w:t>,</w:t>
      </w:r>
      <w:r w:rsidRPr="00470DC5">
        <w:rPr>
          <w:b/>
        </w:rPr>
        <w:t xml:space="preserve"> </w:t>
      </w:r>
      <w:r>
        <w:rPr>
          <w:b/>
        </w:rPr>
        <w:t>c</w:t>
      </w:r>
      <w:r w:rsidRPr="00470DC5">
        <w:rPr>
          <w:b/>
        </w:rPr>
        <w:t>onsidering evidenc</w:t>
      </w:r>
      <w:r>
        <w:rPr>
          <w:b/>
        </w:rPr>
        <w:t>e</w:t>
      </w:r>
      <w:r w:rsidRPr="00470DC5">
        <w:rPr>
          <w:b/>
        </w:rPr>
        <w:t xml:space="preserve"> </w:t>
      </w:r>
      <w:r w:rsidR="008132C0" w:rsidRPr="00470DC5">
        <w:rPr>
          <w:b/>
        </w:rPr>
        <w:t>presented on these measures and others</w:t>
      </w:r>
      <w:r>
        <w:rPr>
          <w:b/>
        </w:rPr>
        <w:t xml:space="preserve"> at the trial level, U.S. courts</w:t>
      </w:r>
      <w:r w:rsidR="0015173E">
        <w:rPr>
          <w:b/>
        </w:rPr>
        <w:t>,</w:t>
      </w:r>
      <w:r>
        <w:rPr>
          <w:b/>
        </w:rPr>
        <w:t xml:space="preserve"> and ultimately</w:t>
      </w:r>
      <w:r w:rsidR="008132C0" w:rsidRPr="00470DC5">
        <w:rPr>
          <w:b/>
        </w:rPr>
        <w:t xml:space="preserve"> </w:t>
      </w:r>
      <w:r>
        <w:rPr>
          <w:b/>
        </w:rPr>
        <w:t xml:space="preserve">the </w:t>
      </w:r>
      <w:r w:rsidR="008132C0" w:rsidRPr="00470DC5">
        <w:rPr>
          <w:b/>
        </w:rPr>
        <w:t xml:space="preserve">U.S. </w:t>
      </w:r>
      <w:r>
        <w:rPr>
          <w:b/>
        </w:rPr>
        <w:t>Supreme Court,</w:t>
      </w:r>
      <w:r w:rsidR="008132C0" w:rsidRPr="00470DC5">
        <w:rPr>
          <w:b/>
        </w:rPr>
        <w:t xml:space="preserve"> seized upon the </w:t>
      </w:r>
      <w:r w:rsidR="007E31A6">
        <w:rPr>
          <w:b/>
        </w:rPr>
        <w:t>first</w:t>
      </w:r>
      <w:r w:rsidR="008132C0" w:rsidRPr="00470DC5">
        <w:rPr>
          <w:b/>
        </w:rPr>
        <w:t xml:space="preserve"> of these</w:t>
      </w:r>
      <w:r w:rsidR="00470DC5" w:rsidRPr="00470DC5">
        <w:rPr>
          <w:b/>
        </w:rPr>
        <w:t xml:space="preserve"> measures as the </w:t>
      </w:r>
      <w:r>
        <w:rPr>
          <w:b/>
        </w:rPr>
        <w:t xml:space="preserve">appropriate legal </w:t>
      </w:r>
      <w:r w:rsidR="00470DC5" w:rsidRPr="00470DC5">
        <w:rPr>
          <w:b/>
        </w:rPr>
        <w:t>standard. The TPD measure is conceptually very simple, and like the other t</w:t>
      </w:r>
      <w:r w:rsidR="007E31A6">
        <w:rPr>
          <w:b/>
        </w:rPr>
        <w:t>hree</w:t>
      </w:r>
      <w:r w:rsidR="00470DC5" w:rsidRPr="00470DC5">
        <w:rPr>
          <w:b/>
        </w:rPr>
        <w:t xml:space="preserve"> measures it can be used to specify a </w:t>
      </w:r>
      <w:r w:rsidR="00470DC5" w:rsidRPr="00470DC5">
        <w:rPr>
          <w:b/>
          <w:i/>
        </w:rPr>
        <w:t>de minimis</w:t>
      </w:r>
      <w:r w:rsidR="00470DC5" w:rsidRPr="00470DC5">
        <w:rPr>
          <w:b/>
        </w:rPr>
        <w:t xml:space="preserve"> threshold that can serve as a bright line test. Over the course of two decades, the U.S. Supreme Court set up a hierarchy, with the tightest standard for the U.S. Congress</w:t>
      </w:r>
      <w:r w:rsidR="00470DC5">
        <w:rPr>
          <w:b/>
        </w:rPr>
        <w:t xml:space="preserve">, </w:t>
      </w:r>
      <w:r w:rsidR="00470DC5" w:rsidRPr="00470DC5">
        <w:rPr>
          <w:b/>
        </w:rPr>
        <w:t>as close to zero TPD as practicable;</w:t>
      </w:r>
      <w:r w:rsidR="00470DC5" w:rsidRPr="00470DC5">
        <w:rPr>
          <w:rStyle w:val="FootnoteReference"/>
          <w:b/>
        </w:rPr>
        <w:t xml:space="preserve"> </w:t>
      </w:r>
      <w:r w:rsidR="00470DC5" w:rsidRPr="00470DC5">
        <w:rPr>
          <w:rStyle w:val="FootnoteReference"/>
          <w:b/>
        </w:rPr>
        <w:footnoteReference w:id="5"/>
      </w:r>
      <w:r w:rsidR="00470DC5" w:rsidRPr="00470DC5">
        <w:rPr>
          <w:b/>
        </w:rPr>
        <w:t xml:space="preserve"> the next highest standard for state legislative redistricting, a TPD of 10%;</w:t>
      </w:r>
      <w:r w:rsidR="00470DC5" w:rsidRPr="00470DC5">
        <w:rPr>
          <w:rStyle w:val="FootnoteReference"/>
          <w:b/>
        </w:rPr>
        <w:footnoteReference w:id="6"/>
      </w:r>
      <w:r w:rsidR="00470DC5" w:rsidRPr="00470DC5">
        <w:rPr>
          <w:b/>
        </w:rPr>
        <w:t xml:space="preserve"> and the lowest standard for local districting, where TPD values as high as 16.4% have been permitted.</w:t>
      </w:r>
      <w:r w:rsidR="00470DC5" w:rsidRPr="00470DC5">
        <w:rPr>
          <w:rStyle w:val="FootnoteReference"/>
          <w:b/>
        </w:rPr>
        <w:t xml:space="preserve"> </w:t>
      </w:r>
      <w:r w:rsidR="00470DC5" w:rsidRPr="00470DC5">
        <w:rPr>
          <w:rStyle w:val="FootnoteReference"/>
          <w:b/>
        </w:rPr>
        <w:footnoteReference w:id="7"/>
      </w:r>
      <w:r w:rsidR="008B627F">
        <w:rPr>
          <w:b/>
        </w:rPr>
        <w:t xml:space="preserve"> Virtually every other democracy which imposes some form of one person, one vote test on its </w:t>
      </w:r>
      <w:r w:rsidR="008B627F">
        <w:rPr>
          <w:b/>
        </w:rPr>
        <w:lastRenderedPageBreak/>
        <w:t>parliamentary constit</w:t>
      </w:r>
      <w:r w:rsidR="000A04E5">
        <w:rPr>
          <w:b/>
        </w:rPr>
        <w:t>u</w:t>
      </w:r>
      <w:r w:rsidR="008B627F">
        <w:rPr>
          <w:b/>
        </w:rPr>
        <w:t xml:space="preserve">encies has also adopted a TPD bases measure, though with widely differing thresholds, </w:t>
      </w:r>
      <w:r w:rsidR="0015173E">
        <w:rPr>
          <w:b/>
        </w:rPr>
        <w:t xml:space="preserve">with most far higher than the ones adopted in the U.S. </w:t>
      </w:r>
      <w:r w:rsidR="008B627F">
        <w:rPr>
          <w:b/>
        </w:rPr>
        <w:t>e.g., 30% in Germany and 50% in Canada.</w:t>
      </w:r>
      <w:r w:rsidR="008B627F">
        <w:rPr>
          <w:rStyle w:val="FootnoteReference"/>
          <w:b/>
        </w:rPr>
        <w:footnoteReference w:id="8"/>
      </w:r>
    </w:p>
    <w:p w14:paraId="580477BA" w14:textId="77777777" w:rsidR="008B627F" w:rsidRPr="00470DC5" w:rsidRDefault="008B627F" w:rsidP="00470DC5">
      <w:pPr>
        <w:pStyle w:val="MainBody"/>
        <w:rPr>
          <w:b/>
        </w:rPr>
      </w:pPr>
    </w:p>
    <w:p w14:paraId="339E5D3F" w14:textId="3D8625B6" w:rsidR="00AA126E" w:rsidRDefault="00470DC5" w:rsidP="00AA126E">
      <w:pPr>
        <w:spacing w:after="0" w:line="360" w:lineRule="auto"/>
        <w:ind w:right="630" w:firstLine="720"/>
        <w:rPr>
          <w:rFonts w:ascii="Times New Roman" w:hAnsi="Times New Roman"/>
          <w:sz w:val="24"/>
          <w:szCs w:val="24"/>
        </w:rPr>
      </w:pPr>
      <w:r w:rsidRPr="00AA126E">
        <w:rPr>
          <w:rFonts w:ascii="Times New Roman" w:hAnsi="Times New Roman"/>
          <w:b/>
          <w:sz w:val="24"/>
          <w:szCs w:val="24"/>
        </w:rPr>
        <w:t xml:space="preserve">In contrast, </w:t>
      </w:r>
      <w:r w:rsidR="00AA126E" w:rsidRPr="00AA126E">
        <w:rPr>
          <w:rFonts w:ascii="Times New Roman" w:hAnsi="Times New Roman"/>
          <w:b/>
          <w:sz w:val="24"/>
          <w:szCs w:val="24"/>
        </w:rPr>
        <w:t xml:space="preserve">when students of comparative politics study redistricting they have used a different measure of malapportionment, one adapted from the electoral systems literature on measuring the discrepancy between party vote share and party seat share, the </w:t>
      </w:r>
      <w:r w:rsidR="00AA126E" w:rsidRPr="00AA126E">
        <w:rPr>
          <w:rFonts w:ascii="Times New Roman" w:hAnsi="Times New Roman"/>
          <w:b/>
          <w:i/>
          <w:sz w:val="24"/>
          <w:szCs w:val="24"/>
        </w:rPr>
        <w:t>Loosemore-Hanby Index of Distortion</w:t>
      </w:r>
      <w:r w:rsidR="00AA126E" w:rsidRPr="00AA126E">
        <w:rPr>
          <w:rFonts w:ascii="Times New Roman" w:hAnsi="Times New Roman"/>
          <w:b/>
          <w:sz w:val="24"/>
          <w:szCs w:val="24"/>
        </w:rPr>
        <w:t xml:space="preserve"> (1971).  This measure, along with the closely related </w:t>
      </w:r>
      <w:r w:rsidR="00AA126E" w:rsidRPr="00AA126E">
        <w:rPr>
          <w:rFonts w:ascii="Times New Roman" w:hAnsi="Times New Roman"/>
          <w:b/>
          <w:i/>
          <w:sz w:val="24"/>
          <w:szCs w:val="24"/>
        </w:rPr>
        <w:t>Gallagher Index</w:t>
      </w:r>
      <w:r w:rsidR="00AA126E" w:rsidRPr="00AA126E">
        <w:rPr>
          <w:rFonts w:ascii="Times New Roman" w:hAnsi="Times New Roman"/>
          <w:b/>
          <w:sz w:val="24"/>
          <w:szCs w:val="24"/>
        </w:rPr>
        <w:t xml:space="preserve"> (1991)</w:t>
      </w:r>
      <w:r w:rsidR="007A070E">
        <w:rPr>
          <w:rFonts w:ascii="Times New Roman" w:hAnsi="Times New Roman"/>
          <w:b/>
          <w:sz w:val="24"/>
          <w:szCs w:val="24"/>
        </w:rPr>
        <w:t>,</w:t>
      </w:r>
      <w:r w:rsidR="00AA126E" w:rsidRPr="00AA126E">
        <w:rPr>
          <w:rFonts w:ascii="Times New Roman" w:hAnsi="Times New Roman"/>
          <w:b/>
          <w:sz w:val="24"/>
          <w:szCs w:val="24"/>
        </w:rPr>
        <w:t xml:space="preserve"> are the two most common metrics</w:t>
      </w:r>
      <w:r w:rsidR="0029244C">
        <w:rPr>
          <w:rStyle w:val="FootnoteReference"/>
          <w:rFonts w:ascii="Times New Roman" w:hAnsi="Times New Roman"/>
          <w:sz w:val="24"/>
          <w:szCs w:val="24"/>
        </w:rPr>
        <w:footnoteReference w:id="9"/>
      </w:r>
      <w:r w:rsidR="0029244C" w:rsidRPr="00C53D9D">
        <w:rPr>
          <w:rFonts w:ascii="Times New Roman" w:hAnsi="Times New Roman"/>
          <w:sz w:val="24"/>
          <w:szCs w:val="24"/>
        </w:rPr>
        <w:t xml:space="preserve"> </w:t>
      </w:r>
      <w:r w:rsidR="00AA126E" w:rsidRPr="00AA126E">
        <w:rPr>
          <w:rFonts w:ascii="Times New Roman" w:hAnsi="Times New Roman"/>
          <w:b/>
          <w:sz w:val="24"/>
          <w:szCs w:val="24"/>
        </w:rPr>
        <w:t xml:space="preserve"> used for measuring seats-votes disproportionality. </w:t>
      </w:r>
      <w:r w:rsidR="00AA126E" w:rsidRPr="00C53D9D">
        <w:rPr>
          <w:rFonts w:ascii="Times New Roman" w:hAnsi="Times New Roman"/>
          <w:i/>
          <w:sz w:val="24"/>
          <w:szCs w:val="24"/>
        </w:rPr>
        <w:t>Loosemore-Hanby</w:t>
      </w:r>
      <w:r w:rsidR="00AA126E" w:rsidRPr="00C53D9D">
        <w:rPr>
          <w:rFonts w:ascii="Times New Roman" w:hAnsi="Times New Roman"/>
          <w:sz w:val="24"/>
          <w:szCs w:val="24"/>
        </w:rPr>
        <w:t xml:space="preserve"> measures the summed absolute differences between seats and votes, while</w:t>
      </w:r>
      <w:r w:rsidR="00AA126E" w:rsidRPr="00AA126E">
        <w:rPr>
          <w:rFonts w:ascii="Times New Roman" w:hAnsi="Times New Roman"/>
          <w:i/>
          <w:sz w:val="24"/>
          <w:szCs w:val="24"/>
        </w:rPr>
        <w:t xml:space="preserve"> Gallagher’s index</w:t>
      </w:r>
      <w:r w:rsidR="00AA126E" w:rsidRPr="00C53D9D">
        <w:rPr>
          <w:rFonts w:ascii="Times New Roman" w:hAnsi="Times New Roman"/>
          <w:sz w:val="24"/>
          <w:szCs w:val="24"/>
        </w:rPr>
        <w:t>, often referred to as a Least Squares measure, weights each observation by the size of the deviation, i.e., it squares the deviations</w:t>
      </w:r>
      <w:r w:rsidR="00AA126E">
        <w:rPr>
          <w:rFonts w:ascii="Times New Roman" w:hAnsi="Times New Roman"/>
          <w:sz w:val="24"/>
          <w:szCs w:val="24"/>
        </w:rPr>
        <w:t>.</w:t>
      </w:r>
      <w:r w:rsidR="00AA126E" w:rsidRPr="00C53D9D">
        <w:rPr>
          <w:rFonts w:ascii="Times New Roman" w:hAnsi="Times New Roman"/>
          <w:sz w:val="24"/>
          <w:szCs w:val="24"/>
        </w:rPr>
        <w:t xml:space="preserve"> </w:t>
      </w:r>
      <w:r w:rsidR="00AA126E">
        <w:rPr>
          <w:rFonts w:ascii="Times New Roman" w:hAnsi="Times New Roman"/>
          <w:sz w:val="24"/>
          <w:szCs w:val="24"/>
        </w:rPr>
        <w:t xml:space="preserve"> Squaring the deviations</w:t>
      </w:r>
      <w:r w:rsidR="00AA126E" w:rsidRPr="00C53D9D">
        <w:rPr>
          <w:rFonts w:ascii="Times New Roman" w:hAnsi="Times New Roman"/>
          <w:sz w:val="24"/>
          <w:szCs w:val="24"/>
        </w:rPr>
        <w:t xml:space="preserve"> puts more weight on larger deviations, while discounting smaller ones. </w:t>
      </w:r>
      <w:r w:rsidR="00001000">
        <w:rPr>
          <w:rFonts w:ascii="Times New Roman" w:hAnsi="Times New Roman"/>
          <w:sz w:val="24"/>
          <w:szCs w:val="24"/>
        </w:rPr>
        <w:t xml:space="preserve"> The analogues to these two disproportionality indices in the malapportionment context are shown below. </w:t>
      </w:r>
    </w:p>
    <w:p w14:paraId="7D869075" w14:textId="7FD86148" w:rsidR="00760DFD" w:rsidRPr="002E4CE6" w:rsidRDefault="002378A0" w:rsidP="003410AC">
      <w:pPr>
        <w:spacing w:after="0" w:line="360" w:lineRule="auto"/>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Loosmore Hanby</m:t>
              </m:r>
            </m:e>
            <m:sub>
              <m:r>
                <w:rPr>
                  <w:rFonts w:ascii="Cambria Math" w:hAnsi="Cambria Math"/>
                  <w:sz w:val="24"/>
                  <w:szCs w:val="24"/>
                </w:rPr>
                <m:t xml:space="preserve"> </m:t>
              </m:r>
            </m:sub>
          </m:sSub>
          <m:r>
            <w:rPr>
              <w:rFonts w:ascii="Cambria Math" w:hAnsi="Cambria Math"/>
              <w:sz w:val="24"/>
              <w:szCs w:val="24"/>
            </w:rPr>
            <m:t>Index= 1/2</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 xml:space="preserve">p </m:t>
                  </m:r>
                </m:e>
                <m:sub>
                  <m:r>
                    <m:rPr>
                      <m:sty m:val="bi"/>
                    </m:rPr>
                    <w:rPr>
                      <w:rFonts w:ascii="Cambria Math" w:hAnsi="Cambria Math"/>
                      <w:sz w:val="24"/>
                      <w:szCs w:val="24"/>
                    </w:rPr>
                    <m:t>i</m:t>
                  </m:r>
                </m:sub>
              </m:sSub>
              <m:r>
                <m:rPr>
                  <m:sty m:val="b"/>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
                </m:rPr>
                <w:rPr>
                  <w:rFonts w:ascii="Cambria Math" w:hAnsi="Cambria Math"/>
                  <w:sz w:val="24"/>
                  <w:szCs w:val="24"/>
                </w:rPr>
                <m:t xml:space="preserve"> </m:t>
              </m:r>
              <m:r>
                <m:rPr>
                  <m:sty m:val="bi"/>
                </m:rPr>
                <w:rPr>
                  <w:rFonts w:ascii="Cambria Math" w:hAnsi="Cambria Math"/>
                  <w:sz w:val="24"/>
                  <w:szCs w:val="24"/>
                </w:rPr>
                <m:t>│</m:t>
              </m:r>
            </m:e>
          </m:nary>
        </m:oMath>
      </m:oMathPara>
    </w:p>
    <w:p w14:paraId="5127AEF3" w14:textId="77777777" w:rsidR="00760DFD" w:rsidRPr="002E4CE6" w:rsidRDefault="00760DFD" w:rsidP="00760DFD">
      <w:pPr>
        <w:spacing w:after="0" w:line="360" w:lineRule="auto"/>
        <w:rPr>
          <w:rFonts w:ascii="Times New Roman" w:hAnsi="Times New Roman"/>
          <w:sz w:val="24"/>
          <w:szCs w:val="24"/>
        </w:rPr>
      </w:pPr>
    </w:p>
    <w:p w14:paraId="05416B95" w14:textId="787C19CD" w:rsidR="00001000" w:rsidRPr="003410AC" w:rsidRDefault="00760DFD" w:rsidP="003410AC">
      <w:pPr>
        <w:spacing w:after="0" w:line="360" w:lineRule="auto"/>
        <w:ind w:right="630" w:firstLine="720"/>
        <w:jc w:val="center"/>
        <w:rPr>
          <w:rFonts w:ascii="Times New Roman" w:hAnsi="Times New Roman"/>
          <w:sz w:val="24"/>
          <w:szCs w:val="24"/>
        </w:rPr>
      </w:pPr>
      <m:oMath>
        <m:r>
          <w:rPr>
            <w:rFonts w:ascii="Cambria Math" w:hAnsi="Cambria Math"/>
            <w:sz w:val="24"/>
            <w:szCs w:val="24"/>
          </w:rPr>
          <m:t>Gallager Index=</m:t>
        </m:r>
      </m:oMath>
      <w:r w:rsidR="003410AC" w:rsidRPr="003410AC">
        <w:rPr>
          <w:rFonts w:ascii="Times New Roman" w:hAnsi="Times New Roman"/>
          <w:sz w:val="24"/>
          <w:szCs w:val="24"/>
        </w:rPr>
        <w:t xml:space="preserve"> </w:t>
      </w:r>
      <m:oMath>
        <m:rad>
          <m:radPr>
            <m:degHide m:val="1"/>
            <m:ctrlPr>
              <w:rPr>
                <w:rFonts w:ascii="Cambria Math" w:hAnsi="Cambria Math"/>
                <w:i/>
                <w:sz w:val="24"/>
                <w:szCs w:val="24"/>
              </w:rPr>
            </m:ctrlPr>
          </m:radPr>
          <m:deg/>
          <m:e>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 xml:space="preserve">p </m:t>
                    </m:r>
                  </m:e>
                  <m:sub>
                    <m:r>
                      <m:rPr>
                        <m:sty m:val="bi"/>
                      </m:rPr>
                      <w:rPr>
                        <w:rFonts w:ascii="Cambria Math" w:hAnsi="Cambria Math"/>
                        <w:sz w:val="24"/>
                        <w:szCs w:val="24"/>
                      </w:rPr>
                      <m:t>i</m:t>
                    </m:r>
                  </m:sub>
                </m:sSub>
                <m:r>
                  <m:rPr>
                    <m:sty m:val="b"/>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
                  </m:rPr>
                  <w:rPr>
                    <w:rFonts w:ascii="Cambria Math" w:hAnsi="Cambria Math"/>
                    <w:sz w:val="24"/>
                    <w:szCs w:val="24"/>
                  </w:rPr>
                  <m:t xml:space="preserve"> </m:t>
                </m:r>
                <m:r>
                  <m:rPr>
                    <m:sty m:val="bi"/>
                  </m:rPr>
                  <w:rPr>
                    <w:rFonts w:ascii="Cambria Math" w:hAnsi="Cambria Math"/>
                    <w:sz w:val="24"/>
                    <w:szCs w:val="24"/>
                  </w:rPr>
                  <m:t>)</m:t>
                </m:r>
              </m:e>
              <m:sup>
                <m:r>
                  <w:rPr>
                    <w:rFonts w:ascii="Cambria Math" w:hAnsi="Cambria Math"/>
                    <w:sz w:val="24"/>
                    <w:szCs w:val="24"/>
                  </w:rPr>
                  <m:t>2</m:t>
                </m:r>
              </m:sup>
            </m:sSup>
          </m:e>
        </m:rad>
      </m:oMath>
    </w:p>
    <w:p w14:paraId="39742D4E" w14:textId="0663897E" w:rsidR="008F42AD" w:rsidRPr="00AA126E" w:rsidRDefault="008F42AD" w:rsidP="00BA1BEE">
      <w:pPr>
        <w:pStyle w:val="MainBody"/>
        <w:rPr>
          <w:b/>
        </w:rPr>
      </w:pPr>
    </w:p>
    <w:p w14:paraId="6B1FC9D6" w14:textId="3000EAC7" w:rsidR="003D118C" w:rsidRDefault="003D118C" w:rsidP="00BA1BEE">
      <w:pPr>
        <w:pStyle w:val="MainBody"/>
      </w:pPr>
      <w:r>
        <w:t xml:space="preserve">Samuels and Snyder (2001: </w:t>
      </w:r>
      <w:r w:rsidR="008B627F">
        <w:t xml:space="preserve">654) discuss </w:t>
      </w:r>
      <w:r>
        <w:t xml:space="preserve">the reasons they chose to use the </w:t>
      </w:r>
      <w:r w:rsidRPr="008B627F">
        <w:rPr>
          <w:i/>
        </w:rPr>
        <w:t xml:space="preserve">Loosemore-Hanby Index </w:t>
      </w:r>
      <w:r>
        <w:t>to measure malapportionment in the seventy-eight countries whose malapportionment they ex</w:t>
      </w:r>
      <w:r w:rsidR="008B627F">
        <w:t>amine.</w:t>
      </w:r>
    </w:p>
    <w:p w14:paraId="56DC4C74" w14:textId="77777777" w:rsidR="008B627F" w:rsidRDefault="008B627F" w:rsidP="008B627F">
      <w:pPr>
        <w:pStyle w:val="MainBody"/>
      </w:pPr>
    </w:p>
    <w:p w14:paraId="1F7F885D" w14:textId="1FCEBC36" w:rsidR="008B627F" w:rsidRPr="008B627F" w:rsidRDefault="008B627F" w:rsidP="008B627F">
      <w:pPr>
        <w:pStyle w:val="MainBody"/>
        <w:spacing w:line="240" w:lineRule="auto"/>
      </w:pPr>
      <w:r w:rsidRPr="008B627F">
        <w:t>Ratios of largest-to-smallest districts might seem an obvious means for</w:t>
      </w:r>
    </w:p>
    <w:p w14:paraId="7A9F1200" w14:textId="68F4B3FC" w:rsidR="008B627F" w:rsidRPr="008B627F" w:rsidRDefault="008B627F" w:rsidP="008B627F">
      <w:pPr>
        <w:pStyle w:val="MainBody"/>
        <w:spacing w:line="240" w:lineRule="auto"/>
        <w:ind w:firstLine="0"/>
      </w:pPr>
      <w:r>
        <w:t xml:space="preserve">            </w:t>
      </w:r>
      <w:proofErr w:type="gramStart"/>
      <w:r w:rsidRPr="008B627F">
        <w:t>assessing</w:t>
      </w:r>
      <w:proofErr w:type="gramEnd"/>
      <w:r w:rsidRPr="008B627F">
        <w:t xml:space="preserve"> malapportionment. However, such ratios actually prove poor</w:t>
      </w:r>
    </w:p>
    <w:p w14:paraId="43828F5F" w14:textId="77777777" w:rsidR="008B627F" w:rsidRPr="008B627F" w:rsidRDefault="008B627F" w:rsidP="008B627F">
      <w:pPr>
        <w:pStyle w:val="MainBody"/>
        <w:spacing w:line="240" w:lineRule="auto"/>
      </w:pPr>
      <w:proofErr w:type="gramStart"/>
      <w:r w:rsidRPr="008B627F">
        <w:t>indicators</w:t>
      </w:r>
      <w:proofErr w:type="gramEnd"/>
      <w:r w:rsidRPr="008B627F">
        <w:t xml:space="preserve"> of malapportionment. First, district size on the basis of population</w:t>
      </w:r>
    </w:p>
    <w:p w14:paraId="02C315A5" w14:textId="77777777" w:rsidR="008B627F" w:rsidRPr="008B627F" w:rsidRDefault="008B627F" w:rsidP="008B627F">
      <w:pPr>
        <w:pStyle w:val="MainBody"/>
        <w:spacing w:line="240" w:lineRule="auto"/>
      </w:pPr>
      <w:proofErr w:type="gramStart"/>
      <w:r w:rsidRPr="008B627F">
        <w:t>tells</w:t>
      </w:r>
      <w:proofErr w:type="gramEnd"/>
      <w:r w:rsidRPr="008B627F">
        <w:t xml:space="preserve"> us little about the degree to which districts are underrepresented or</w:t>
      </w:r>
    </w:p>
    <w:p w14:paraId="1121FE29" w14:textId="77777777" w:rsidR="008B627F" w:rsidRPr="008B627F" w:rsidRDefault="008B627F" w:rsidP="008B627F">
      <w:pPr>
        <w:pStyle w:val="MainBody"/>
        <w:spacing w:line="240" w:lineRule="auto"/>
      </w:pPr>
      <w:proofErr w:type="gramStart"/>
      <w:r w:rsidRPr="008B627F">
        <w:t>overrepresented</w:t>
      </w:r>
      <w:proofErr w:type="gramEnd"/>
      <w:r w:rsidRPr="008B627F">
        <w:t>: we also need to know how many seats are allocated to each</w:t>
      </w:r>
    </w:p>
    <w:p w14:paraId="60202C9B" w14:textId="77777777" w:rsidR="008B627F" w:rsidRPr="008B627F" w:rsidRDefault="008B627F" w:rsidP="008B627F">
      <w:pPr>
        <w:pStyle w:val="MainBody"/>
        <w:spacing w:line="240" w:lineRule="auto"/>
      </w:pPr>
      <w:proofErr w:type="gramStart"/>
      <w:r w:rsidRPr="008B627F">
        <w:t>district</w:t>
      </w:r>
      <w:proofErr w:type="gramEnd"/>
      <w:r w:rsidRPr="008B627F">
        <w:t>. Furthermore, even if we know how many seats are held by the largest</w:t>
      </w:r>
    </w:p>
    <w:p w14:paraId="4D5C329D" w14:textId="77777777" w:rsidR="008B627F" w:rsidRPr="008B627F" w:rsidRDefault="008B627F" w:rsidP="008B627F">
      <w:pPr>
        <w:pStyle w:val="MainBody"/>
        <w:spacing w:line="240" w:lineRule="auto"/>
      </w:pPr>
      <w:proofErr w:type="gramStart"/>
      <w:r w:rsidRPr="008B627F">
        <w:lastRenderedPageBreak/>
        <w:t>and</w:t>
      </w:r>
      <w:proofErr w:type="gramEnd"/>
      <w:r w:rsidRPr="008B627F">
        <w:t xml:space="preserve"> smallest districts and can therefore calculate ratios of 'worst represented'</w:t>
      </w:r>
    </w:p>
    <w:p w14:paraId="650E97FC" w14:textId="77777777" w:rsidR="008B627F" w:rsidRPr="008B627F" w:rsidRDefault="008B627F" w:rsidP="008B627F">
      <w:pPr>
        <w:pStyle w:val="MainBody"/>
        <w:spacing w:line="240" w:lineRule="auto"/>
      </w:pPr>
      <w:proofErr w:type="gramStart"/>
      <w:r w:rsidRPr="008B627F">
        <w:t>to</w:t>
      </w:r>
      <w:proofErr w:type="gramEnd"/>
      <w:r w:rsidRPr="008B627F">
        <w:t xml:space="preserve"> 'best represented' districts, such ratios tell us little about overall degrees of</w:t>
      </w:r>
    </w:p>
    <w:p w14:paraId="7BE98E69" w14:textId="77777777" w:rsidR="008B627F" w:rsidRPr="008B627F" w:rsidRDefault="008B627F" w:rsidP="008B627F">
      <w:pPr>
        <w:pStyle w:val="MainBody"/>
        <w:spacing w:line="240" w:lineRule="auto"/>
      </w:pPr>
      <w:proofErr w:type="spellStart"/>
      <w:proofErr w:type="gramStart"/>
      <w:r w:rsidRPr="008B627F">
        <w:t>rnalapportionment</w:t>
      </w:r>
      <w:proofErr w:type="spellEnd"/>
      <w:proofErr w:type="gramEnd"/>
      <w:r w:rsidRPr="008B627F">
        <w:t>. For example, even if this ratio is 50:1(e.g., a single-member</w:t>
      </w:r>
    </w:p>
    <w:p w14:paraId="4A09599D" w14:textId="77777777" w:rsidR="008B627F" w:rsidRPr="008B627F" w:rsidRDefault="008B627F" w:rsidP="008B627F">
      <w:pPr>
        <w:pStyle w:val="MainBody"/>
        <w:spacing w:line="240" w:lineRule="auto"/>
      </w:pPr>
      <w:proofErr w:type="gramStart"/>
      <w:r w:rsidRPr="008B627F">
        <w:t>district</w:t>
      </w:r>
      <w:proofErr w:type="gramEnd"/>
      <w:r w:rsidRPr="008B627F">
        <w:t xml:space="preserve"> system in which the largest district has a population fifty times greater</w:t>
      </w:r>
    </w:p>
    <w:p w14:paraId="63BFC575" w14:textId="101BAB31" w:rsidR="008B627F" w:rsidRPr="008B627F" w:rsidRDefault="008B627F" w:rsidP="008B627F">
      <w:pPr>
        <w:pStyle w:val="MainBody"/>
        <w:spacing w:line="240" w:lineRule="auto"/>
      </w:pPr>
      <w:proofErr w:type="gramStart"/>
      <w:r w:rsidRPr="008B627F">
        <w:t>than</w:t>
      </w:r>
      <w:proofErr w:type="gramEnd"/>
      <w:r w:rsidRPr="008B627F">
        <w:t xml:space="preserve"> the smallest district), all other districts may have nearly-equivalent</w:t>
      </w:r>
    </w:p>
    <w:p w14:paraId="4F070925" w14:textId="77777777" w:rsidR="008B627F" w:rsidRPr="008B627F" w:rsidRDefault="008B627F" w:rsidP="008B627F">
      <w:pPr>
        <w:pStyle w:val="MainBody"/>
        <w:spacing w:line="240" w:lineRule="auto"/>
      </w:pPr>
      <w:proofErr w:type="gramStart"/>
      <w:r w:rsidRPr="008B627F">
        <w:t>populations</w:t>
      </w:r>
      <w:proofErr w:type="gramEnd"/>
      <w:r w:rsidRPr="008B627F">
        <w:t>, and, hence, the largest and smallest districts could be extreme</w:t>
      </w:r>
    </w:p>
    <w:p w14:paraId="5BF6C301" w14:textId="77777777" w:rsidR="008B627F" w:rsidRPr="008B627F" w:rsidRDefault="008B627F" w:rsidP="008B627F">
      <w:pPr>
        <w:pStyle w:val="MainBody"/>
        <w:spacing w:line="240" w:lineRule="auto"/>
      </w:pPr>
      <w:proofErr w:type="gramStart"/>
      <w:r w:rsidRPr="008B627F">
        <w:t>outliers</w:t>
      </w:r>
      <w:proofErr w:type="gramEnd"/>
      <w:r w:rsidRPr="008B627F">
        <w:t xml:space="preserve"> in a system with a low degree of average malapportionment. Although</w:t>
      </w:r>
    </w:p>
    <w:p w14:paraId="24A3F327" w14:textId="77777777" w:rsidR="008B627F" w:rsidRPr="008B627F" w:rsidRDefault="008B627F" w:rsidP="008B627F">
      <w:pPr>
        <w:pStyle w:val="MainBody"/>
        <w:spacing w:line="240" w:lineRule="auto"/>
      </w:pPr>
      <w:proofErr w:type="gramStart"/>
      <w:r w:rsidRPr="008B627F">
        <w:t>it</w:t>
      </w:r>
      <w:proofErr w:type="gramEnd"/>
      <w:r w:rsidRPr="008B627F">
        <w:t xml:space="preserve"> may be tempting to interpret wide gaps between the best and worst represented</w:t>
      </w:r>
    </w:p>
    <w:p w14:paraId="40B3E753" w14:textId="77777777" w:rsidR="008B627F" w:rsidRPr="008B627F" w:rsidRDefault="008B627F" w:rsidP="008B627F">
      <w:pPr>
        <w:pStyle w:val="MainBody"/>
        <w:spacing w:line="240" w:lineRule="auto"/>
      </w:pPr>
      <w:proofErr w:type="gramStart"/>
      <w:r w:rsidRPr="008B627F">
        <w:t>districts</w:t>
      </w:r>
      <w:proofErr w:type="gramEnd"/>
      <w:r w:rsidRPr="008B627F">
        <w:t xml:space="preserve"> as signs of high overall levels of inequality in electoral systems, a better</w:t>
      </w:r>
    </w:p>
    <w:p w14:paraId="2A83C731" w14:textId="77777777" w:rsidR="008B627F" w:rsidRDefault="008B627F" w:rsidP="008B627F">
      <w:pPr>
        <w:pStyle w:val="MainBody"/>
        <w:spacing w:line="240" w:lineRule="auto"/>
      </w:pPr>
      <w:proofErr w:type="gramStart"/>
      <w:r>
        <w:t>measure</w:t>
      </w:r>
      <w:proofErr w:type="gramEnd"/>
      <w:r>
        <w:t xml:space="preserve"> is required. </w:t>
      </w:r>
      <w:proofErr w:type="gramStart"/>
      <w:r>
        <w:t>…[</w:t>
      </w:r>
      <w:proofErr w:type="gramEnd"/>
      <w:r>
        <w:t>T]</w:t>
      </w:r>
      <w:r w:rsidRPr="008B627F">
        <w:t>he Loosemore-Hanby index of electoral</w:t>
      </w:r>
      <w:r>
        <w:t xml:space="preserve"> </w:t>
      </w:r>
    </w:p>
    <w:p w14:paraId="40CA67E7" w14:textId="38CE48DD" w:rsidR="008B627F" w:rsidRDefault="008B627F" w:rsidP="008B627F">
      <w:pPr>
        <w:pStyle w:val="MainBody"/>
        <w:spacing w:line="240" w:lineRule="auto"/>
      </w:pPr>
      <w:proofErr w:type="gramStart"/>
      <w:r w:rsidRPr="008B627F">
        <w:t>disproportionality</w:t>
      </w:r>
      <w:proofErr w:type="gramEnd"/>
      <w:r w:rsidRPr="008B627F">
        <w:t xml:space="preserve"> (D) provides such a measure</w:t>
      </w:r>
      <w:r>
        <w:t xml:space="preserve"> (</w:t>
      </w:r>
      <w:r w:rsidRPr="008B627F">
        <w:rPr>
          <w:i/>
        </w:rPr>
        <w:t>internal footnotes omitted</w:t>
      </w:r>
      <w:r>
        <w:t>)</w:t>
      </w:r>
      <w:r w:rsidRPr="008B627F">
        <w:t xml:space="preserve"> .</w:t>
      </w:r>
    </w:p>
    <w:p w14:paraId="3D8EFB39" w14:textId="77777777" w:rsidR="003D118C" w:rsidRDefault="003D118C" w:rsidP="00BA1BEE">
      <w:pPr>
        <w:pStyle w:val="MainBody"/>
      </w:pPr>
    </w:p>
    <w:p w14:paraId="49D86A79" w14:textId="2FF4644C" w:rsidR="00B37D9A" w:rsidRDefault="008B627F" w:rsidP="00B37D9A">
      <w:pPr>
        <w:pStyle w:val="MainBody"/>
        <w:rPr>
          <w:b/>
        </w:rPr>
      </w:pPr>
      <w:r w:rsidRPr="0029244C">
        <w:rPr>
          <w:b/>
        </w:rPr>
        <w:t xml:space="preserve"> </w:t>
      </w:r>
      <w:r w:rsidR="0029244C" w:rsidRPr="0029244C">
        <w:rPr>
          <w:b/>
        </w:rPr>
        <w:t>But the measure</w:t>
      </w:r>
      <w:r w:rsidR="0015173E">
        <w:rPr>
          <w:b/>
        </w:rPr>
        <w:t xml:space="preserve"> of mal</w:t>
      </w:r>
      <w:r w:rsidR="007E31A6">
        <w:rPr>
          <w:b/>
        </w:rPr>
        <w:t>a</w:t>
      </w:r>
      <w:r w:rsidR="0015173E">
        <w:rPr>
          <w:b/>
        </w:rPr>
        <w:t>pportionment</w:t>
      </w:r>
      <w:r w:rsidR="0029244C" w:rsidRPr="0029244C">
        <w:rPr>
          <w:b/>
        </w:rPr>
        <w:t xml:space="preserve"> used by courts and legislatures in virtually all the major democracies</w:t>
      </w:r>
      <w:r w:rsidR="0015173E">
        <w:rPr>
          <w:b/>
        </w:rPr>
        <w:t xml:space="preserve"> worldwide</w:t>
      </w:r>
      <w:r w:rsidR="0029244C" w:rsidRPr="0029244C">
        <w:rPr>
          <w:b/>
        </w:rPr>
        <w:t xml:space="preserve">, the TPD, is exactly the sort of measure of the gap between the most overpopulated and the most underpopulated districts that Samuels and Stewart </w:t>
      </w:r>
      <w:r w:rsidR="0029244C">
        <w:rPr>
          <w:b/>
        </w:rPr>
        <w:t xml:space="preserve">(2001: 654) </w:t>
      </w:r>
      <w:r w:rsidR="0029244C" w:rsidRPr="0029244C">
        <w:rPr>
          <w:b/>
        </w:rPr>
        <w:t xml:space="preserve">warn against. </w:t>
      </w:r>
      <w:r w:rsidR="0029244C">
        <w:rPr>
          <w:b/>
        </w:rPr>
        <w:t xml:space="preserve"> So, a natural question to ask is: “How much does the choice of malapportionment measures chosen affect the conclusions we reach about level of malapportionment?”  </w:t>
      </w:r>
    </w:p>
    <w:p w14:paraId="4DB879EC" w14:textId="4AD016CB" w:rsidR="007E31A6" w:rsidRPr="009E40D3" w:rsidRDefault="0029244C" w:rsidP="00B37D9A">
      <w:pPr>
        <w:pStyle w:val="MainBody"/>
        <w:rPr>
          <w:b/>
          <w:color w:val="FF0000"/>
        </w:rPr>
      </w:pPr>
      <w:r>
        <w:rPr>
          <w:b/>
        </w:rPr>
        <w:t>We will address this question with U.S. data over the period 1790 to 2010 on the U.S. House of Representatives, the U.S. Senate and the U.S. Electoral College.</w:t>
      </w:r>
      <w:r w:rsidR="00B37D9A">
        <w:rPr>
          <w:b/>
        </w:rPr>
        <w:t xml:space="preserve"> </w:t>
      </w:r>
      <w:r w:rsidR="007E31A6">
        <w:rPr>
          <w:b/>
        </w:rPr>
        <w:t>In order to calculate malapportionment in the Electoral College we treat each state as a unit and look at the weighted differences or ratios between actual population and assigned E</w:t>
      </w:r>
      <w:r w:rsidR="009E40D3">
        <w:rPr>
          <w:b/>
        </w:rPr>
        <w:t xml:space="preserve">C seat </w:t>
      </w:r>
      <w:proofErr w:type="gramStart"/>
      <w:r w:rsidR="009E40D3">
        <w:rPr>
          <w:b/>
        </w:rPr>
        <w:t xml:space="preserve">share </w:t>
      </w:r>
      <w:r w:rsidR="007E0DE3">
        <w:rPr>
          <w:b/>
        </w:rPr>
        <w:t>,</w:t>
      </w:r>
      <w:r w:rsidR="009E40D3" w:rsidRPr="009E40D3">
        <w:rPr>
          <w:b/>
          <w:color w:val="FF0000"/>
        </w:rPr>
        <w:t>JONATHAN</w:t>
      </w:r>
      <w:proofErr w:type="gramEnd"/>
      <w:r w:rsidR="009E40D3" w:rsidRPr="009E40D3">
        <w:rPr>
          <w:b/>
          <w:color w:val="FF0000"/>
        </w:rPr>
        <w:t xml:space="preserve"> IS THIS CORRECT, OR DO WE NEED TO EXPAND ON THIS POINT?</w:t>
      </w:r>
    </w:p>
    <w:p w14:paraId="10925F4F" w14:textId="77777777" w:rsidR="007A070E" w:rsidRDefault="00B37D9A" w:rsidP="00B37D9A">
      <w:pPr>
        <w:pStyle w:val="MainBody"/>
      </w:pPr>
      <w:r>
        <w:t xml:space="preserve">The structure of Electoral College seat allocation makes it mathematically guaranteed that EC malapportionment is in between that for the House and that for the Senate.  </w:t>
      </w:r>
      <w:r w:rsidRPr="00B37D9A">
        <w:rPr>
          <w:b/>
        </w:rPr>
        <w:t xml:space="preserve">Under </w:t>
      </w:r>
      <w:r w:rsidR="0015173E">
        <w:rPr>
          <w:b/>
        </w:rPr>
        <w:t xml:space="preserve">the </w:t>
      </w:r>
      <w:r w:rsidR="00975301">
        <w:rPr>
          <w:b/>
        </w:rPr>
        <w:t xml:space="preserve">six </w:t>
      </w:r>
      <w:r w:rsidR="0015173E">
        <w:rPr>
          <w:b/>
        </w:rPr>
        <w:t>metrics identified above,</w:t>
      </w:r>
      <w:r w:rsidRPr="00B37D9A">
        <w:rPr>
          <w:b/>
        </w:rPr>
        <w:t xml:space="preserve"> we show </w:t>
      </w:r>
      <w:r>
        <w:rPr>
          <w:b/>
        </w:rPr>
        <w:t xml:space="preserve">empirically </w:t>
      </w:r>
      <w:r w:rsidRPr="00B37D9A">
        <w:rPr>
          <w:b/>
        </w:rPr>
        <w:t>that, exactly as we would expect, malapportionment is greatest in the Senate, next largest in the Electoral College, and smallest in the House of Representatives.</w:t>
      </w:r>
      <w:r w:rsidR="007E0DE3">
        <w:rPr>
          <w:rStyle w:val="FootnoteReference"/>
          <w:b/>
        </w:rPr>
        <w:footnoteReference w:id="10"/>
      </w:r>
      <w:r w:rsidRPr="00B37D9A">
        <w:rPr>
          <w:b/>
        </w:rPr>
        <w:t xml:space="preserve"> </w:t>
      </w:r>
      <w:r>
        <w:rPr>
          <w:b/>
        </w:rPr>
        <w:t xml:space="preserve">  </w:t>
      </w:r>
      <w:r w:rsidR="0015173E">
        <w:rPr>
          <w:b/>
        </w:rPr>
        <w:t>We show that</w:t>
      </w:r>
      <w:r w:rsidR="0015173E" w:rsidRPr="00B37D9A">
        <w:rPr>
          <w:b/>
        </w:rPr>
        <w:t xml:space="preserve"> </w:t>
      </w:r>
      <w:r w:rsidR="0015173E">
        <w:rPr>
          <w:b/>
        </w:rPr>
        <w:t xml:space="preserve">the differences in level of malapportionment across the three types of elections has varied over the historical time period we review regardless of which measure we use but that there is greater variability under some measures than under others.  </w:t>
      </w:r>
      <w:r>
        <w:rPr>
          <w:b/>
        </w:rPr>
        <w:t xml:space="preserve">However, </w:t>
      </w:r>
      <w:r w:rsidR="0015173E">
        <w:rPr>
          <w:b/>
        </w:rPr>
        <w:t xml:space="preserve">regardless of metric, </w:t>
      </w:r>
      <w:r w:rsidRPr="003B4D19">
        <w:t>apportion</w:t>
      </w:r>
      <w:r w:rsidR="0029244C" w:rsidRPr="003B4D19">
        <w:t>ment equality in the EC</w:t>
      </w:r>
      <w:r>
        <w:t>, judged</w:t>
      </w:r>
      <w:r w:rsidR="0029244C" w:rsidRPr="003B4D19">
        <w:t xml:space="preserve"> at the state level</w:t>
      </w:r>
      <w:r>
        <w:t>,</w:t>
      </w:r>
      <w:r w:rsidR="0029244C" w:rsidRPr="003B4D19">
        <w:t xml:space="preserve"> looks far more like apportionment equality for the U.S. House of Representatives than it looks like apportionment </w:t>
      </w:r>
      <w:r w:rsidR="0029244C" w:rsidRPr="003B4D19">
        <w:rPr>
          <w:u w:val="single"/>
        </w:rPr>
        <w:t>in</w:t>
      </w:r>
      <w:r w:rsidR="0029244C" w:rsidRPr="003B4D19">
        <w:t>equality in the U.S. Senate</w:t>
      </w:r>
      <w:r w:rsidRPr="00B37D9A">
        <w:rPr>
          <w:b/>
        </w:rPr>
        <w:t>.</w:t>
      </w:r>
      <w:r w:rsidR="0029244C" w:rsidRPr="00974F9A">
        <w:t xml:space="preserve"> </w:t>
      </w:r>
    </w:p>
    <w:p w14:paraId="19E3A86D" w14:textId="5A5F11D2" w:rsidR="00B37D9A" w:rsidRDefault="0015173E" w:rsidP="00B37D9A">
      <w:pPr>
        <w:pStyle w:val="MainBody"/>
      </w:pPr>
      <w:r>
        <w:t xml:space="preserve">In this context it is useful to remember that, </w:t>
      </w:r>
      <w:r w:rsidR="00B37D9A">
        <w:t xml:space="preserve">while, today, House districts are almost identical in population to one another within any given state, </w:t>
      </w:r>
      <w:r w:rsidR="00B06CAE">
        <w:t xml:space="preserve">even so, </w:t>
      </w:r>
      <w:r w:rsidR="00B37D9A">
        <w:t xml:space="preserve">the combination of apportionment rounding </w:t>
      </w:r>
      <w:r w:rsidR="00B37D9A">
        <w:lastRenderedPageBreak/>
        <w:t xml:space="preserve">rules </w:t>
      </w:r>
      <w:r w:rsidR="002A27B8">
        <w:t xml:space="preserve">(the so-called </w:t>
      </w:r>
      <w:r w:rsidR="002A27B8" w:rsidRPr="009D1F42">
        <w:rPr>
          <w:i/>
        </w:rPr>
        <w:t xml:space="preserve">integer allocation problem: </w:t>
      </w:r>
      <w:r w:rsidR="002A27B8" w:rsidRPr="009D1F42">
        <w:t>Balinski and Young, 1982</w:t>
      </w:r>
      <w:r w:rsidR="007E0DE3">
        <w:t xml:space="preserve">) </w:t>
      </w:r>
      <w:r w:rsidR="002A27B8" w:rsidRPr="009D1F42">
        <w:t xml:space="preserve"> </w:t>
      </w:r>
      <w:r w:rsidR="00B37D9A">
        <w:t>and the rule that no state can be denied a seat in the House of Representatives regardless of its population, introduces malapportionment into the U.S. House when malapportionment is calculated</w:t>
      </w:r>
      <w:r w:rsidR="00B37D9A" w:rsidRPr="003B4D19">
        <w:t>, nationally and not state by state</w:t>
      </w:r>
      <w:r w:rsidR="002A27B8">
        <w:t xml:space="preserve"> </w:t>
      </w:r>
      <w:r w:rsidR="002A27B8" w:rsidRPr="009D1F42">
        <w:t>(</w:t>
      </w:r>
      <w:proofErr w:type="spellStart"/>
      <w:r w:rsidR="002A27B8" w:rsidRPr="009D1F42">
        <w:t>Ladewig</w:t>
      </w:r>
      <w:proofErr w:type="spellEnd"/>
      <w:r w:rsidR="002A27B8" w:rsidRPr="009D1F42">
        <w:t xml:space="preserve"> and </w:t>
      </w:r>
      <w:proofErr w:type="spellStart"/>
      <w:r w:rsidR="002A27B8" w:rsidRPr="009D1F42">
        <w:t>Jasinski</w:t>
      </w:r>
      <w:proofErr w:type="spellEnd"/>
      <w:r w:rsidR="002A27B8" w:rsidRPr="009D1F42">
        <w:t>, 2008</w:t>
      </w:r>
      <w:r w:rsidR="002A27B8">
        <w:t>)</w:t>
      </w:r>
      <w:r>
        <w:t>.</w:t>
      </w:r>
      <w:r w:rsidRPr="0015173E">
        <w:rPr>
          <w:rStyle w:val="FootnoteReference"/>
        </w:rPr>
        <w:t xml:space="preserve"> </w:t>
      </w:r>
      <w:r>
        <w:rPr>
          <w:rStyle w:val="FootnoteReference"/>
        </w:rPr>
        <w:footnoteReference w:id="11"/>
      </w:r>
      <w:r>
        <w:t xml:space="preserve"> </w:t>
      </w:r>
      <w:r w:rsidR="00B37D9A">
        <w:t xml:space="preserve"> </w:t>
      </w:r>
      <w:r>
        <w:rPr>
          <w:b/>
        </w:rPr>
        <w:t>Moreover,</w:t>
      </w:r>
      <w:r w:rsidR="00B37D9A">
        <w:rPr>
          <w:b/>
        </w:rPr>
        <w:t xml:space="preserve"> and most importantly for purposes of the present research note, </w:t>
      </w:r>
      <w:r w:rsidR="00B06CAE">
        <w:rPr>
          <w:b/>
        </w:rPr>
        <w:t xml:space="preserve">which measure(s) of malapportionment we use will substantially affect our views of the seriousness of the malapportionment problem in these three types of elections, </w:t>
      </w:r>
      <w:r>
        <w:rPr>
          <w:b/>
        </w:rPr>
        <w:t>al</w:t>
      </w:r>
      <w:r w:rsidR="00B06CAE">
        <w:rPr>
          <w:b/>
        </w:rPr>
        <w:t xml:space="preserve">though </w:t>
      </w:r>
      <w:r>
        <w:rPr>
          <w:b/>
        </w:rPr>
        <w:t xml:space="preserve"> we find that </w:t>
      </w:r>
      <w:r w:rsidR="00B06CAE">
        <w:rPr>
          <w:b/>
        </w:rPr>
        <w:t>the Senate will  almost certainly be judged as malapportioned regardless of what measure we use.</w:t>
      </w:r>
    </w:p>
    <w:p w14:paraId="18F41D73" w14:textId="77777777" w:rsidR="0015173E" w:rsidRDefault="0015173E" w:rsidP="00B37D9A">
      <w:pPr>
        <w:pStyle w:val="MainBody"/>
      </w:pPr>
    </w:p>
    <w:p w14:paraId="681A8DFB" w14:textId="35589B59" w:rsidR="0015173E" w:rsidRDefault="00975301" w:rsidP="00B37D9A">
      <w:pPr>
        <w:pStyle w:val="MainBody"/>
      </w:pPr>
      <w:r>
        <w:t>Figure 1</w:t>
      </w:r>
      <w:r w:rsidR="0018350D">
        <w:t xml:space="preserve"> (a-f)</w:t>
      </w:r>
      <w:r>
        <w:t xml:space="preserve"> show the comparisons across the three types of elections for</w:t>
      </w:r>
      <w:r w:rsidR="009E40D3">
        <w:t xml:space="preserve"> each of our six metrics.</w:t>
      </w:r>
    </w:p>
    <w:p w14:paraId="72AA37AB" w14:textId="77777777" w:rsidR="0015173E" w:rsidRDefault="0015173E" w:rsidP="00B37D9A">
      <w:pPr>
        <w:pStyle w:val="MainBody"/>
      </w:pPr>
    </w:p>
    <w:p w14:paraId="58D66F92" w14:textId="7BCEA5EB" w:rsidR="00975301" w:rsidRDefault="00975301" w:rsidP="00975301">
      <w:pPr>
        <w:spacing w:after="0" w:line="360" w:lineRule="auto"/>
        <w:ind w:right="630" w:firstLine="720"/>
        <w:jc w:val="center"/>
        <w:rPr>
          <w:rFonts w:ascii="Times New Roman" w:hAnsi="Times New Roman"/>
          <w:b/>
        </w:rPr>
      </w:pPr>
      <w:r w:rsidRPr="007B4F95">
        <w:rPr>
          <w:rFonts w:ascii="Times New Roman" w:hAnsi="Times New Roman"/>
          <w:sz w:val="24"/>
          <w:szCs w:val="24"/>
        </w:rPr>
        <w:t>&lt;</w:t>
      </w:r>
      <w:proofErr w:type="gramStart"/>
      <w:r w:rsidRPr="007B4F95">
        <w:rPr>
          <w:rFonts w:ascii="Times New Roman" w:hAnsi="Times New Roman"/>
          <w:sz w:val="24"/>
          <w:szCs w:val="24"/>
        </w:rPr>
        <w:t>Figure</w:t>
      </w:r>
      <w:r w:rsidR="0018350D">
        <w:rPr>
          <w:rFonts w:ascii="Times New Roman" w:hAnsi="Times New Roman"/>
          <w:sz w:val="24"/>
          <w:szCs w:val="24"/>
        </w:rPr>
        <w:t xml:space="preserve"> </w:t>
      </w:r>
      <w:r w:rsidRPr="007B4F95">
        <w:rPr>
          <w:rFonts w:ascii="Times New Roman" w:hAnsi="Times New Roman"/>
          <w:sz w:val="24"/>
          <w:szCs w:val="24"/>
        </w:rPr>
        <w:t xml:space="preserve"> 1</w:t>
      </w:r>
      <w:proofErr w:type="gramEnd"/>
      <w:r w:rsidRPr="007B4F95">
        <w:rPr>
          <w:rFonts w:ascii="Times New Roman" w:hAnsi="Times New Roman"/>
          <w:sz w:val="24"/>
          <w:szCs w:val="24"/>
        </w:rPr>
        <w:t xml:space="preserve"> about here&gt;&gt;</w:t>
      </w:r>
      <w:r w:rsidRPr="00C53D9D">
        <w:rPr>
          <w:rFonts w:ascii="Times New Roman" w:hAnsi="Times New Roman"/>
          <w:b/>
        </w:rPr>
        <w:t xml:space="preserve"> </w:t>
      </w:r>
    </w:p>
    <w:p w14:paraId="0521F37B" w14:textId="0BD29C06" w:rsidR="00170A70" w:rsidRPr="00170A70" w:rsidRDefault="00170A70" w:rsidP="00975301">
      <w:pPr>
        <w:spacing w:after="0" w:line="360" w:lineRule="auto"/>
        <w:ind w:right="630" w:firstLine="720"/>
        <w:jc w:val="center"/>
        <w:rPr>
          <w:rFonts w:ascii="Times New Roman" w:hAnsi="Times New Roman"/>
          <w:b/>
          <w:color w:val="FF0000"/>
          <w:sz w:val="32"/>
          <w:szCs w:val="32"/>
        </w:rPr>
      </w:pPr>
      <w:r w:rsidRPr="00170A70">
        <w:rPr>
          <w:rFonts w:ascii="Times New Roman" w:hAnsi="Times New Roman"/>
          <w:b/>
          <w:color w:val="FF0000"/>
          <w:sz w:val="32"/>
          <w:szCs w:val="32"/>
        </w:rPr>
        <w:t xml:space="preserve">JONATHAN PLEASE PUT ALL THESE FIGURES ON A SINGLE PAGE, MAYBE IN </w:t>
      </w:r>
      <w:proofErr w:type="gramStart"/>
      <w:r w:rsidRPr="00170A70">
        <w:rPr>
          <w:rFonts w:ascii="Times New Roman" w:hAnsi="Times New Roman"/>
          <w:b/>
          <w:color w:val="FF0000"/>
          <w:sz w:val="32"/>
          <w:szCs w:val="32"/>
        </w:rPr>
        <w:t>A</w:t>
      </w:r>
      <w:proofErr w:type="gramEnd"/>
      <w:r w:rsidRPr="00170A70">
        <w:rPr>
          <w:rFonts w:ascii="Times New Roman" w:hAnsi="Times New Roman"/>
          <w:b/>
          <w:color w:val="FF0000"/>
          <w:sz w:val="32"/>
          <w:szCs w:val="32"/>
        </w:rPr>
        <w:t xml:space="preserve"> 2 X 2 arrangement</w:t>
      </w:r>
    </w:p>
    <w:p w14:paraId="25C65EF7" w14:textId="77777777" w:rsidR="00975301" w:rsidRDefault="00975301" w:rsidP="00975301">
      <w:pPr>
        <w:spacing w:after="0" w:line="360" w:lineRule="auto"/>
        <w:ind w:right="630" w:firstLine="720"/>
        <w:jc w:val="center"/>
        <w:rPr>
          <w:rFonts w:ascii="Times New Roman" w:hAnsi="Times New Roman"/>
          <w:b/>
        </w:rPr>
      </w:pPr>
    </w:p>
    <w:p w14:paraId="561DC178" w14:textId="354F5451" w:rsidR="009E40D3" w:rsidRPr="00572503" w:rsidRDefault="009E40D3" w:rsidP="009E40D3">
      <w:pPr>
        <w:spacing w:line="360" w:lineRule="auto"/>
        <w:ind w:firstLine="720"/>
        <w:rPr>
          <w:rFonts w:ascii="Times New Roman" w:hAnsi="Times New Roman"/>
          <w:color w:val="FF0000"/>
          <w:sz w:val="24"/>
          <w:szCs w:val="24"/>
        </w:rPr>
      </w:pPr>
      <w:r w:rsidRPr="00C53D9D">
        <w:rPr>
          <w:rFonts w:ascii="Times New Roman" w:hAnsi="Times New Roman"/>
          <w:sz w:val="24"/>
          <w:szCs w:val="24"/>
        </w:rPr>
        <w:t xml:space="preserve">Since </w:t>
      </w:r>
      <w:r>
        <w:rPr>
          <w:rFonts w:ascii="Times New Roman" w:hAnsi="Times New Roman"/>
          <w:sz w:val="24"/>
          <w:szCs w:val="24"/>
        </w:rPr>
        <w:t xml:space="preserve">the first two of our measures </w:t>
      </w:r>
      <w:r w:rsidRPr="00C53D9D">
        <w:rPr>
          <w:rFonts w:ascii="Times New Roman" w:hAnsi="Times New Roman"/>
          <w:sz w:val="24"/>
          <w:szCs w:val="24"/>
        </w:rPr>
        <w:t xml:space="preserve">focus on the same two states, the two EC disproportionality measures </w:t>
      </w:r>
      <w:r>
        <w:rPr>
          <w:rFonts w:ascii="Times New Roman" w:hAnsi="Times New Roman"/>
          <w:sz w:val="24"/>
          <w:szCs w:val="24"/>
        </w:rPr>
        <w:t xml:space="preserve">defined above </w:t>
      </w:r>
      <w:r w:rsidRPr="00C53D9D">
        <w:rPr>
          <w:rFonts w:ascii="Times New Roman" w:hAnsi="Times New Roman"/>
          <w:sz w:val="24"/>
          <w:szCs w:val="24"/>
        </w:rPr>
        <w:t>are quite highly correlated, with a correlation of 0.90.  However, when we compare Figures 1</w:t>
      </w:r>
      <w:r w:rsidR="00170A70">
        <w:rPr>
          <w:rFonts w:ascii="Times New Roman" w:hAnsi="Times New Roman"/>
          <w:sz w:val="24"/>
          <w:szCs w:val="24"/>
        </w:rPr>
        <w:t>a</w:t>
      </w:r>
      <w:r w:rsidRPr="00C53D9D">
        <w:rPr>
          <w:rFonts w:ascii="Times New Roman" w:hAnsi="Times New Roman"/>
          <w:sz w:val="24"/>
          <w:szCs w:val="24"/>
        </w:rPr>
        <w:t xml:space="preserve"> and </w:t>
      </w:r>
      <w:r w:rsidR="00170A70">
        <w:rPr>
          <w:rFonts w:ascii="Times New Roman" w:hAnsi="Times New Roman"/>
          <w:sz w:val="24"/>
          <w:szCs w:val="24"/>
        </w:rPr>
        <w:t>1b</w:t>
      </w:r>
      <w:r w:rsidRPr="00C53D9D">
        <w:rPr>
          <w:rFonts w:ascii="Times New Roman" w:hAnsi="Times New Roman"/>
          <w:sz w:val="24"/>
          <w:szCs w:val="24"/>
        </w:rPr>
        <w:t xml:space="preserve">, EC </w:t>
      </w:r>
      <w:r w:rsidRPr="00C53D9D">
        <w:rPr>
          <w:rFonts w:ascii="Times New Roman" w:hAnsi="Times New Roman"/>
          <w:i/>
          <w:sz w:val="24"/>
          <w:szCs w:val="24"/>
        </w:rPr>
        <w:t xml:space="preserve">Total Population Deviation </w:t>
      </w:r>
      <w:r w:rsidRPr="00C53D9D">
        <w:rPr>
          <w:rFonts w:ascii="Times New Roman" w:hAnsi="Times New Roman"/>
          <w:sz w:val="24"/>
          <w:szCs w:val="24"/>
        </w:rPr>
        <w:t>appears to</w:t>
      </w:r>
      <w:r w:rsidRPr="00C53D9D">
        <w:rPr>
          <w:rFonts w:ascii="Times New Roman" w:hAnsi="Times New Roman"/>
          <w:b/>
          <w:sz w:val="24"/>
          <w:szCs w:val="24"/>
        </w:rPr>
        <w:t xml:space="preserve"> </w:t>
      </w:r>
      <w:r w:rsidRPr="00C53D9D">
        <w:rPr>
          <w:rFonts w:ascii="Times New Roman" w:hAnsi="Times New Roman"/>
          <w:sz w:val="24"/>
          <w:szCs w:val="24"/>
        </w:rPr>
        <w:t>show a more muted effect, because we are directly taking ideal population into account</w:t>
      </w:r>
      <w:r w:rsidRPr="0069079C">
        <w:rPr>
          <w:rFonts w:ascii="Times New Roman" w:hAnsi="Times New Roman"/>
          <w:sz w:val="24"/>
          <w:szCs w:val="24"/>
        </w:rPr>
        <w:t>.  But both Figures 1</w:t>
      </w:r>
      <w:r w:rsidR="007A070E">
        <w:rPr>
          <w:rFonts w:ascii="Times New Roman" w:hAnsi="Times New Roman"/>
          <w:sz w:val="24"/>
          <w:szCs w:val="24"/>
        </w:rPr>
        <w:t>a</w:t>
      </w:r>
      <w:r w:rsidRPr="0069079C">
        <w:rPr>
          <w:rFonts w:ascii="Times New Roman" w:hAnsi="Times New Roman"/>
          <w:sz w:val="24"/>
          <w:szCs w:val="24"/>
        </w:rPr>
        <w:t xml:space="preserve"> and </w:t>
      </w:r>
      <w:r w:rsidR="007A070E">
        <w:rPr>
          <w:rFonts w:ascii="Times New Roman" w:hAnsi="Times New Roman"/>
          <w:sz w:val="24"/>
          <w:szCs w:val="24"/>
        </w:rPr>
        <w:t>1b</w:t>
      </w:r>
      <w:r w:rsidRPr="0069079C">
        <w:rPr>
          <w:rFonts w:ascii="Times New Roman" w:hAnsi="Times New Roman"/>
          <w:sz w:val="24"/>
          <w:szCs w:val="24"/>
        </w:rPr>
        <w:t xml:space="preserve"> reinforce our claim that EC malapportionment is closer to low levels of House malapportionment than it is to the high levels of Senate malapportionment. </w:t>
      </w:r>
      <w:r>
        <w:rPr>
          <w:rFonts w:ascii="Times New Roman" w:hAnsi="Times New Roman"/>
          <w:sz w:val="24"/>
          <w:szCs w:val="24"/>
        </w:rPr>
        <w:t xml:space="preserve">The </w:t>
      </w:r>
      <w:r>
        <w:rPr>
          <w:rFonts w:ascii="Times New Roman" w:hAnsi="Times New Roman"/>
          <w:sz w:val="24"/>
          <w:szCs w:val="24"/>
        </w:rPr>
        <w:lastRenderedPageBreak/>
        <w:t>next four draw on information for all the districts</w:t>
      </w:r>
      <w:r w:rsidR="00170A70">
        <w:rPr>
          <w:rFonts w:ascii="Times New Roman" w:hAnsi="Times New Roman"/>
          <w:sz w:val="24"/>
          <w:szCs w:val="24"/>
        </w:rPr>
        <w:t xml:space="preserve">, </w:t>
      </w:r>
      <w:r w:rsidR="00170A70" w:rsidRPr="00170A70">
        <w:rPr>
          <w:rFonts w:ascii="Times New Roman" w:hAnsi="Times New Roman"/>
          <w:b/>
          <w:sz w:val="24"/>
          <w:szCs w:val="24"/>
        </w:rPr>
        <w:t>and further reinforce the point that EC malapportionment is far closer to that of the House than it is to that of the Senate.</w:t>
      </w:r>
    </w:p>
    <w:p w14:paraId="5559CC4F" w14:textId="77777777" w:rsidR="007E31A6" w:rsidRDefault="007E31A6">
      <w:pPr>
        <w:spacing w:after="0" w:line="240" w:lineRule="auto"/>
        <w:jc w:val="left"/>
        <w:rPr>
          <w:rFonts w:ascii="Times New Roman" w:hAnsi="Times New Roman"/>
          <w:b/>
          <w:sz w:val="24"/>
          <w:szCs w:val="24"/>
        </w:rPr>
      </w:pPr>
      <w:r>
        <w:rPr>
          <w:rFonts w:ascii="Times New Roman" w:hAnsi="Times New Roman"/>
          <w:b/>
          <w:sz w:val="24"/>
          <w:szCs w:val="24"/>
        </w:rPr>
        <w:br w:type="page"/>
      </w:r>
    </w:p>
    <w:p w14:paraId="4635EF30" w14:textId="41C010F9" w:rsidR="00975301" w:rsidRPr="00BE4C38" w:rsidRDefault="00975301" w:rsidP="00975301">
      <w:pPr>
        <w:spacing w:after="0" w:line="360" w:lineRule="auto"/>
        <w:ind w:right="630"/>
        <w:rPr>
          <w:rFonts w:ascii="Times New Roman" w:hAnsi="Times New Roman"/>
          <w:b/>
          <w:noProof/>
          <w:color w:val="FF0000"/>
          <w:sz w:val="24"/>
          <w:szCs w:val="24"/>
        </w:rPr>
      </w:pPr>
      <w:r w:rsidRPr="00C53D9D">
        <w:rPr>
          <w:rFonts w:ascii="Times New Roman" w:hAnsi="Times New Roman"/>
          <w:b/>
          <w:sz w:val="24"/>
          <w:szCs w:val="24"/>
        </w:rPr>
        <w:lastRenderedPageBreak/>
        <w:t xml:space="preserve">Figure </w:t>
      </w:r>
      <w:r w:rsidR="007E31A6">
        <w:rPr>
          <w:rFonts w:ascii="Times New Roman" w:hAnsi="Times New Roman"/>
          <w:b/>
          <w:sz w:val="24"/>
          <w:szCs w:val="24"/>
        </w:rPr>
        <w:t>1</w:t>
      </w:r>
      <w:r w:rsidR="0018350D">
        <w:rPr>
          <w:rFonts w:ascii="Times New Roman" w:hAnsi="Times New Roman"/>
          <w:b/>
          <w:sz w:val="24"/>
          <w:szCs w:val="24"/>
        </w:rPr>
        <w:t>a</w:t>
      </w:r>
      <w:r w:rsidRPr="00C53D9D">
        <w:rPr>
          <w:rFonts w:ascii="Times New Roman" w:hAnsi="Times New Roman"/>
          <w:b/>
          <w:sz w:val="24"/>
          <w:szCs w:val="24"/>
        </w:rPr>
        <w:t>: Total Population Deviation for Electoral College Votes, 1790-2010</w:t>
      </w:r>
      <w:r>
        <w:rPr>
          <w:rFonts w:ascii="Times New Roman" w:hAnsi="Times New Roman"/>
          <w:b/>
          <w:sz w:val="24"/>
          <w:szCs w:val="24"/>
        </w:rPr>
        <w:t>,</w:t>
      </w:r>
      <w:r w:rsidRPr="00731796">
        <w:rPr>
          <w:rFonts w:ascii="Times New Roman" w:hAnsi="Times New Roman"/>
          <w:b/>
          <w:sz w:val="24"/>
          <w:szCs w:val="24"/>
        </w:rPr>
        <w:t xml:space="preserve"> </w:t>
      </w:r>
      <w:r>
        <w:rPr>
          <w:rFonts w:ascii="Times New Roman" w:hAnsi="Times New Roman"/>
          <w:b/>
          <w:sz w:val="24"/>
          <w:szCs w:val="24"/>
        </w:rPr>
        <w:t xml:space="preserve">with Comparisons to the U.S. House and the U.S. Senate </w:t>
      </w:r>
    </w:p>
    <w:p w14:paraId="1E25ECE4" w14:textId="77777777" w:rsidR="00975301" w:rsidRPr="00C53D9D" w:rsidRDefault="00975301" w:rsidP="00975301">
      <w:pPr>
        <w:rPr>
          <w:rFonts w:ascii="Times New Roman" w:hAnsi="Times New Roman"/>
          <w:b/>
          <w:sz w:val="24"/>
          <w:szCs w:val="24"/>
        </w:rPr>
      </w:pPr>
    </w:p>
    <w:p w14:paraId="2FFDA23F" w14:textId="77777777" w:rsidR="00975301" w:rsidRDefault="00975301" w:rsidP="00975301">
      <w:pPr>
        <w:spacing w:after="0" w:line="360" w:lineRule="auto"/>
        <w:jc w:val="center"/>
        <w:rPr>
          <w:rFonts w:ascii="Times New Roman" w:hAnsi="Times New Roman"/>
          <w:b/>
          <w:sz w:val="24"/>
          <w:szCs w:val="24"/>
        </w:rPr>
      </w:pPr>
      <w:r>
        <w:rPr>
          <w:rFonts w:ascii="Times New Roman" w:hAnsi="Times New Roman"/>
          <w:b/>
          <w:noProof/>
          <w:sz w:val="24"/>
          <w:szCs w:val="24"/>
        </w:rPr>
        <w:drawing>
          <wp:inline distT="0" distB="0" distL="0" distR="0" wp14:anchorId="32140A3D" wp14:editId="45D981A7">
            <wp:extent cx="5486400" cy="2743200"/>
            <wp:effectExtent l="0" t="0" r="0" b="0"/>
            <wp:docPr id="5" name="Picture 5" descr="/Users/jcervas/Google Drive/School/UCI/Papers/Malapportionment/Figures/TP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s/jcervas/Google Drive/School/UCI/Papers/Malapportionment/Figures/TPD.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046264D" w14:textId="77777777" w:rsidR="00975301" w:rsidRPr="00477F86" w:rsidRDefault="00975301" w:rsidP="00975301">
      <w:pPr>
        <w:spacing w:after="0" w:line="360" w:lineRule="auto"/>
        <w:ind w:right="630" w:firstLine="720"/>
        <w:jc w:val="center"/>
        <w:rPr>
          <w:rFonts w:ascii="Times New Roman" w:hAnsi="Times New Roman"/>
          <w:b/>
          <w:noProof/>
        </w:rPr>
      </w:pPr>
    </w:p>
    <w:p w14:paraId="0E382288" w14:textId="77777777" w:rsidR="00975301" w:rsidRDefault="00975301" w:rsidP="00975301">
      <w:pPr>
        <w:spacing w:after="0" w:line="360" w:lineRule="auto"/>
        <w:ind w:right="630"/>
        <w:rPr>
          <w:rFonts w:ascii="Times New Roman" w:hAnsi="Times New Roman"/>
          <w:b/>
          <w:sz w:val="24"/>
          <w:szCs w:val="24"/>
        </w:rPr>
      </w:pPr>
    </w:p>
    <w:p w14:paraId="402C67B1" w14:textId="77777777" w:rsidR="007E31A6" w:rsidRDefault="007E31A6">
      <w:pPr>
        <w:spacing w:after="0" w:line="240" w:lineRule="auto"/>
        <w:jc w:val="left"/>
        <w:rPr>
          <w:rFonts w:ascii="Times New Roman" w:hAnsi="Times New Roman"/>
          <w:sz w:val="24"/>
          <w:szCs w:val="24"/>
        </w:rPr>
      </w:pPr>
      <w:r>
        <w:rPr>
          <w:rFonts w:ascii="Times New Roman" w:hAnsi="Times New Roman"/>
          <w:sz w:val="24"/>
          <w:szCs w:val="24"/>
        </w:rPr>
        <w:br w:type="page"/>
      </w:r>
    </w:p>
    <w:p w14:paraId="3E7E4126" w14:textId="04E32E9B" w:rsidR="009E40D3" w:rsidRPr="00936B91" w:rsidRDefault="009E40D3" w:rsidP="009E40D3">
      <w:pPr>
        <w:spacing w:after="0" w:line="360" w:lineRule="auto"/>
        <w:ind w:right="630"/>
        <w:rPr>
          <w:rFonts w:ascii="Times New Roman" w:hAnsi="Times New Roman"/>
          <w:b/>
          <w:noProof/>
          <w:color w:val="FF0000"/>
          <w:sz w:val="24"/>
          <w:szCs w:val="24"/>
          <w:rPrChange w:id="0" w:author="Bernie Grofman" w:date="2017-09-19T14:21:00Z">
            <w:rPr>
              <w:rFonts w:ascii="Times New Roman" w:hAnsi="Times New Roman"/>
              <w:b/>
              <w:noProof/>
              <w:sz w:val="24"/>
              <w:szCs w:val="24"/>
            </w:rPr>
          </w:rPrChange>
        </w:rPr>
      </w:pPr>
      <w:r w:rsidRPr="00C53D9D">
        <w:rPr>
          <w:rFonts w:ascii="Times New Roman" w:hAnsi="Times New Roman"/>
          <w:b/>
          <w:sz w:val="24"/>
          <w:szCs w:val="24"/>
        </w:rPr>
        <w:lastRenderedPageBreak/>
        <w:t>Figure</w:t>
      </w:r>
      <w:r w:rsidR="0018350D">
        <w:rPr>
          <w:rFonts w:ascii="Times New Roman" w:hAnsi="Times New Roman"/>
          <w:b/>
          <w:sz w:val="24"/>
          <w:szCs w:val="24"/>
        </w:rPr>
        <w:t xml:space="preserve"> 1b</w:t>
      </w:r>
      <w:r w:rsidRPr="00C53D9D">
        <w:rPr>
          <w:rFonts w:ascii="Times New Roman" w:hAnsi="Times New Roman"/>
          <w:b/>
          <w:sz w:val="24"/>
          <w:szCs w:val="24"/>
        </w:rPr>
        <w:t xml:space="preserve">: Ratio of the Largest and the Smallest State by EC </w:t>
      </w:r>
      <w:r>
        <w:rPr>
          <w:rFonts w:ascii="Times New Roman" w:hAnsi="Times New Roman"/>
          <w:b/>
          <w:sz w:val="24"/>
          <w:szCs w:val="24"/>
        </w:rPr>
        <w:t>Seat Share</w:t>
      </w:r>
      <w:r w:rsidRPr="00C53D9D">
        <w:rPr>
          <w:rFonts w:ascii="Times New Roman" w:hAnsi="Times New Roman"/>
          <w:b/>
          <w:sz w:val="24"/>
          <w:szCs w:val="24"/>
        </w:rPr>
        <w:t xml:space="preserve"> </w:t>
      </w:r>
      <w:r>
        <w:rPr>
          <w:rFonts w:ascii="Times New Roman" w:hAnsi="Times New Roman"/>
          <w:b/>
          <w:sz w:val="24"/>
          <w:szCs w:val="24"/>
        </w:rPr>
        <w:t>versus State</w:t>
      </w:r>
      <w:r w:rsidRPr="00C53D9D">
        <w:rPr>
          <w:rFonts w:ascii="Times New Roman" w:hAnsi="Times New Roman"/>
          <w:b/>
          <w:sz w:val="24"/>
          <w:szCs w:val="24"/>
        </w:rPr>
        <w:t xml:space="preserve"> Population</w:t>
      </w:r>
      <w:r>
        <w:rPr>
          <w:rFonts w:ascii="Times New Roman" w:hAnsi="Times New Roman"/>
          <w:b/>
          <w:sz w:val="24"/>
          <w:szCs w:val="24"/>
        </w:rPr>
        <w:t xml:space="preserve"> Share</w:t>
      </w:r>
      <w:r w:rsidRPr="00C53D9D">
        <w:rPr>
          <w:rFonts w:ascii="Times New Roman" w:hAnsi="Times New Roman"/>
          <w:b/>
          <w:sz w:val="24"/>
          <w:szCs w:val="24"/>
        </w:rPr>
        <w:t>: 1790-2010</w:t>
      </w:r>
      <w:r>
        <w:rPr>
          <w:rFonts w:ascii="Times New Roman" w:hAnsi="Times New Roman"/>
          <w:b/>
          <w:sz w:val="24"/>
          <w:szCs w:val="24"/>
        </w:rPr>
        <w:t xml:space="preserve">, with Comparisons to the U.S. House and the U.S. Senate </w:t>
      </w:r>
    </w:p>
    <w:p w14:paraId="0D058908" w14:textId="77777777" w:rsidR="007E31A6" w:rsidRDefault="007E31A6" w:rsidP="007E31A6">
      <w:pPr>
        <w:spacing w:after="0" w:line="360" w:lineRule="auto"/>
        <w:ind w:right="630"/>
        <w:rPr>
          <w:rFonts w:ascii="Times New Roman" w:hAnsi="Times New Roman"/>
          <w:b/>
          <w:sz w:val="24"/>
          <w:szCs w:val="24"/>
        </w:rPr>
      </w:pPr>
    </w:p>
    <w:p w14:paraId="2866A996" w14:textId="77777777" w:rsidR="007E31A6" w:rsidRPr="002E4CE6" w:rsidRDefault="007E31A6" w:rsidP="007E31A6">
      <w:pPr>
        <w:spacing w:after="0" w:line="360" w:lineRule="auto"/>
        <w:jc w:val="center"/>
        <w:rPr>
          <w:rFonts w:ascii="Times New Roman" w:hAnsi="Times New Roman"/>
          <w:b/>
          <w:color w:val="4472C4"/>
          <w:sz w:val="24"/>
          <w:szCs w:val="24"/>
        </w:rPr>
      </w:pPr>
      <w:r>
        <w:rPr>
          <w:rFonts w:ascii="Times New Roman" w:hAnsi="Times New Roman"/>
          <w:b/>
          <w:noProof/>
          <w:color w:val="4472C4"/>
          <w:sz w:val="24"/>
          <w:szCs w:val="24"/>
        </w:rPr>
        <w:drawing>
          <wp:inline distT="0" distB="0" distL="0" distR="0" wp14:anchorId="4C7C8971" wp14:editId="60B19FA5">
            <wp:extent cx="5486400" cy="2743200"/>
            <wp:effectExtent l="0" t="0" r="0" b="0"/>
            <wp:docPr id="4" name="Picture 4" descr="/Users/jcervas/Google Drive/School/UCI/Papers/Malapportionment/Figures/MaxMi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s/jcervas/Google Drive/School/UCI/Papers/Malapportionment/Figures/MaxMin.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0584A362" w14:textId="77777777" w:rsidR="007E31A6" w:rsidRDefault="007E31A6" w:rsidP="007E31A6">
      <w:pPr>
        <w:spacing w:after="0" w:line="360" w:lineRule="auto"/>
        <w:ind w:right="630" w:firstLine="720"/>
        <w:jc w:val="center"/>
        <w:rPr>
          <w:rFonts w:ascii="Times New Roman" w:hAnsi="Times New Roman"/>
          <w:b/>
        </w:rPr>
      </w:pPr>
    </w:p>
    <w:p w14:paraId="79758392" w14:textId="77777777" w:rsidR="009E40D3" w:rsidRDefault="009E40D3">
      <w:pPr>
        <w:spacing w:after="0" w:line="240" w:lineRule="auto"/>
        <w:jc w:val="left"/>
        <w:rPr>
          <w:rFonts w:ascii="Times New Roman" w:hAnsi="Times New Roman"/>
          <w:sz w:val="24"/>
          <w:szCs w:val="24"/>
        </w:rPr>
      </w:pPr>
      <w:r>
        <w:rPr>
          <w:rFonts w:ascii="Times New Roman" w:hAnsi="Times New Roman"/>
          <w:sz w:val="24"/>
          <w:szCs w:val="24"/>
        </w:rPr>
        <w:br w:type="page"/>
      </w:r>
    </w:p>
    <w:p w14:paraId="7F14806C" w14:textId="333468F5" w:rsidR="009E40D3" w:rsidRDefault="009E40D3" w:rsidP="009E40D3">
      <w:pPr>
        <w:spacing w:after="0" w:line="360" w:lineRule="auto"/>
        <w:ind w:right="630"/>
        <w:rPr>
          <w:rFonts w:ascii="Times New Roman" w:hAnsi="Times New Roman"/>
          <w:b/>
          <w:sz w:val="24"/>
          <w:szCs w:val="24"/>
        </w:rPr>
      </w:pPr>
      <w:r w:rsidRPr="00C53D9D">
        <w:rPr>
          <w:rFonts w:ascii="Times New Roman" w:hAnsi="Times New Roman"/>
          <w:b/>
          <w:sz w:val="24"/>
          <w:szCs w:val="24"/>
        </w:rPr>
        <w:lastRenderedPageBreak/>
        <w:t xml:space="preserve">Figure </w:t>
      </w:r>
      <w:r w:rsidR="0018350D">
        <w:rPr>
          <w:rFonts w:ascii="Times New Roman" w:hAnsi="Times New Roman"/>
          <w:b/>
          <w:sz w:val="24"/>
          <w:szCs w:val="24"/>
        </w:rPr>
        <w:t>1c</w:t>
      </w:r>
      <w:r w:rsidRPr="00C53D9D">
        <w:rPr>
          <w:rFonts w:ascii="Times New Roman" w:hAnsi="Times New Roman"/>
          <w:b/>
          <w:sz w:val="24"/>
          <w:szCs w:val="24"/>
        </w:rPr>
        <w:t xml:space="preserve">: </w:t>
      </w:r>
      <w:r>
        <w:rPr>
          <w:rFonts w:ascii="Times New Roman" w:hAnsi="Times New Roman"/>
          <w:b/>
          <w:sz w:val="24"/>
          <w:szCs w:val="24"/>
        </w:rPr>
        <w:t xml:space="preserve">Average Malapportionment </w:t>
      </w:r>
      <w:proofErr w:type="gramStart"/>
      <w:r>
        <w:rPr>
          <w:rFonts w:ascii="Times New Roman" w:hAnsi="Times New Roman"/>
          <w:b/>
          <w:sz w:val="24"/>
          <w:szCs w:val="24"/>
        </w:rPr>
        <w:t xml:space="preserve">of </w:t>
      </w:r>
      <w:r w:rsidRPr="00C53D9D">
        <w:rPr>
          <w:rFonts w:ascii="Times New Roman" w:hAnsi="Times New Roman"/>
          <w:b/>
          <w:sz w:val="24"/>
          <w:szCs w:val="24"/>
        </w:rPr>
        <w:t xml:space="preserve"> EC</w:t>
      </w:r>
      <w:proofErr w:type="gramEnd"/>
      <w:r w:rsidRPr="00C53D9D">
        <w:rPr>
          <w:rFonts w:ascii="Times New Roman" w:hAnsi="Times New Roman"/>
          <w:b/>
          <w:sz w:val="24"/>
          <w:szCs w:val="24"/>
        </w:rPr>
        <w:t xml:space="preserve"> </w:t>
      </w:r>
      <w:r>
        <w:rPr>
          <w:rFonts w:ascii="Times New Roman" w:hAnsi="Times New Roman"/>
          <w:b/>
          <w:sz w:val="24"/>
          <w:szCs w:val="24"/>
        </w:rPr>
        <w:t>Seat Share</w:t>
      </w:r>
      <w:r w:rsidRPr="00C53D9D">
        <w:rPr>
          <w:rFonts w:ascii="Times New Roman" w:hAnsi="Times New Roman"/>
          <w:b/>
          <w:sz w:val="24"/>
          <w:szCs w:val="24"/>
        </w:rPr>
        <w:t xml:space="preserve"> </w:t>
      </w:r>
      <w:r>
        <w:rPr>
          <w:rFonts w:ascii="Times New Roman" w:hAnsi="Times New Roman"/>
          <w:b/>
          <w:sz w:val="24"/>
          <w:szCs w:val="24"/>
        </w:rPr>
        <w:t>versus State</w:t>
      </w:r>
      <w:r w:rsidRPr="00C53D9D">
        <w:rPr>
          <w:rFonts w:ascii="Times New Roman" w:hAnsi="Times New Roman"/>
          <w:b/>
          <w:sz w:val="24"/>
          <w:szCs w:val="24"/>
        </w:rPr>
        <w:t xml:space="preserve"> Population</w:t>
      </w:r>
      <w:r>
        <w:rPr>
          <w:rFonts w:ascii="Times New Roman" w:hAnsi="Times New Roman"/>
          <w:b/>
          <w:sz w:val="24"/>
          <w:szCs w:val="24"/>
        </w:rPr>
        <w:t xml:space="preserve"> Share</w:t>
      </w:r>
      <w:r w:rsidRPr="00C53D9D">
        <w:rPr>
          <w:rFonts w:ascii="Times New Roman" w:hAnsi="Times New Roman"/>
          <w:b/>
          <w:sz w:val="24"/>
          <w:szCs w:val="24"/>
        </w:rPr>
        <w:t>: 1790-2010</w:t>
      </w:r>
      <w:r>
        <w:rPr>
          <w:rFonts w:ascii="Times New Roman" w:hAnsi="Times New Roman"/>
          <w:b/>
          <w:sz w:val="24"/>
          <w:szCs w:val="24"/>
        </w:rPr>
        <w:t xml:space="preserve">, with Comparisons to the U.S. House and the U.S. Senate </w:t>
      </w:r>
    </w:p>
    <w:p w14:paraId="07B1BD61" w14:textId="77777777" w:rsidR="009E40D3" w:rsidRDefault="009E40D3" w:rsidP="009E40D3">
      <w:pPr>
        <w:spacing w:after="0" w:line="360" w:lineRule="auto"/>
        <w:ind w:right="630"/>
        <w:rPr>
          <w:rFonts w:ascii="Times New Roman" w:hAnsi="Times New Roman"/>
          <w:b/>
          <w:sz w:val="24"/>
          <w:szCs w:val="24"/>
        </w:rPr>
      </w:pPr>
    </w:p>
    <w:p w14:paraId="48BADD06" w14:textId="52D3D8CF" w:rsidR="009E40D3" w:rsidRPr="009E40D3" w:rsidRDefault="009E40D3" w:rsidP="009E40D3">
      <w:pPr>
        <w:spacing w:after="0" w:line="360" w:lineRule="auto"/>
        <w:ind w:right="630"/>
        <w:rPr>
          <w:rFonts w:ascii="Times New Roman" w:hAnsi="Times New Roman"/>
          <w:b/>
          <w:color w:val="FF0000"/>
          <w:sz w:val="40"/>
          <w:szCs w:val="40"/>
        </w:rPr>
      </w:pPr>
      <w:r w:rsidRPr="009E40D3">
        <w:rPr>
          <w:rFonts w:ascii="Times New Roman" w:hAnsi="Times New Roman"/>
          <w:b/>
          <w:color w:val="FF0000"/>
          <w:sz w:val="40"/>
          <w:szCs w:val="40"/>
        </w:rPr>
        <w:t xml:space="preserve">JONATHAN </w:t>
      </w:r>
      <w:r>
        <w:rPr>
          <w:rFonts w:ascii="Times New Roman" w:hAnsi="Times New Roman"/>
          <w:b/>
          <w:color w:val="FF0000"/>
          <w:sz w:val="40"/>
          <w:szCs w:val="40"/>
        </w:rPr>
        <w:t>PLEASE</w:t>
      </w:r>
      <w:r w:rsidRPr="009E40D3">
        <w:rPr>
          <w:rFonts w:ascii="Times New Roman" w:hAnsi="Times New Roman"/>
          <w:b/>
          <w:color w:val="FF0000"/>
          <w:sz w:val="40"/>
          <w:szCs w:val="40"/>
        </w:rPr>
        <w:t xml:space="preserve"> CREATE</w:t>
      </w:r>
    </w:p>
    <w:p w14:paraId="508FB9B3" w14:textId="77777777" w:rsidR="009E40D3" w:rsidRPr="00936B91" w:rsidRDefault="009E40D3" w:rsidP="009E40D3">
      <w:pPr>
        <w:spacing w:after="0" w:line="360" w:lineRule="auto"/>
        <w:ind w:right="630"/>
        <w:rPr>
          <w:rFonts w:ascii="Times New Roman" w:hAnsi="Times New Roman"/>
          <w:b/>
          <w:noProof/>
          <w:color w:val="FF0000"/>
          <w:sz w:val="24"/>
          <w:szCs w:val="24"/>
          <w:rPrChange w:id="1" w:author="Bernie Grofman" w:date="2017-09-19T14:21:00Z">
            <w:rPr>
              <w:rFonts w:ascii="Times New Roman" w:hAnsi="Times New Roman"/>
              <w:b/>
              <w:noProof/>
              <w:sz w:val="24"/>
              <w:szCs w:val="24"/>
            </w:rPr>
          </w:rPrChange>
        </w:rPr>
      </w:pPr>
    </w:p>
    <w:p w14:paraId="4369A6D5" w14:textId="77777777" w:rsidR="009E40D3" w:rsidRDefault="009E40D3">
      <w:pPr>
        <w:spacing w:after="0" w:line="240" w:lineRule="auto"/>
        <w:jc w:val="left"/>
        <w:rPr>
          <w:rFonts w:ascii="Times New Roman" w:hAnsi="Times New Roman"/>
          <w:sz w:val="24"/>
          <w:szCs w:val="24"/>
        </w:rPr>
      </w:pPr>
      <w:r>
        <w:rPr>
          <w:rFonts w:ascii="Times New Roman" w:hAnsi="Times New Roman"/>
          <w:sz w:val="24"/>
          <w:szCs w:val="24"/>
        </w:rPr>
        <w:br w:type="page"/>
      </w:r>
    </w:p>
    <w:p w14:paraId="07269BC7" w14:textId="77777777" w:rsidR="0015173E" w:rsidRDefault="0015173E" w:rsidP="00B37D9A">
      <w:pPr>
        <w:pStyle w:val="MainBody"/>
      </w:pPr>
    </w:p>
    <w:p w14:paraId="4643A89D" w14:textId="4B3B50FD" w:rsidR="0018350D" w:rsidRDefault="0018350D" w:rsidP="00B37D9A">
      <w:pPr>
        <w:pStyle w:val="MainBody"/>
        <w:rPr>
          <w:b/>
        </w:rPr>
      </w:pPr>
      <w:r w:rsidRPr="00C53D9D">
        <w:rPr>
          <w:b/>
        </w:rPr>
        <w:t xml:space="preserve">Figure </w:t>
      </w:r>
      <w:r>
        <w:rPr>
          <w:b/>
        </w:rPr>
        <w:t>1d</w:t>
      </w:r>
      <w:r w:rsidRPr="00C53D9D">
        <w:rPr>
          <w:b/>
        </w:rPr>
        <w:t>: Minimum Proportion of the Population Need to Secure Electoral College Majority</w:t>
      </w:r>
      <w:r>
        <w:rPr>
          <w:b/>
        </w:rPr>
        <w:t>, with Comparisons to the U.S. House and the U.S. Senate</w:t>
      </w:r>
    </w:p>
    <w:p w14:paraId="17046512" w14:textId="77777777" w:rsidR="0018350D" w:rsidRDefault="0018350D" w:rsidP="00B37D9A">
      <w:pPr>
        <w:pStyle w:val="MainBody"/>
        <w:rPr>
          <w:b/>
        </w:rPr>
      </w:pPr>
    </w:p>
    <w:p w14:paraId="1EA60F3A" w14:textId="7243F059" w:rsidR="0018350D" w:rsidRPr="0018350D" w:rsidRDefault="0018350D" w:rsidP="00B37D9A">
      <w:pPr>
        <w:pStyle w:val="MainBody"/>
        <w:rPr>
          <w:b/>
          <w:color w:val="FF0000"/>
        </w:rPr>
      </w:pPr>
      <w:r w:rsidRPr="0018350D">
        <w:rPr>
          <w:b/>
          <w:color w:val="FF0000"/>
        </w:rPr>
        <w:t xml:space="preserve">JONATHAN THIS NEEDS TO BE IN THE </w:t>
      </w:r>
      <w:r w:rsidR="00170A70">
        <w:rPr>
          <w:b/>
          <w:color w:val="FF0000"/>
        </w:rPr>
        <w:t xml:space="preserve">EXACT </w:t>
      </w:r>
      <w:r w:rsidRPr="0018350D">
        <w:rPr>
          <w:b/>
          <w:color w:val="FF0000"/>
        </w:rPr>
        <w:t>SAME FORMAT AS THE PREVIOUS THREE TABLES, I.E., WITH PARALLEL DATA FOR THE HOUSE AND THE SENATE</w:t>
      </w:r>
      <w:r>
        <w:rPr>
          <w:b/>
          <w:color w:val="FF0000"/>
        </w:rPr>
        <w:t>. ALSO</w:t>
      </w:r>
      <w:r w:rsidRPr="0018350D">
        <w:rPr>
          <w:b/>
          <w:color w:val="FF0000"/>
        </w:rPr>
        <w:t xml:space="preserve"> IN THE NEXT VERSION PLEASE ONLY USE THE DARK LINE AND PROVIDE A FOOTNOTE TO EXPLAIN THE COMPLEXITIES.  </w:t>
      </w:r>
      <w:r>
        <w:rPr>
          <w:b/>
          <w:color w:val="FF0000"/>
        </w:rPr>
        <w:t xml:space="preserve"> </w:t>
      </w:r>
      <w:r w:rsidRPr="0018350D">
        <w:rPr>
          <w:b/>
          <w:color w:val="FF0000"/>
        </w:rPr>
        <w:t xml:space="preserve"> </w:t>
      </w:r>
    </w:p>
    <w:p w14:paraId="348E3D9E" w14:textId="77777777" w:rsidR="0018350D" w:rsidRDefault="0018350D" w:rsidP="00B37D9A">
      <w:pPr>
        <w:pStyle w:val="MainBody"/>
      </w:pPr>
    </w:p>
    <w:p w14:paraId="2CA87251" w14:textId="2A72EDB2" w:rsidR="0018350D" w:rsidRDefault="0018350D" w:rsidP="00B37D9A">
      <w:pPr>
        <w:pStyle w:val="MainBody"/>
      </w:pPr>
      <w:r w:rsidRPr="00C53D9D">
        <w:rPr>
          <w:b/>
          <w:noProof/>
        </w:rPr>
        <w:drawing>
          <wp:inline distT="0" distB="0" distL="0" distR="0" wp14:anchorId="16159145" wp14:editId="5472C21B">
            <wp:extent cx="5486400" cy="2743200"/>
            <wp:effectExtent l="0" t="0" r="0" b="0"/>
            <wp:docPr id="2" name="Picture 2" descr="../Dropbox/EC%20Grofman%20Cervas/minEC.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EC%20Grofman%20Cervas/minEC.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5365AC0" w14:textId="77777777" w:rsidR="0018350D" w:rsidRDefault="0018350D" w:rsidP="00B37D9A">
      <w:pPr>
        <w:pStyle w:val="MainBody"/>
      </w:pPr>
    </w:p>
    <w:p w14:paraId="5795C186" w14:textId="2CDE7A98" w:rsidR="0018350D" w:rsidRPr="00572503" w:rsidRDefault="0018350D" w:rsidP="0018350D">
      <w:pPr>
        <w:spacing w:line="240" w:lineRule="auto"/>
        <w:rPr>
          <w:rFonts w:ascii="Times New Roman" w:hAnsi="Times New Roman"/>
          <w:b/>
          <w:color w:val="0070C0"/>
        </w:rPr>
      </w:pPr>
      <w:r>
        <w:rPr>
          <w:rFonts w:ascii="Times New Roman" w:hAnsi="Times New Roman"/>
          <w:color w:val="000000" w:themeColor="text1"/>
        </w:rPr>
        <w:t xml:space="preserve"> </w:t>
      </w:r>
    </w:p>
    <w:p w14:paraId="214462F9" w14:textId="77777777" w:rsidR="0018350D" w:rsidRDefault="0018350D" w:rsidP="00B37D9A">
      <w:pPr>
        <w:pStyle w:val="MainBody"/>
      </w:pPr>
    </w:p>
    <w:p w14:paraId="6F32D01F" w14:textId="77777777" w:rsidR="0015173E" w:rsidRDefault="0015173E" w:rsidP="00B37D9A">
      <w:pPr>
        <w:pStyle w:val="MainBody"/>
      </w:pPr>
    </w:p>
    <w:p w14:paraId="0B672343" w14:textId="77777777" w:rsidR="0015173E" w:rsidRDefault="0015173E" w:rsidP="00B37D9A">
      <w:pPr>
        <w:pStyle w:val="MainBody"/>
      </w:pPr>
    </w:p>
    <w:p w14:paraId="20223663" w14:textId="77777777" w:rsidR="0015173E" w:rsidRDefault="0015173E" w:rsidP="00B37D9A">
      <w:pPr>
        <w:pStyle w:val="MainBody"/>
      </w:pPr>
    </w:p>
    <w:p w14:paraId="5B8D3DEB" w14:textId="77777777" w:rsidR="0015173E" w:rsidRDefault="0015173E" w:rsidP="00B37D9A">
      <w:pPr>
        <w:pStyle w:val="MainBody"/>
      </w:pPr>
    </w:p>
    <w:p w14:paraId="548D44ED" w14:textId="77777777" w:rsidR="0015173E" w:rsidRDefault="0015173E" w:rsidP="00B37D9A">
      <w:pPr>
        <w:pStyle w:val="MainBody"/>
      </w:pPr>
    </w:p>
    <w:p w14:paraId="4A9A08CC" w14:textId="77777777" w:rsidR="0015173E" w:rsidRDefault="0015173E" w:rsidP="00B37D9A">
      <w:pPr>
        <w:pStyle w:val="MainBody"/>
      </w:pPr>
    </w:p>
    <w:p w14:paraId="125045A4" w14:textId="77777777" w:rsidR="0015173E" w:rsidRDefault="0015173E" w:rsidP="00B37D9A">
      <w:pPr>
        <w:pStyle w:val="MainBody"/>
      </w:pPr>
    </w:p>
    <w:p w14:paraId="2C8C5BA7" w14:textId="77777777" w:rsidR="0015173E" w:rsidRDefault="0015173E" w:rsidP="00B37D9A">
      <w:pPr>
        <w:pStyle w:val="MainBody"/>
      </w:pPr>
    </w:p>
    <w:p w14:paraId="1FA4DC8D" w14:textId="77777777" w:rsidR="0015173E" w:rsidRDefault="0015173E" w:rsidP="00B37D9A">
      <w:pPr>
        <w:pStyle w:val="MainBody"/>
      </w:pPr>
    </w:p>
    <w:p w14:paraId="12ADE09F" w14:textId="77777777" w:rsidR="0015173E" w:rsidRDefault="0015173E" w:rsidP="00B37D9A">
      <w:pPr>
        <w:pStyle w:val="MainBody"/>
      </w:pPr>
    </w:p>
    <w:p w14:paraId="12881D71" w14:textId="77777777" w:rsidR="0018350D" w:rsidRDefault="0018350D" w:rsidP="0018350D">
      <w:pPr>
        <w:pStyle w:val="MainBody"/>
        <w:rPr>
          <w:b/>
        </w:rPr>
      </w:pPr>
      <w:r w:rsidRPr="00C53D9D">
        <w:rPr>
          <w:b/>
        </w:rPr>
        <w:lastRenderedPageBreak/>
        <w:t xml:space="preserve">Figure </w:t>
      </w:r>
      <w:r>
        <w:rPr>
          <w:b/>
        </w:rPr>
        <w:t>1e</w:t>
      </w:r>
      <w:r w:rsidRPr="00C53D9D">
        <w:rPr>
          <w:b/>
        </w:rPr>
        <w:t>: Loosemore-Hanby Ind</w:t>
      </w:r>
      <w:r>
        <w:rPr>
          <w:b/>
        </w:rPr>
        <w:t>ex for the Electoral College, with Comparisons to the U.S. House and the U.S. Senate</w:t>
      </w:r>
    </w:p>
    <w:p w14:paraId="6E7864B9" w14:textId="77777777" w:rsidR="0018350D" w:rsidRDefault="0018350D" w:rsidP="0018350D">
      <w:pPr>
        <w:pStyle w:val="MainBody"/>
        <w:rPr>
          <w:b/>
        </w:rPr>
      </w:pPr>
    </w:p>
    <w:p w14:paraId="1BBD0F96" w14:textId="1155A735" w:rsidR="0018350D" w:rsidRDefault="0018350D" w:rsidP="0018350D">
      <w:pPr>
        <w:pStyle w:val="MainBody"/>
        <w:rPr>
          <w:b/>
        </w:rPr>
      </w:pPr>
      <w:r w:rsidRPr="0018350D">
        <w:rPr>
          <w:b/>
          <w:color w:val="FF0000"/>
        </w:rPr>
        <w:t xml:space="preserve">JONATHAN THIS NEEDS TO BE IN THE </w:t>
      </w:r>
      <w:r w:rsidR="00170A70">
        <w:rPr>
          <w:b/>
          <w:color w:val="FF0000"/>
        </w:rPr>
        <w:t xml:space="preserve">EXACT </w:t>
      </w:r>
      <w:r w:rsidRPr="0018350D">
        <w:rPr>
          <w:b/>
          <w:color w:val="FF0000"/>
        </w:rPr>
        <w:t>SAME FORMAT AS THE PREVIOUS THREE TABLES, I.E., WITH PARALLEL DATA FOR THE HOUSE AND THE SENATE</w:t>
      </w:r>
      <w:r>
        <w:rPr>
          <w:b/>
          <w:color w:val="FF0000"/>
        </w:rPr>
        <w:t xml:space="preserve">. </w:t>
      </w:r>
      <w:r w:rsidR="00170A70">
        <w:rPr>
          <w:b/>
          <w:color w:val="FF0000"/>
        </w:rPr>
        <w:t xml:space="preserve"> </w:t>
      </w:r>
    </w:p>
    <w:p w14:paraId="397381CD" w14:textId="74FC5DD8" w:rsidR="0018350D" w:rsidRPr="00C53D9D" w:rsidRDefault="0018350D" w:rsidP="0018350D">
      <w:pPr>
        <w:spacing w:after="0" w:line="360" w:lineRule="auto"/>
        <w:rPr>
          <w:rFonts w:ascii="Times New Roman" w:hAnsi="Times New Roman"/>
          <w:b/>
          <w:sz w:val="24"/>
          <w:szCs w:val="24"/>
        </w:rPr>
      </w:pPr>
      <w:r>
        <w:rPr>
          <w:rFonts w:ascii="Times New Roman" w:hAnsi="Times New Roman"/>
          <w:b/>
          <w:sz w:val="24"/>
          <w:szCs w:val="24"/>
        </w:rPr>
        <w:t xml:space="preserve"> </w:t>
      </w:r>
    </w:p>
    <w:p w14:paraId="1F476A4B" w14:textId="77777777" w:rsidR="0018350D" w:rsidRPr="00C53D9D" w:rsidRDefault="0018350D" w:rsidP="0018350D">
      <w:pPr>
        <w:spacing w:after="0" w:line="360" w:lineRule="auto"/>
        <w:jc w:val="center"/>
        <w:rPr>
          <w:rFonts w:ascii="Times New Roman" w:hAnsi="Times New Roman"/>
          <w:b/>
          <w:sz w:val="24"/>
          <w:szCs w:val="24"/>
        </w:rPr>
      </w:pPr>
      <w:r>
        <w:rPr>
          <w:rFonts w:ascii="Times New Roman" w:hAnsi="Times New Roman"/>
          <w:b/>
          <w:noProof/>
          <w:sz w:val="24"/>
          <w:szCs w:val="24"/>
        </w:rPr>
        <w:drawing>
          <wp:inline distT="0" distB="0" distL="0" distR="0" wp14:anchorId="625B4C03" wp14:editId="637FEA93">
            <wp:extent cx="5486400" cy="2743200"/>
            <wp:effectExtent l="0" t="0" r="0" b="0"/>
            <wp:docPr id="12" name="Picture 12" descr="/Users/jcervas/Dropbox/EC Grofman Cervas/difLOOS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jcervas/Dropbox/EC Grofman Cervas/difLOOSE.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D55A3A3" w14:textId="77777777" w:rsidR="0018350D" w:rsidRDefault="0018350D" w:rsidP="00B37D9A">
      <w:pPr>
        <w:pStyle w:val="MainBody"/>
      </w:pPr>
    </w:p>
    <w:p w14:paraId="0D3E35D8" w14:textId="77777777" w:rsidR="0015173E" w:rsidRDefault="0015173E" w:rsidP="00B37D9A">
      <w:pPr>
        <w:pStyle w:val="MainBody"/>
      </w:pPr>
    </w:p>
    <w:p w14:paraId="26A44D7A" w14:textId="77777777" w:rsidR="0015173E" w:rsidRDefault="0015173E" w:rsidP="00B37D9A">
      <w:pPr>
        <w:pStyle w:val="MainBody"/>
      </w:pPr>
    </w:p>
    <w:p w14:paraId="083D0908" w14:textId="77777777" w:rsidR="0015173E" w:rsidRDefault="0015173E" w:rsidP="00B37D9A">
      <w:pPr>
        <w:pStyle w:val="MainBody"/>
      </w:pPr>
    </w:p>
    <w:p w14:paraId="289024DD" w14:textId="77777777" w:rsidR="0015173E" w:rsidRDefault="0015173E" w:rsidP="00B37D9A">
      <w:pPr>
        <w:pStyle w:val="MainBody"/>
      </w:pPr>
    </w:p>
    <w:p w14:paraId="3CE30B86" w14:textId="04A8973E" w:rsidR="0018350D" w:rsidRDefault="0018350D">
      <w:pPr>
        <w:spacing w:after="0" w:line="240" w:lineRule="auto"/>
        <w:jc w:val="left"/>
        <w:rPr>
          <w:rFonts w:ascii="Times New Roman" w:hAnsi="Times New Roman"/>
          <w:sz w:val="24"/>
          <w:szCs w:val="24"/>
        </w:rPr>
      </w:pPr>
      <w:r>
        <w:br w:type="page"/>
      </w:r>
    </w:p>
    <w:p w14:paraId="274A9E73" w14:textId="47956BAC" w:rsidR="0018350D" w:rsidRDefault="0018350D" w:rsidP="0018350D">
      <w:pPr>
        <w:pStyle w:val="MainBody"/>
        <w:rPr>
          <w:b/>
        </w:rPr>
      </w:pPr>
      <w:r w:rsidRPr="00C53D9D">
        <w:rPr>
          <w:b/>
        </w:rPr>
        <w:lastRenderedPageBreak/>
        <w:t xml:space="preserve">Figure </w:t>
      </w:r>
      <w:r>
        <w:rPr>
          <w:b/>
        </w:rPr>
        <w:t>1f</w:t>
      </w:r>
      <w:r w:rsidRPr="00C53D9D">
        <w:rPr>
          <w:b/>
        </w:rPr>
        <w:t xml:space="preserve">: </w:t>
      </w:r>
      <w:r>
        <w:rPr>
          <w:b/>
        </w:rPr>
        <w:t>Gallagher</w:t>
      </w:r>
      <w:r w:rsidRPr="00C53D9D">
        <w:rPr>
          <w:b/>
        </w:rPr>
        <w:t xml:space="preserve"> Ind</w:t>
      </w:r>
      <w:r>
        <w:rPr>
          <w:b/>
        </w:rPr>
        <w:t>ex for the Electoral College, with Comparisons to the U.S. House and the U.S. Senate</w:t>
      </w:r>
    </w:p>
    <w:p w14:paraId="52BED1A8" w14:textId="304A7F78" w:rsidR="0015173E" w:rsidRDefault="0018350D" w:rsidP="00B37D9A">
      <w:pPr>
        <w:pStyle w:val="MainBody"/>
      </w:pPr>
      <w:r w:rsidRPr="0018350D">
        <w:rPr>
          <w:b/>
          <w:color w:val="FF0000"/>
        </w:rPr>
        <w:t>JONATHAN THIS NEEDS TO BE IN THE SAME FORMAT AS THE PREVIOUS THREE TABLES, I.E., WITH PARALLEL DATA FOR THE HOUSE AND THE SENATE</w:t>
      </w:r>
      <w:r>
        <w:rPr>
          <w:b/>
          <w:color w:val="FF0000"/>
        </w:rPr>
        <w:t xml:space="preserve">. </w:t>
      </w:r>
      <w:r w:rsidR="00170A70">
        <w:rPr>
          <w:b/>
          <w:color w:val="FF0000"/>
        </w:rPr>
        <w:t xml:space="preserve"> </w:t>
      </w:r>
    </w:p>
    <w:p w14:paraId="6D3DFA54" w14:textId="77777777" w:rsidR="0015173E" w:rsidRDefault="0015173E" w:rsidP="00B37D9A">
      <w:pPr>
        <w:pStyle w:val="MainBody"/>
      </w:pPr>
    </w:p>
    <w:p w14:paraId="0E8E39D2" w14:textId="21509E6B" w:rsidR="0015173E" w:rsidRDefault="0018350D" w:rsidP="00B37D9A">
      <w:pPr>
        <w:pStyle w:val="MainBody"/>
      </w:pPr>
      <w:r>
        <w:rPr>
          <w:b/>
          <w:noProof/>
        </w:rPr>
        <w:drawing>
          <wp:inline distT="0" distB="0" distL="0" distR="0" wp14:anchorId="2CDA2246" wp14:editId="4761A222">
            <wp:extent cx="5486400" cy="2743200"/>
            <wp:effectExtent l="0" t="0" r="0" b="0"/>
            <wp:docPr id="13" name="Picture 13" descr="/Users/jcervas/Dropbox/EC Grofman Cervas/difGALLAGH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jcervas/Dropbox/EC Grofman Cervas/difGALLAGHER.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3688676" w14:textId="77777777" w:rsidR="00170A70" w:rsidRDefault="00170A70" w:rsidP="00B37D9A">
      <w:pPr>
        <w:pStyle w:val="MainBody"/>
      </w:pPr>
    </w:p>
    <w:p w14:paraId="4BFB27B8" w14:textId="77777777" w:rsidR="00170A70" w:rsidRDefault="00170A70" w:rsidP="00B37D9A">
      <w:pPr>
        <w:pStyle w:val="MainBody"/>
      </w:pPr>
    </w:p>
    <w:p w14:paraId="26453FF9" w14:textId="77777777" w:rsidR="002A27B8" w:rsidRDefault="002A27B8" w:rsidP="00B37D9A">
      <w:pPr>
        <w:pStyle w:val="MainBody"/>
      </w:pPr>
    </w:p>
    <w:p w14:paraId="49B40787" w14:textId="77777777" w:rsidR="002A27B8" w:rsidRDefault="002A27B8" w:rsidP="00B37D9A">
      <w:pPr>
        <w:pStyle w:val="MainBody"/>
      </w:pPr>
    </w:p>
    <w:p w14:paraId="1A91983E" w14:textId="77777777" w:rsidR="002A27B8" w:rsidRDefault="002A27B8" w:rsidP="00B37D9A">
      <w:pPr>
        <w:pStyle w:val="MainBody"/>
      </w:pPr>
    </w:p>
    <w:p w14:paraId="5E8A3FF7" w14:textId="77777777" w:rsidR="002A27B8" w:rsidRDefault="002A27B8" w:rsidP="00B37D9A">
      <w:pPr>
        <w:pStyle w:val="MainBody"/>
      </w:pPr>
    </w:p>
    <w:p w14:paraId="78C4BE78" w14:textId="77777777" w:rsidR="002A27B8" w:rsidRDefault="002A27B8" w:rsidP="00B37D9A">
      <w:pPr>
        <w:pStyle w:val="MainBody"/>
      </w:pPr>
    </w:p>
    <w:p w14:paraId="2ECBF655" w14:textId="77777777" w:rsidR="002A27B8" w:rsidRDefault="002A27B8" w:rsidP="00B37D9A">
      <w:pPr>
        <w:pStyle w:val="MainBody"/>
      </w:pPr>
    </w:p>
    <w:p w14:paraId="61B5F4B7" w14:textId="77777777" w:rsidR="002A27B8" w:rsidRDefault="002A27B8" w:rsidP="00B37D9A">
      <w:pPr>
        <w:pStyle w:val="MainBody"/>
      </w:pPr>
    </w:p>
    <w:p w14:paraId="1C7A0885" w14:textId="77777777" w:rsidR="002A27B8" w:rsidRDefault="002A27B8" w:rsidP="00B37D9A">
      <w:pPr>
        <w:pStyle w:val="MainBody"/>
      </w:pPr>
    </w:p>
    <w:p w14:paraId="10A58959" w14:textId="77777777" w:rsidR="002A27B8" w:rsidRDefault="002A27B8" w:rsidP="00B37D9A">
      <w:pPr>
        <w:pStyle w:val="MainBody"/>
      </w:pPr>
    </w:p>
    <w:p w14:paraId="3992C332" w14:textId="77777777" w:rsidR="002A27B8" w:rsidRDefault="002A27B8" w:rsidP="00B37D9A">
      <w:pPr>
        <w:pStyle w:val="MainBody"/>
      </w:pPr>
    </w:p>
    <w:p w14:paraId="4E5720EB" w14:textId="77777777" w:rsidR="002A27B8" w:rsidRDefault="002A27B8" w:rsidP="00B37D9A">
      <w:pPr>
        <w:pStyle w:val="MainBody"/>
      </w:pPr>
    </w:p>
    <w:p w14:paraId="7F96A358" w14:textId="77777777" w:rsidR="002A27B8" w:rsidRDefault="002A27B8" w:rsidP="00B37D9A">
      <w:pPr>
        <w:pStyle w:val="MainBody"/>
      </w:pPr>
    </w:p>
    <w:p w14:paraId="51056E37" w14:textId="77777777" w:rsidR="002A27B8" w:rsidRDefault="002A27B8" w:rsidP="00B37D9A">
      <w:pPr>
        <w:pStyle w:val="MainBody"/>
      </w:pPr>
    </w:p>
    <w:p w14:paraId="40CA795E" w14:textId="77777777" w:rsidR="002A27B8" w:rsidRDefault="002A27B8" w:rsidP="002A27B8">
      <w:pPr>
        <w:spacing w:after="0" w:line="360" w:lineRule="auto"/>
        <w:jc w:val="left"/>
        <w:rPr>
          <w:rFonts w:ascii="Times New Roman" w:hAnsi="Times New Roman"/>
          <w:sz w:val="24"/>
          <w:szCs w:val="24"/>
        </w:rPr>
      </w:pPr>
      <w:r>
        <w:rPr>
          <w:rStyle w:val="FootnoteReference"/>
          <w:rFonts w:ascii="Times New Roman" w:hAnsi="Times New Roman"/>
          <w:sz w:val="24"/>
          <w:szCs w:val="24"/>
        </w:rPr>
        <w:t xml:space="preserve"> </w:t>
      </w:r>
    </w:p>
    <w:p w14:paraId="1222EDD9" w14:textId="77777777" w:rsidR="002A27B8" w:rsidRDefault="002A27B8" w:rsidP="002A27B8">
      <w:pPr>
        <w:spacing w:after="0" w:line="360" w:lineRule="auto"/>
        <w:jc w:val="left"/>
        <w:rPr>
          <w:rFonts w:ascii="Times New Roman" w:hAnsi="Times New Roman"/>
          <w:sz w:val="24"/>
          <w:szCs w:val="24"/>
        </w:rPr>
      </w:pPr>
    </w:p>
    <w:p w14:paraId="47F13DBA" w14:textId="77777777" w:rsidR="00BB24AD" w:rsidRDefault="007E0DE3" w:rsidP="007A070E">
      <w:pPr>
        <w:pStyle w:val="FootnoteText"/>
        <w:spacing w:line="360" w:lineRule="auto"/>
        <w:ind w:firstLine="720"/>
        <w:rPr>
          <w:rFonts w:ascii="Times New Roman" w:hAnsi="Times New Roman"/>
          <w:b/>
          <w:sz w:val="24"/>
          <w:szCs w:val="24"/>
        </w:rPr>
      </w:pPr>
      <w:r w:rsidRPr="00C26F4A">
        <w:rPr>
          <w:rFonts w:ascii="Times New Roman" w:hAnsi="Times New Roman"/>
          <w:b/>
          <w:sz w:val="24"/>
          <w:szCs w:val="24"/>
        </w:rPr>
        <w:lastRenderedPageBreak/>
        <w:t>When we compare across all six of our metrics we find that m</w:t>
      </w:r>
      <w:r w:rsidR="002A27B8" w:rsidRPr="00C26F4A">
        <w:rPr>
          <w:rFonts w:ascii="Times New Roman" w:hAnsi="Times New Roman"/>
          <w:b/>
          <w:sz w:val="24"/>
          <w:szCs w:val="24"/>
        </w:rPr>
        <w:t>easures that focus on the best and worst cases  (the first two measures) show considerably higher malapportionment  effects than  measures or the average popula</w:t>
      </w:r>
      <w:r w:rsidR="007A070E">
        <w:rPr>
          <w:rFonts w:ascii="Times New Roman" w:hAnsi="Times New Roman"/>
          <w:b/>
          <w:sz w:val="24"/>
          <w:szCs w:val="24"/>
        </w:rPr>
        <w:t xml:space="preserve">tion deviation from ideal, or  </w:t>
      </w:r>
      <w:r w:rsidR="002A27B8" w:rsidRPr="00C26F4A">
        <w:rPr>
          <w:rFonts w:ascii="Times New Roman" w:hAnsi="Times New Roman"/>
          <w:b/>
          <w:sz w:val="24"/>
          <w:szCs w:val="24"/>
        </w:rPr>
        <w:t xml:space="preserve">the minimum proportion needed to control a majority of seats, or measures adapted from seats-votes disproportionality measures, such as the </w:t>
      </w:r>
      <w:r w:rsidR="002A27B8" w:rsidRPr="00C26F4A">
        <w:rPr>
          <w:rFonts w:ascii="Times New Roman" w:hAnsi="Times New Roman"/>
          <w:b/>
          <w:i/>
          <w:sz w:val="24"/>
          <w:szCs w:val="24"/>
        </w:rPr>
        <w:t>Loosemore-Hanby Index</w:t>
      </w:r>
      <w:r w:rsidRPr="00C26F4A">
        <w:rPr>
          <w:rFonts w:ascii="Times New Roman" w:hAnsi="Times New Roman"/>
          <w:b/>
          <w:sz w:val="24"/>
          <w:szCs w:val="24"/>
        </w:rPr>
        <w:t>,</w:t>
      </w:r>
      <w:r w:rsidR="002A27B8" w:rsidRPr="00C26F4A">
        <w:rPr>
          <w:rFonts w:ascii="Times New Roman" w:hAnsi="Times New Roman"/>
          <w:b/>
          <w:sz w:val="24"/>
          <w:szCs w:val="24"/>
        </w:rPr>
        <w:t xml:space="preserve"> </w:t>
      </w:r>
      <w:r w:rsidRPr="00C26F4A">
        <w:rPr>
          <w:rFonts w:ascii="Times New Roman" w:hAnsi="Times New Roman"/>
          <w:b/>
          <w:sz w:val="24"/>
          <w:szCs w:val="24"/>
        </w:rPr>
        <w:t xml:space="preserve">the absolute deviations  from ideal summed over all districts, </w:t>
      </w:r>
      <w:r w:rsidR="002A27B8" w:rsidRPr="00C26F4A">
        <w:rPr>
          <w:rFonts w:ascii="Times New Roman" w:hAnsi="Times New Roman"/>
          <w:b/>
          <w:sz w:val="24"/>
          <w:szCs w:val="24"/>
        </w:rPr>
        <w:t xml:space="preserve">or the </w:t>
      </w:r>
      <w:r w:rsidR="002A27B8" w:rsidRPr="00C26F4A">
        <w:rPr>
          <w:rFonts w:ascii="Times New Roman" w:hAnsi="Times New Roman"/>
          <w:b/>
          <w:i/>
          <w:sz w:val="24"/>
          <w:szCs w:val="24"/>
        </w:rPr>
        <w:t>Gallagher Index</w:t>
      </w:r>
      <w:r w:rsidR="002A27B8" w:rsidRPr="00C26F4A">
        <w:rPr>
          <w:rFonts w:ascii="Times New Roman" w:hAnsi="Times New Roman"/>
          <w:b/>
          <w:sz w:val="24"/>
          <w:szCs w:val="24"/>
        </w:rPr>
        <w:t xml:space="preserve">. </w:t>
      </w:r>
      <w:r w:rsidR="0078462F" w:rsidRPr="00C26F4A">
        <w:rPr>
          <w:rFonts w:ascii="Times New Roman" w:hAnsi="Times New Roman"/>
          <w:b/>
          <w:sz w:val="24"/>
          <w:szCs w:val="24"/>
        </w:rPr>
        <w:t xml:space="preserve"> </w:t>
      </w:r>
      <w:r w:rsidR="00C26F4A">
        <w:rPr>
          <w:rFonts w:ascii="Times New Roman" w:hAnsi="Times New Roman"/>
          <w:b/>
          <w:sz w:val="24"/>
          <w:szCs w:val="24"/>
        </w:rPr>
        <w:t>Moreover,</w:t>
      </w:r>
      <w:r w:rsidR="00C26F4A" w:rsidRPr="00C26F4A">
        <w:rPr>
          <w:rFonts w:ascii="Times New Roman" w:hAnsi="Times New Roman"/>
          <w:b/>
          <w:sz w:val="24"/>
          <w:szCs w:val="24"/>
        </w:rPr>
        <w:t xml:space="preserve"> </w:t>
      </w:r>
      <w:r w:rsidR="002A27B8" w:rsidRPr="00C26F4A">
        <w:rPr>
          <w:rFonts w:ascii="Times New Roman" w:hAnsi="Times New Roman"/>
          <w:b/>
          <w:sz w:val="24"/>
          <w:szCs w:val="24"/>
        </w:rPr>
        <w:t xml:space="preserve">all but </w:t>
      </w:r>
      <w:r w:rsidR="002A27B8" w:rsidRPr="00C26F4A">
        <w:rPr>
          <w:rFonts w:ascii="Times New Roman" w:hAnsi="Times New Roman"/>
          <w:b/>
          <w:color w:val="FF0000"/>
          <w:sz w:val="24"/>
          <w:szCs w:val="24"/>
        </w:rPr>
        <w:t>JONATHAN FILL IN</w:t>
      </w:r>
      <w:r w:rsidRPr="00C26F4A">
        <w:rPr>
          <w:rFonts w:ascii="Times New Roman" w:hAnsi="Times New Roman"/>
          <w:b/>
          <w:color w:val="FF0000"/>
          <w:sz w:val="24"/>
          <w:szCs w:val="24"/>
        </w:rPr>
        <w:t xml:space="preserve"> WHEN YOU HAVE ALL THE CHARTS COMPLETED.</w:t>
      </w:r>
      <w:r w:rsidR="002A27B8" w:rsidRPr="00C26F4A">
        <w:rPr>
          <w:rFonts w:ascii="Times New Roman" w:hAnsi="Times New Roman"/>
          <w:b/>
          <w:sz w:val="24"/>
          <w:szCs w:val="24"/>
        </w:rPr>
        <w:t xml:space="preserve">  </w:t>
      </w:r>
      <w:proofErr w:type="gramStart"/>
      <w:r w:rsidR="002A27B8" w:rsidRPr="00C26F4A">
        <w:rPr>
          <w:rFonts w:ascii="Times New Roman" w:hAnsi="Times New Roman"/>
          <w:b/>
          <w:sz w:val="24"/>
          <w:szCs w:val="24"/>
        </w:rPr>
        <w:t>of</w:t>
      </w:r>
      <w:proofErr w:type="gramEnd"/>
      <w:r w:rsidR="002A27B8" w:rsidRPr="00C26F4A">
        <w:rPr>
          <w:rFonts w:ascii="Times New Roman" w:hAnsi="Times New Roman"/>
          <w:b/>
          <w:sz w:val="24"/>
          <w:szCs w:val="24"/>
        </w:rPr>
        <w:t xml:space="preserve"> the measures suggest that malapportionment has been falling over the course of U.S. history in </w:t>
      </w:r>
      <w:r w:rsidR="00C26F4A">
        <w:rPr>
          <w:rFonts w:ascii="Times New Roman" w:hAnsi="Times New Roman"/>
          <w:b/>
          <w:sz w:val="24"/>
          <w:szCs w:val="24"/>
        </w:rPr>
        <w:t xml:space="preserve">the </w:t>
      </w:r>
      <w:r w:rsidR="002A27B8" w:rsidRPr="00C26F4A">
        <w:rPr>
          <w:rFonts w:ascii="Times New Roman" w:hAnsi="Times New Roman"/>
          <w:b/>
          <w:sz w:val="24"/>
          <w:szCs w:val="24"/>
        </w:rPr>
        <w:t xml:space="preserve">House, </w:t>
      </w:r>
      <w:r w:rsidR="00C26F4A">
        <w:rPr>
          <w:rFonts w:ascii="Times New Roman" w:hAnsi="Times New Roman"/>
          <w:b/>
          <w:sz w:val="24"/>
          <w:szCs w:val="24"/>
        </w:rPr>
        <w:t xml:space="preserve">the </w:t>
      </w:r>
      <w:r w:rsidR="002A27B8" w:rsidRPr="00C26F4A">
        <w:rPr>
          <w:rFonts w:ascii="Times New Roman" w:hAnsi="Times New Roman"/>
          <w:b/>
          <w:sz w:val="24"/>
          <w:szCs w:val="24"/>
        </w:rPr>
        <w:t>Senate and</w:t>
      </w:r>
      <w:r w:rsidR="00C26F4A">
        <w:rPr>
          <w:rFonts w:ascii="Times New Roman" w:hAnsi="Times New Roman"/>
          <w:b/>
          <w:sz w:val="24"/>
          <w:szCs w:val="24"/>
        </w:rPr>
        <w:t xml:space="preserve"> the </w:t>
      </w:r>
      <w:r w:rsidR="002A27B8" w:rsidRPr="00C26F4A">
        <w:rPr>
          <w:rFonts w:ascii="Times New Roman" w:hAnsi="Times New Roman"/>
          <w:b/>
          <w:sz w:val="24"/>
          <w:szCs w:val="24"/>
        </w:rPr>
        <w:t xml:space="preserve"> Electoral College, and has been remarkably flat the past several decades.   </w:t>
      </w:r>
      <w:r w:rsidR="002A27B8" w:rsidRPr="00C26F4A">
        <w:rPr>
          <w:rFonts w:ascii="Times New Roman" w:hAnsi="Times New Roman"/>
          <w:b/>
          <w:color w:val="FF0000"/>
          <w:sz w:val="24"/>
          <w:szCs w:val="24"/>
        </w:rPr>
        <w:t>JONATHAN REVISIT THIS SENTENCE WHEN YOU HAVE ALL THE CHARTS COMPLETED.</w:t>
      </w:r>
      <w:r w:rsidR="00C26F4A" w:rsidRPr="00C26F4A">
        <w:rPr>
          <w:rFonts w:ascii="Times New Roman" w:hAnsi="Times New Roman"/>
          <w:b/>
          <w:sz w:val="24"/>
          <w:szCs w:val="24"/>
        </w:rPr>
        <w:t xml:space="preserve"> </w:t>
      </w:r>
    </w:p>
    <w:p w14:paraId="54BDBC41" w14:textId="36D3150C" w:rsidR="00C26F4A" w:rsidRPr="00C26F4A" w:rsidRDefault="00C26F4A" w:rsidP="007A070E">
      <w:pPr>
        <w:pStyle w:val="FootnoteText"/>
        <w:spacing w:line="360" w:lineRule="auto"/>
        <w:ind w:firstLine="720"/>
        <w:rPr>
          <w:rFonts w:ascii="Times New Roman" w:hAnsi="Times New Roman"/>
          <w:sz w:val="24"/>
          <w:szCs w:val="24"/>
        </w:rPr>
      </w:pPr>
      <w:r w:rsidRPr="00C26F4A">
        <w:rPr>
          <w:rFonts w:ascii="Times New Roman" w:hAnsi="Times New Roman"/>
          <w:b/>
          <w:sz w:val="24"/>
          <w:szCs w:val="24"/>
        </w:rPr>
        <w:t xml:space="preserve">Indeed, if we compare the current values we get for those measures to their equivalents in the seats vote disproportionality context, the U.S. </w:t>
      </w:r>
      <w:r>
        <w:rPr>
          <w:rFonts w:ascii="Times New Roman" w:hAnsi="Times New Roman"/>
          <w:b/>
          <w:sz w:val="24"/>
          <w:szCs w:val="24"/>
        </w:rPr>
        <w:t>H</w:t>
      </w:r>
      <w:r w:rsidRPr="00C26F4A">
        <w:rPr>
          <w:rFonts w:ascii="Times New Roman" w:hAnsi="Times New Roman"/>
          <w:b/>
          <w:sz w:val="24"/>
          <w:szCs w:val="24"/>
        </w:rPr>
        <w:t xml:space="preserve">ouse and even the </w:t>
      </w:r>
      <w:r w:rsidR="00C46DEA">
        <w:rPr>
          <w:rFonts w:ascii="Times New Roman" w:hAnsi="Times New Roman"/>
          <w:b/>
          <w:sz w:val="24"/>
          <w:szCs w:val="24"/>
        </w:rPr>
        <w:t xml:space="preserve">U.S. Electoral College exhibit </w:t>
      </w:r>
      <w:r w:rsidRPr="00C26F4A">
        <w:rPr>
          <w:rFonts w:ascii="Times New Roman" w:hAnsi="Times New Roman"/>
          <w:b/>
          <w:sz w:val="24"/>
          <w:szCs w:val="24"/>
        </w:rPr>
        <w:t>low levels of disproportionality. In</w:t>
      </w:r>
      <w:r w:rsidR="00BB24AD">
        <w:rPr>
          <w:rFonts w:ascii="Times New Roman" w:hAnsi="Times New Roman"/>
          <w:b/>
          <w:sz w:val="24"/>
          <w:szCs w:val="24"/>
        </w:rPr>
        <w:t xml:space="preserve"> fact</w:t>
      </w:r>
      <w:r w:rsidRPr="00C26F4A">
        <w:rPr>
          <w:rFonts w:ascii="Times New Roman" w:hAnsi="Times New Roman"/>
          <w:b/>
          <w:sz w:val="24"/>
          <w:szCs w:val="24"/>
        </w:rPr>
        <w:t>, the numbers shown in Figures 1e and 1f</w:t>
      </w:r>
      <w:r w:rsidR="00BB24AD">
        <w:rPr>
          <w:rFonts w:ascii="Times New Roman" w:hAnsi="Times New Roman"/>
          <w:b/>
          <w:sz w:val="24"/>
          <w:szCs w:val="24"/>
        </w:rPr>
        <w:t xml:space="preserve"> for the Gallagher index</w:t>
      </w:r>
      <w:r w:rsidRPr="00C26F4A">
        <w:rPr>
          <w:rFonts w:ascii="Times New Roman" w:hAnsi="Times New Roman"/>
          <w:b/>
          <w:sz w:val="24"/>
          <w:szCs w:val="24"/>
        </w:rPr>
        <w:t>, while not</w:t>
      </w:r>
      <w:r w:rsidRPr="00C26F4A">
        <w:rPr>
          <w:rFonts w:ascii="Times New Roman" w:hAnsi="Times New Roman"/>
          <w:b/>
          <w:color w:val="4472C4"/>
          <w:sz w:val="24"/>
          <w:szCs w:val="24"/>
        </w:rPr>
        <w:t xml:space="preserve"> </w:t>
      </w:r>
      <w:r w:rsidRPr="00C26F4A">
        <w:rPr>
          <w:rFonts w:ascii="Times New Roman" w:hAnsi="Times New Roman"/>
          <w:b/>
          <w:sz w:val="24"/>
          <w:szCs w:val="24"/>
        </w:rPr>
        <w:t>as small as the party-based disproportionalities reported for the most highly proportional electoral rules in use world-wide, those of Netherlands</w:t>
      </w:r>
      <w:r w:rsidRPr="00C26F4A">
        <w:rPr>
          <w:rStyle w:val="FootnoteReference"/>
          <w:rFonts w:ascii="Times New Roman" w:hAnsi="Times New Roman"/>
          <w:b/>
          <w:sz w:val="24"/>
          <w:szCs w:val="24"/>
        </w:rPr>
        <w:footnoteReference w:id="12"/>
      </w:r>
      <w:r w:rsidRPr="00C26F4A">
        <w:rPr>
          <w:rFonts w:ascii="Times New Roman" w:hAnsi="Times New Roman"/>
          <w:b/>
          <w:sz w:val="24"/>
          <w:szCs w:val="24"/>
        </w:rPr>
        <w:t xml:space="preserve"> and Israel</w:t>
      </w:r>
      <w:r w:rsidRPr="00C26F4A">
        <w:rPr>
          <w:rStyle w:val="FootnoteReference"/>
          <w:rFonts w:ascii="Times New Roman" w:hAnsi="Times New Roman"/>
          <w:b/>
          <w:sz w:val="24"/>
          <w:szCs w:val="24"/>
        </w:rPr>
        <w:footnoteReference w:id="13"/>
      </w:r>
      <w:proofErr w:type="gramStart"/>
      <w:r w:rsidRPr="00C26F4A">
        <w:rPr>
          <w:rFonts w:ascii="Times New Roman" w:hAnsi="Times New Roman"/>
          <w:b/>
          <w:sz w:val="24"/>
          <w:szCs w:val="24"/>
        </w:rPr>
        <w:t xml:space="preserve">, </w:t>
      </w:r>
      <w:r w:rsidR="00BB24AD">
        <w:rPr>
          <w:rFonts w:ascii="Times New Roman" w:hAnsi="Times New Roman"/>
          <w:b/>
          <w:sz w:val="24"/>
          <w:szCs w:val="24"/>
        </w:rPr>
        <w:t xml:space="preserve"> </w:t>
      </w:r>
      <w:r w:rsidRPr="00C26F4A">
        <w:rPr>
          <w:rFonts w:ascii="Times New Roman" w:hAnsi="Times New Roman"/>
          <w:b/>
          <w:sz w:val="24"/>
          <w:szCs w:val="24"/>
        </w:rPr>
        <w:t>are</w:t>
      </w:r>
      <w:proofErr w:type="gramEnd"/>
      <w:r w:rsidRPr="00C26F4A">
        <w:rPr>
          <w:rFonts w:ascii="Times New Roman" w:hAnsi="Times New Roman"/>
          <w:b/>
          <w:sz w:val="24"/>
          <w:szCs w:val="24"/>
        </w:rPr>
        <w:t xml:space="preserve"> comparable to the partisan disproportionalities in other western European democracies.</w:t>
      </w:r>
      <w:r w:rsidRPr="00C26F4A">
        <w:rPr>
          <w:rStyle w:val="FootnoteReference"/>
          <w:rFonts w:ascii="Times New Roman" w:hAnsi="Times New Roman"/>
          <w:sz w:val="24"/>
          <w:szCs w:val="24"/>
        </w:rPr>
        <w:t xml:space="preserve"> </w:t>
      </w:r>
      <w:r w:rsidRPr="00C26F4A">
        <w:rPr>
          <w:rFonts w:ascii="Times New Roman" w:hAnsi="Times New Roman"/>
          <w:sz w:val="24"/>
          <w:szCs w:val="24"/>
        </w:rPr>
        <w:t xml:space="preserve">For example, tabulating data from </w:t>
      </w:r>
      <w:proofErr w:type="spellStart"/>
      <w:r w:rsidRPr="00C26F4A">
        <w:rPr>
          <w:rFonts w:ascii="Times New Roman" w:hAnsi="Times New Roman"/>
          <w:sz w:val="24"/>
          <w:szCs w:val="24"/>
        </w:rPr>
        <w:t>Doring</w:t>
      </w:r>
      <w:proofErr w:type="spellEnd"/>
      <w:r w:rsidRPr="00C26F4A">
        <w:rPr>
          <w:rFonts w:ascii="Times New Roman" w:hAnsi="Times New Roman"/>
          <w:sz w:val="24"/>
          <w:szCs w:val="24"/>
        </w:rPr>
        <w:t xml:space="preserve"> and </w:t>
      </w:r>
      <w:proofErr w:type="spellStart"/>
      <w:r w:rsidRPr="00C26F4A">
        <w:rPr>
          <w:rFonts w:ascii="Times New Roman" w:hAnsi="Times New Roman"/>
          <w:sz w:val="24"/>
          <w:szCs w:val="24"/>
        </w:rPr>
        <w:t>Manow</w:t>
      </w:r>
      <w:proofErr w:type="spellEnd"/>
      <w:r w:rsidRPr="00C26F4A">
        <w:rPr>
          <w:rFonts w:ascii="Times New Roman" w:hAnsi="Times New Roman"/>
          <w:sz w:val="24"/>
          <w:szCs w:val="24"/>
        </w:rPr>
        <w:t xml:space="preserve"> (2015:  Table 3.p. 159) shows that proportional countries have an average </w:t>
      </w:r>
      <w:r w:rsidRPr="00C26F4A">
        <w:rPr>
          <w:rFonts w:ascii="Times New Roman" w:hAnsi="Times New Roman"/>
          <w:i/>
          <w:sz w:val="24"/>
          <w:szCs w:val="24"/>
        </w:rPr>
        <w:t>Gallagher</w:t>
      </w:r>
      <w:r w:rsidRPr="00C26F4A">
        <w:rPr>
          <w:rFonts w:ascii="Times New Roman" w:hAnsi="Times New Roman"/>
          <w:sz w:val="24"/>
          <w:szCs w:val="24"/>
        </w:rPr>
        <w:t xml:space="preserve"> least squares disproportionality of 2.4, while majoritarian counties average 9.6.  The </w:t>
      </w:r>
      <w:r w:rsidR="00BB24AD" w:rsidRPr="00C26F4A">
        <w:rPr>
          <w:rFonts w:ascii="Times New Roman" w:hAnsi="Times New Roman"/>
          <w:i/>
          <w:sz w:val="24"/>
          <w:szCs w:val="24"/>
        </w:rPr>
        <w:t>Gallagher</w:t>
      </w:r>
      <w:r w:rsidR="00BB24AD" w:rsidRPr="00C26F4A">
        <w:rPr>
          <w:rFonts w:ascii="Times New Roman" w:hAnsi="Times New Roman"/>
          <w:sz w:val="24"/>
          <w:szCs w:val="24"/>
        </w:rPr>
        <w:t xml:space="preserve"> least squares </w:t>
      </w:r>
      <w:r w:rsidRPr="00C26F4A">
        <w:rPr>
          <w:rFonts w:ascii="Times New Roman" w:hAnsi="Times New Roman"/>
          <w:sz w:val="24"/>
          <w:szCs w:val="24"/>
        </w:rPr>
        <w:t xml:space="preserve">disproportionality in the Electoral College in 2016 was </w:t>
      </w:r>
      <w:r w:rsidR="00BB24AD">
        <w:rPr>
          <w:rFonts w:ascii="Times New Roman" w:hAnsi="Times New Roman"/>
          <w:sz w:val="24"/>
          <w:szCs w:val="24"/>
        </w:rPr>
        <w:t xml:space="preserve">just </w:t>
      </w:r>
      <w:r w:rsidRPr="00C26F4A">
        <w:rPr>
          <w:rFonts w:ascii="Times New Roman" w:hAnsi="Times New Roman"/>
          <w:sz w:val="24"/>
          <w:szCs w:val="24"/>
        </w:rPr>
        <w:t>2.06.</w:t>
      </w:r>
    </w:p>
    <w:p w14:paraId="3F363150" w14:textId="13026AC6" w:rsidR="002A27B8" w:rsidRPr="00C26F4A" w:rsidRDefault="007E0DE3" w:rsidP="00C26F4A">
      <w:pPr>
        <w:pStyle w:val="Heading1"/>
        <w:rPr>
          <w:rFonts w:ascii="Times New Roman" w:hAnsi="Times New Roman"/>
          <w:sz w:val="24"/>
          <w:szCs w:val="24"/>
        </w:rPr>
      </w:pPr>
      <w:r w:rsidRPr="007E0DE3">
        <w:rPr>
          <w:rFonts w:ascii="Times New Roman" w:hAnsi="Times New Roman"/>
          <w:sz w:val="24"/>
          <w:szCs w:val="24"/>
        </w:rPr>
        <w:t>II. Discussion</w:t>
      </w:r>
    </w:p>
    <w:p w14:paraId="4931155F" w14:textId="11A59398" w:rsidR="00BB24AD" w:rsidRPr="00E73C16" w:rsidRDefault="007E0DE3" w:rsidP="00E73C16">
      <w:pPr>
        <w:pStyle w:val="MainBody"/>
        <w:rPr>
          <w:b/>
        </w:rPr>
      </w:pPr>
      <w:r w:rsidRPr="00E87D27">
        <w:rPr>
          <w:b/>
        </w:rPr>
        <w:t xml:space="preserve">While we find Samuels and Snyder’s (2001: 654) preferences for the </w:t>
      </w:r>
      <w:r w:rsidRPr="00E87D27">
        <w:rPr>
          <w:b/>
          <w:i/>
        </w:rPr>
        <w:t>Loosemore-Hanby Index</w:t>
      </w:r>
      <w:r w:rsidRPr="00E87D27">
        <w:rPr>
          <w:b/>
        </w:rPr>
        <w:t xml:space="preserve"> over measures focusing on only the districts with highest and lowest populations relative to their seat allocations to be</w:t>
      </w:r>
      <w:r w:rsidR="00E87D27" w:rsidRPr="00E87D27">
        <w:rPr>
          <w:b/>
        </w:rPr>
        <w:t xml:space="preserve"> based on </w:t>
      </w:r>
      <w:r w:rsidRPr="00E87D27">
        <w:rPr>
          <w:b/>
        </w:rPr>
        <w:t>sensible</w:t>
      </w:r>
      <w:r w:rsidR="00E87D27" w:rsidRPr="00E87D27">
        <w:rPr>
          <w:b/>
        </w:rPr>
        <w:t xml:space="preserve"> grounds, we are less willing to dismiss the wisdom of courts in dozens of countries who have adopted the Total Population Deviation as their measure.  To return to the Samuels-Snyder example of </w:t>
      </w:r>
      <w:r w:rsidR="00E87D27">
        <w:rPr>
          <w:b/>
        </w:rPr>
        <w:t>a constitu</w:t>
      </w:r>
      <w:r w:rsidR="00E87D27" w:rsidRPr="00E87D27">
        <w:rPr>
          <w:b/>
        </w:rPr>
        <w:t>ency that is 1/50</w:t>
      </w:r>
      <w:r w:rsidR="00E87D27" w:rsidRPr="00E87D27">
        <w:rPr>
          <w:b/>
          <w:vertAlign w:val="superscript"/>
        </w:rPr>
        <w:t>th</w:t>
      </w:r>
      <w:r w:rsidR="00E87D27" w:rsidRPr="00E87D27">
        <w:rPr>
          <w:b/>
        </w:rPr>
        <w:t xml:space="preserve"> the population of the largest district, even if all the other districts are very close in population, and the legislature is large enough that the existence of such a dramatically underpopulated district does not affect that much the average population deviation in an environment wh</w:t>
      </w:r>
      <w:r w:rsidR="00E87D27">
        <w:rPr>
          <w:b/>
        </w:rPr>
        <w:t xml:space="preserve">ere almost all of the other </w:t>
      </w:r>
      <w:r w:rsidR="00E87D27" w:rsidRPr="00E87D27">
        <w:rPr>
          <w:b/>
        </w:rPr>
        <w:t xml:space="preserve">districts are of very much the same population size, having such a discrepancy left untouched seems very problematic. Moreover, if you force the largest and the smallest district to be not that far from ideal population size, </w:t>
      </w:r>
      <w:r w:rsidR="00E87D27" w:rsidRPr="00E73C16">
        <w:rPr>
          <w:b/>
          <w:i/>
        </w:rPr>
        <w:t xml:space="preserve">ipso </w:t>
      </w:r>
      <w:r w:rsidR="00E87D27" w:rsidRPr="00E73C16">
        <w:rPr>
          <w:b/>
          <w:i/>
        </w:rPr>
        <w:lastRenderedPageBreak/>
        <w:t>facto</w:t>
      </w:r>
      <w:r w:rsidR="00E87D27" w:rsidRPr="00E87D27">
        <w:rPr>
          <w:b/>
        </w:rPr>
        <w:t xml:space="preserve">, you also reduce average population deviation. </w:t>
      </w:r>
      <w:r w:rsidR="00BB24AD">
        <w:rPr>
          <w:b/>
          <w:color w:val="FF0000"/>
        </w:rPr>
        <w:t xml:space="preserve"> </w:t>
      </w:r>
      <w:r w:rsidR="00E73C16">
        <w:rPr>
          <w:b/>
          <w:color w:val="FF0000"/>
        </w:rPr>
        <w:t xml:space="preserve"> </w:t>
      </w:r>
      <w:r w:rsidR="00E73C16" w:rsidRPr="00E73C16">
        <w:rPr>
          <w:b/>
        </w:rPr>
        <w:t>Nonetheless, we have demonstrated that the choice of malapportionment index makes a tremendous difference in how we evaluate the level of malapportionment in the U.S. Electoral College, even though it matters little for the U.S. Senate.</w:t>
      </w:r>
      <w:r w:rsidR="00E73C16">
        <w:rPr>
          <w:b/>
        </w:rPr>
        <w:t xml:space="preserve"> </w:t>
      </w:r>
      <w:r w:rsidR="00E73C16" w:rsidRPr="00E73C16">
        <w:rPr>
          <w:b/>
          <w:color w:val="FF0000"/>
        </w:rPr>
        <w:t>JONATHAN THINK ABOUT WORDING OF LAST SENTENCE</w:t>
      </w:r>
      <w:r w:rsidR="00E73C16">
        <w:rPr>
          <w:rStyle w:val="FootnoteReference"/>
          <w:b/>
          <w:color w:val="FF0000"/>
        </w:rPr>
        <w:footnoteReference w:id="14"/>
      </w:r>
      <w:r w:rsidR="00E73C16">
        <w:rPr>
          <w:b/>
        </w:rPr>
        <w:t xml:space="preserve"> </w:t>
      </w:r>
    </w:p>
    <w:p w14:paraId="1654ABA7" w14:textId="77777777" w:rsidR="00BB24AD" w:rsidRDefault="00BB24AD" w:rsidP="00216A8D">
      <w:pPr>
        <w:rPr>
          <w:rFonts w:ascii="Times New Roman" w:hAnsi="Times New Roman"/>
          <w:b/>
          <w:sz w:val="24"/>
          <w:szCs w:val="24"/>
        </w:rPr>
      </w:pPr>
      <w:r>
        <w:rPr>
          <w:rFonts w:ascii="Times New Roman" w:hAnsi="Times New Roman"/>
          <w:b/>
          <w:sz w:val="24"/>
          <w:szCs w:val="24"/>
        </w:rPr>
        <w:t xml:space="preserve"> </w:t>
      </w:r>
    </w:p>
    <w:p w14:paraId="32CB5EB7" w14:textId="77777777" w:rsidR="00BB24AD" w:rsidRDefault="00BB24AD">
      <w:pPr>
        <w:spacing w:after="0" w:line="240" w:lineRule="auto"/>
        <w:jc w:val="left"/>
        <w:rPr>
          <w:rFonts w:ascii="Times New Roman" w:hAnsi="Times New Roman"/>
          <w:b/>
          <w:sz w:val="24"/>
          <w:szCs w:val="24"/>
        </w:rPr>
      </w:pPr>
      <w:r>
        <w:rPr>
          <w:rFonts w:ascii="Times New Roman" w:hAnsi="Times New Roman"/>
          <w:b/>
          <w:sz w:val="24"/>
          <w:szCs w:val="24"/>
        </w:rPr>
        <w:br w:type="page"/>
      </w:r>
      <w:bookmarkStart w:id="2" w:name="_GoBack"/>
      <w:bookmarkEnd w:id="2"/>
    </w:p>
    <w:p w14:paraId="5A733005" w14:textId="4949E462" w:rsidR="00BB24AD" w:rsidRDefault="00BB24AD" w:rsidP="00216A8D">
      <w:pPr>
        <w:rPr>
          <w:rFonts w:ascii="Times New Roman" w:hAnsi="Times New Roman"/>
          <w:b/>
          <w:sz w:val="24"/>
          <w:szCs w:val="24"/>
        </w:rPr>
      </w:pPr>
      <w:r>
        <w:rPr>
          <w:rFonts w:ascii="Times New Roman" w:hAnsi="Times New Roman"/>
          <w:b/>
          <w:sz w:val="24"/>
          <w:szCs w:val="24"/>
        </w:rPr>
        <w:lastRenderedPageBreak/>
        <w:t>REFERENCES</w:t>
      </w:r>
    </w:p>
    <w:p w14:paraId="525147D7" w14:textId="77777777" w:rsidR="00BB24AD" w:rsidRDefault="00BB24AD" w:rsidP="00216A8D">
      <w:pPr>
        <w:rPr>
          <w:rFonts w:ascii="Times New Roman" w:hAnsi="Times New Roman"/>
          <w:b/>
          <w:sz w:val="24"/>
          <w:szCs w:val="24"/>
        </w:rPr>
      </w:pPr>
    </w:p>
    <w:p w14:paraId="4808CB4F" w14:textId="17616FE9" w:rsidR="00216A8D" w:rsidRPr="00C26F4A" w:rsidRDefault="00C26F4A" w:rsidP="00216A8D">
      <w:pPr>
        <w:rPr>
          <w:rFonts w:ascii="Times New Roman" w:hAnsi="Times New Roman"/>
          <w:b/>
          <w:color w:val="FF0000"/>
          <w:sz w:val="24"/>
          <w:szCs w:val="24"/>
        </w:rPr>
      </w:pPr>
      <w:r>
        <w:rPr>
          <w:rFonts w:ascii="Times New Roman" w:hAnsi="Times New Roman"/>
          <w:b/>
          <w:sz w:val="24"/>
          <w:szCs w:val="24"/>
        </w:rPr>
        <w:t xml:space="preserve"> </w:t>
      </w:r>
      <w:r w:rsidRPr="00C26F4A">
        <w:rPr>
          <w:rFonts w:ascii="Times New Roman" w:hAnsi="Times New Roman"/>
          <w:b/>
          <w:color w:val="FF0000"/>
          <w:sz w:val="24"/>
          <w:szCs w:val="24"/>
        </w:rPr>
        <w:t>JONATHAN MANY OF THESE ARE NO LONGER IN THE RESEARCH NOTE. CAN YOU DOUBLECHECK</w:t>
      </w:r>
      <w:r w:rsidR="00BB24AD">
        <w:rPr>
          <w:rFonts w:ascii="Times New Roman" w:hAnsi="Times New Roman"/>
          <w:b/>
          <w:color w:val="FF0000"/>
          <w:sz w:val="24"/>
          <w:szCs w:val="24"/>
        </w:rPr>
        <w:t xml:space="preserve"> refs to delete unused ones and make sure that anything cited is in the refs</w:t>
      </w:r>
      <w:r w:rsidRPr="00C26F4A">
        <w:rPr>
          <w:rFonts w:ascii="Times New Roman" w:hAnsi="Times New Roman"/>
          <w:b/>
          <w:color w:val="FF0000"/>
          <w:sz w:val="24"/>
          <w:szCs w:val="24"/>
        </w:rPr>
        <w:t>?</w:t>
      </w:r>
    </w:p>
    <w:p w14:paraId="146C64AD" w14:textId="2229E0E0" w:rsidR="00216A8D" w:rsidRPr="00BB24AD" w:rsidRDefault="00BB24AD" w:rsidP="00216A8D">
      <w:pPr>
        <w:ind w:right="630"/>
        <w:rPr>
          <w:b/>
          <w:color w:val="00B0F0"/>
          <w:sz w:val="36"/>
          <w:szCs w:val="36"/>
        </w:rPr>
      </w:pPr>
      <w:r w:rsidRPr="00BB24AD">
        <w:rPr>
          <w:b/>
          <w:color w:val="00B0F0"/>
          <w:sz w:val="36"/>
          <w:szCs w:val="36"/>
        </w:rPr>
        <w:t>BG ADD TO REFS SOMETHING ABOUT PARTISAN EFFECTS OF DISPROPORTIONALITY IN JAPAN</w:t>
      </w:r>
    </w:p>
    <w:p w14:paraId="3BA4C4EC" w14:textId="77777777" w:rsidR="00BB24AD" w:rsidRPr="00F46499" w:rsidRDefault="00BB24AD" w:rsidP="00216A8D">
      <w:pPr>
        <w:ind w:right="630"/>
      </w:pPr>
    </w:p>
    <w:p w14:paraId="1D5F058F" w14:textId="77777777" w:rsidR="00216A8D" w:rsidRDefault="00216A8D" w:rsidP="00572503">
      <w:pPr>
        <w:pStyle w:val="Bib"/>
      </w:pPr>
      <w:r w:rsidRPr="00001F89">
        <w:t xml:space="preserve">Adkins, Randall E. and Kent A. Kirwan. 2001-2. </w:t>
      </w:r>
      <w:r w:rsidRPr="00001F89">
        <w:rPr>
          <w:rFonts w:ascii="Helvetica" w:eastAsia="Helvetica" w:hAnsi="Helvetica" w:cs="Helvetica"/>
        </w:rPr>
        <w:t>“</w:t>
      </w:r>
      <w:r w:rsidRPr="00572503">
        <w:rPr>
          <w:rFonts w:eastAsia="Helvetica"/>
        </w:rPr>
        <w:t xml:space="preserve">What Role Does the </w:t>
      </w:r>
      <w:r w:rsidRPr="00BE1D61">
        <w:rPr>
          <w:rFonts w:ascii="Helvetica" w:eastAsia="Helvetica" w:hAnsi="Helvetica" w:cs="Helvetica"/>
        </w:rPr>
        <w:t>‘</w:t>
      </w:r>
      <w:r w:rsidRPr="00572503">
        <w:rPr>
          <w:rFonts w:eastAsia="Helvetica"/>
        </w:rPr>
        <w:t>Federalism Bonus</w:t>
      </w:r>
      <w:r w:rsidRPr="007165BF">
        <w:rPr>
          <w:rFonts w:ascii="Helvetica" w:eastAsia="Helvetica" w:hAnsi="Helvetica" w:cs="Helvetica"/>
        </w:rPr>
        <w:t xml:space="preserve">’ </w:t>
      </w:r>
      <w:r w:rsidRPr="00572503">
        <w:rPr>
          <w:rFonts w:eastAsia="Helvetica"/>
        </w:rPr>
        <w:t>Play in Presidential Selection?</w:t>
      </w:r>
      <w:r w:rsidRPr="00001F89">
        <w:rPr>
          <w:rFonts w:ascii="Helvetica" w:eastAsia="Helvetica" w:hAnsi="Helvetica" w:cs="Helvetica"/>
        </w:rPr>
        <w:t xml:space="preserve">” </w:t>
      </w:r>
      <w:proofErr w:type="spellStart"/>
      <w:r w:rsidRPr="00572503">
        <w:t>Publius</w:t>
      </w:r>
      <w:proofErr w:type="spellEnd"/>
      <w:r w:rsidRPr="00572503">
        <w:t xml:space="preserve"> </w:t>
      </w:r>
      <w:r w:rsidRPr="00001F89">
        <w:t>32 (4) 71-90.</w:t>
      </w:r>
    </w:p>
    <w:p w14:paraId="100EF4A5" w14:textId="12722C5A" w:rsidR="00BB24AD" w:rsidRPr="00BB24AD" w:rsidRDefault="00BB24AD" w:rsidP="00572503">
      <w:pPr>
        <w:pStyle w:val="Bib"/>
        <w:rPr>
          <w:color w:val="FF0000"/>
        </w:rPr>
      </w:pPr>
      <w:r>
        <w:t xml:space="preserve">Baker, Gordon. </w:t>
      </w:r>
      <w:r w:rsidRPr="00BB24AD">
        <w:rPr>
          <w:color w:val="FF0000"/>
        </w:rPr>
        <w:t>TBA BOOK</w:t>
      </w:r>
    </w:p>
    <w:p w14:paraId="61650814" w14:textId="77777777" w:rsidR="00216A8D" w:rsidRPr="00001F89" w:rsidRDefault="00216A8D" w:rsidP="00572503">
      <w:pPr>
        <w:pStyle w:val="Bib"/>
      </w:pPr>
      <w:r w:rsidRPr="00BB24AD">
        <w:rPr>
          <w:i/>
        </w:rPr>
        <w:t>Baker v. Carr</w:t>
      </w:r>
      <w:r w:rsidRPr="00001F89">
        <w:t>, 369 US 186 1962.</w:t>
      </w:r>
    </w:p>
    <w:p w14:paraId="7BF3CBE4" w14:textId="77777777" w:rsidR="00216A8D" w:rsidRPr="00001F89" w:rsidRDefault="00216A8D" w:rsidP="00572503">
      <w:pPr>
        <w:pStyle w:val="Bib"/>
      </w:pPr>
      <w:r w:rsidRPr="00001F89">
        <w:t xml:space="preserve">Balinski, M. L. and H. Peyton Young. 1982. </w:t>
      </w:r>
      <w:r w:rsidRPr="00572503">
        <w:t>Fair Representation: Meeting the Ideal of One Man, One Vote</w:t>
      </w:r>
      <w:r w:rsidRPr="00001F89">
        <w:t>. Yale University Press.</w:t>
      </w:r>
    </w:p>
    <w:p w14:paraId="52E1E7DB" w14:textId="77777777" w:rsidR="00216A8D" w:rsidRPr="00001F89" w:rsidRDefault="00216A8D" w:rsidP="00572503">
      <w:pPr>
        <w:pStyle w:val="Bib"/>
      </w:pPr>
      <w:r w:rsidRPr="00001F89">
        <w:t xml:space="preserve">Bullock, Charles III. 2010. </w:t>
      </w:r>
      <w:r w:rsidRPr="00572503">
        <w:t>Redistricting: The Most Political Activity in America</w:t>
      </w:r>
      <w:r w:rsidRPr="00001F89">
        <w:t>.  New York: Rowman and Littlefield.</w:t>
      </w:r>
    </w:p>
    <w:p w14:paraId="3F88AA7B" w14:textId="77777777" w:rsidR="00216A8D" w:rsidRPr="00001F89" w:rsidRDefault="00216A8D" w:rsidP="00572503">
      <w:pPr>
        <w:pStyle w:val="Bib"/>
      </w:pPr>
      <w:r w:rsidRPr="00001F89">
        <w:t xml:space="preserve">Cox, Gary W. and Matthew S. Shugart. 1991. </w:t>
      </w:r>
      <w:r w:rsidRPr="00001F89">
        <w:rPr>
          <w:rFonts w:ascii="Helvetica" w:eastAsia="Helvetica" w:hAnsi="Helvetica" w:cs="Helvetica"/>
        </w:rPr>
        <w:t>“</w:t>
      </w:r>
      <w:r w:rsidRPr="00572503">
        <w:rPr>
          <w:rFonts w:eastAsia="Helvetica"/>
        </w:rPr>
        <w:t>Comment on Gallagher</w:t>
      </w:r>
      <w:r w:rsidRPr="00FA3756">
        <w:rPr>
          <w:rFonts w:ascii="Helvetica" w:eastAsia="Helvetica" w:hAnsi="Helvetica" w:cs="Helvetica"/>
        </w:rPr>
        <w:t>’s ‘</w:t>
      </w:r>
      <w:r w:rsidRPr="00572503">
        <w:rPr>
          <w:rFonts w:eastAsia="Helvetica"/>
        </w:rPr>
        <w:t>Proportion</w:t>
      </w:r>
      <w:r w:rsidRPr="00FA3756">
        <w:t>ality,</w:t>
      </w:r>
      <w:r w:rsidRPr="00001F89">
        <w:t xml:space="preserve"> Disproportionality, and Electoral Systems</w:t>
      </w:r>
      <w:r w:rsidRPr="00001F89">
        <w:rPr>
          <w:rFonts w:ascii="Helvetica" w:eastAsia="Helvetica" w:hAnsi="Helvetica" w:cs="Helvetica"/>
        </w:rPr>
        <w:t xml:space="preserve">’.” </w:t>
      </w:r>
      <w:r w:rsidRPr="00572503">
        <w:t>Electoral Studies</w:t>
      </w:r>
      <w:r w:rsidRPr="00001F89">
        <w:t>. 10:4, 348-352.</w:t>
      </w:r>
    </w:p>
    <w:p w14:paraId="7900F610" w14:textId="77777777" w:rsidR="00220616" w:rsidRPr="00FA3756" w:rsidRDefault="00220616" w:rsidP="00572503">
      <w:pPr>
        <w:pStyle w:val="Bib"/>
      </w:pPr>
      <w:r w:rsidRPr="00001F89">
        <w:t xml:space="preserve">Dahl, Robert A. </w:t>
      </w:r>
      <w:r w:rsidRPr="00FA3756">
        <w:t xml:space="preserve">1971 </w:t>
      </w:r>
      <w:proofErr w:type="spellStart"/>
      <w:r w:rsidRPr="00572503">
        <w:t>Polyarchy</w:t>
      </w:r>
      <w:proofErr w:type="spellEnd"/>
      <w:r w:rsidRPr="00572503">
        <w:t>: Participation and Opposition</w:t>
      </w:r>
      <w:r w:rsidRPr="00001F89">
        <w:t>. New Haven, Conn.: Yale University</w:t>
      </w:r>
      <w:r w:rsidR="00001F89" w:rsidRPr="00001F89">
        <w:t xml:space="preserve"> </w:t>
      </w:r>
      <w:r w:rsidRPr="00001F89">
        <w:t>Press.</w:t>
      </w:r>
    </w:p>
    <w:p w14:paraId="34ECCBA9" w14:textId="77777777" w:rsidR="00216A8D" w:rsidRPr="00001F89" w:rsidRDefault="00216A8D" w:rsidP="00572503">
      <w:pPr>
        <w:pStyle w:val="Bib"/>
      </w:pPr>
      <w:r w:rsidRPr="00FA3756">
        <w:t xml:space="preserve">Dong, Xiao, Feng Xu and </w:t>
      </w:r>
      <w:proofErr w:type="spellStart"/>
      <w:r w:rsidRPr="00FA3756">
        <w:t>Shiqiang</w:t>
      </w:r>
      <w:proofErr w:type="spellEnd"/>
      <w:r w:rsidRPr="00FA3756">
        <w:t xml:space="preserve"> Zhang.  2014. </w:t>
      </w:r>
      <w:r w:rsidRPr="00572503">
        <w:rPr>
          <w:rFonts w:ascii="Helvetica" w:eastAsia="Helvetica" w:hAnsi="Helvetica" w:cs="Helvetica"/>
        </w:rPr>
        <w:t>“</w:t>
      </w:r>
      <w:r w:rsidRPr="00FA3756">
        <w:t>A Simple and Practical Method of Calculating the Gini Coefficient.</w:t>
      </w:r>
      <w:r w:rsidRPr="00572503">
        <w:rPr>
          <w:rFonts w:ascii="Helvetica" w:eastAsia="Helvetica" w:hAnsi="Helvetica" w:cs="Helvetica"/>
        </w:rPr>
        <w:t xml:space="preserve">”  </w:t>
      </w:r>
      <w:r w:rsidRPr="00572503">
        <w:t>Progress in Applied Mathematics</w:t>
      </w:r>
      <w:r w:rsidRPr="00001F89">
        <w:t xml:space="preserve"> 8 (1): 29-33.</w:t>
      </w:r>
    </w:p>
    <w:p w14:paraId="7B4DD201" w14:textId="77777777" w:rsidR="00216A8D" w:rsidRPr="00001F89" w:rsidRDefault="00216A8D" w:rsidP="00572503">
      <w:pPr>
        <w:pStyle w:val="Bib"/>
      </w:pPr>
      <w:proofErr w:type="spellStart"/>
      <w:r w:rsidRPr="002420B1">
        <w:t>D</w:t>
      </w:r>
      <w:r w:rsidRPr="002420B1">
        <w:rPr>
          <w:rFonts w:eastAsia="Helvetica"/>
        </w:rPr>
        <w:t>öring</w:t>
      </w:r>
      <w:proofErr w:type="spellEnd"/>
      <w:r w:rsidRPr="002420B1">
        <w:rPr>
          <w:rFonts w:eastAsia="Helvetica"/>
        </w:rPr>
        <w:t>,</w:t>
      </w:r>
      <w:r w:rsidRPr="002420B1">
        <w:t xml:space="preserve"> H. and </w:t>
      </w:r>
      <w:proofErr w:type="spellStart"/>
      <w:r w:rsidRPr="002420B1">
        <w:t>Manow</w:t>
      </w:r>
      <w:proofErr w:type="spellEnd"/>
      <w:r w:rsidRPr="00001F89">
        <w:t xml:space="preserve">, P., 2017. </w:t>
      </w:r>
      <w:r w:rsidRPr="00001F89">
        <w:rPr>
          <w:rFonts w:ascii="Helvetica" w:eastAsia="Helvetica" w:hAnsi="Helvetica" w:cs="Helvetica"/>
        </w:rPr>
        <w:t>“</w:t>
      </w:r>
      <w:r w:rsidRPr="00572503">
        <w:rPr>
          <w:rFonts w:eastAsia="Helvetica"/>
        </w:rPr>
        <w:t xml:space="preserve">Is Proportional Representation More </w:t>
      </w:r>
      <w:proofErr w:type="spellStart"/>
      <w:r w:rsidRPr="00572503">
        <w:rPr>
          <w:rFonts w:eastAsia="Helvetica"/>
        </w:rPr>
        <w:t>Favourable</w:t>
      </w:r>
      <w:proofErr w:type="spellEnd"/>
      <w:r w:rsidRPr="00572503">
        <w:rPr>
          <w:rFonts w:eastAsia="Helvetica"/>
        </w:rPr>
        <w:t xml:space="preserve"> to the Left?</w:t>
      </w:r>
      <w:r w:rsidRPr="00001F89">
        <w:rPr>
          <w:rFonts w:ascii="Helvetica" w:eastAsia="Helvetica" w:hAnsi="Helvetica" w:cs="Helvetica"/>
        </w:rPr>
        <w:t xml:space="preserve"> </w:t>
      </w:r>
      <w:r w:rsidRPr="00572503">
        <w:rPr>
          <w:rFonts w:eastAsia="Helvetica"/>
        </w:rPr>
        <w:t>Electoral Rules and Their Impact on Elections, Parliaments and the Formation of Cabinets.</w:t>
      </w:r>
      <w:r w:rsidRPr="00FA3756">
        <w:rPr>
          <w:rFonts w:ascii="Helvetica" w:eastAsia="Helvetica" w:hAnsi="Helvetica" w:cs="Helvetica"/>
        </w:rPr>
        <w:t>”</w:t>
      </w:r>
      <w:r w:rsidRPr="00001F89">
        <w:rPr>
          <w:rFonts w:ascii="Helvetica" w:eastAsia="Helvetica" w:hAnsi="Helvetica" w:cs="Helvetica"/>
        </w:rPr>
        <w:t xml:space="preserve"> </w:t>
      </w:r>
      <w:r w:rsidRPr="00572503">
        <w:t>British Journal of Political Science</w:t>
      </w:r>
      <w:r w:rsidRPr="00001F89">
        <w:t>, 47:149-164.</w:t>
      </w:r>
    </w:p>
    <w:p w14:paraId="737E78BB" w14:textId="217007C0" w:rsidR="000B6B76" w:rsidRDefault="000B6B76" w:rsidP="00572503">
      <w:pPr>
        <w:pStyle w:val="Bib"/>
        <w:rPr>
          <w:rFonts w:eastAsia="Helvetica"/>
        </w:rPr>
      </w:pPr>
      <w:r w:rsidRPr="00001F89">
        <w:t xml:space="preserve">Edelman, Paul H. 2015. </w:t>
      </w:r>
      <w:r w:rsidRPr="00FA3756">
        <w:rPr>
          <w:rFonts w:ascii="Helvetica" w:eastAsia="Helvetica" w:hAnsi="Helvetica" w:cs="Helvetica"/>
        </w:rPr>
        <w:t>“</w:t>
      </w:r>
      <w:r w:rsidRPr="00001F89">
        <w:t>Voting power apportionments</w:t>
      </w:r>
      <w:r w:rsidRPr="00572503">
        <w:rPr>
          <w:rFonts w:eastAsia="Helvetica"/>
        </w:rPr>
        <w:t>.</w:t>
      </w:r>
      <w:r w:rsidRPr="00FA3756">
        <w:rPr>
          <w:rFonts w:ascii="Helvetica" w:eastAsia="Helvetica" w:hAnsi="Helvetica" w:cs="Helvetica"/>
        </w:rPr>
        <w:t>”</w:t>
      </w:r>
      <w:r w:rsidRPr="00572503">
        <w:rPr>
          <w:rFonts w:eastAsia="Helvetica"/>
        </w:rPr>
        <w:t xml:space="preserve"> Social Choice </w:t>
      </w:r>
      <w:r w:rsidR="00BB24AD">
        <w:rPr>
          <w:rFonts w:eastAsia="Helvetica"/>
        </w:rPr>
        <w:t xml:space="preserve">and </w:t>
      </w:r>
      <w:r w:rsidRPr="00572503">
        <w:rPr>
          <w:rFonts w:eastAsia="Helvetica"/>
        </w:rPr>
        <w:t>Welfare. 44, 911-925.</w:t>
      </w:r>
    </w:p>
    <w:p w14:paraId="7C9E9A4E" w14:textId="1E8E0C77" w:rsidR="008B6561" w:rsidRPr="008B6561" w:rsidRDefault="008B6561" w:rsidP="008B6561">
      <w:pPr>
        <w:pStyle w:val="Bib"/>
      </w:pPr>
      <w:r>
        <w:rPr>
          <w:rFonts w:eastAsia="Helvetica"/>
        </w:rPr>
        <w:lastRenderedPageBreak/>
        <w:t xml:space="preserve">Edwards, George C. III. 2005. </w:t>
      </w:r>
      <w:r w:rsidRPr="00BB24AD">
        <w:rPr>
          <w:rFonts w:eastAsia="Helvetica"/>
        </w:rPr>
        <w:t xml:space="preserve">Why the Electoral College is bad for America. </w:t>
      </w:r>
      <w:r>
        <w:rPr>
          <w:rFonts w:eastAsia="Helvetica"/>
        </w:rPr>
        <w:t>New Haven: Yale University Press.</w:t>
      </w:r>
    </w:p>
    <w:p w14:paraId="55EA8E40" w14:textId="77777777" w:rsidR="00216A8D" w:rsidRPr="00001F89" w:rsidRDefault="00216A8D" w:rsidP="00572503">
      <w:pPr>
        <w:pStyle w:val="Bib"/>
      </w:pPr>
      <w:r w:rsidRPr="00001F89">
        <w:t xml:space="preserve">Gallagher, Michael 1991. "Proportionality, Disproportionality and Electoral Systems". </w:t>
      </w:r>
      <w:r w:rsidRPr="00572503">
        <w:t>Electoral Studies</w:t>
      </w:r>
      <w:r w:rsidRPr="00001F89">
        <w:t>. 10: 33</w:t>
      </w:r>
      <w:r w:rsidRPr="00001F89">
        <w:rPr>
          <w:rFonts w:ascii="Helvetica" w:eastAsia="Helvetica" w:hAnsi="Helvetica" w:cs="Helvetica"/>
        </w:rPr>
        <w:t>–51.</w:t>
      </w:r>
    </w:p>
    <w:p w14:paraId="226011E1" w14:textId="77777777" w:rsidR="00216A8D" w:rsidRPr="00001F89" w:rsidRDefault="00216A8D" w:rsidP="00572503">
      <w:pPr>
        <w:pStyle w:val="Bib"/>
      </w:pPr>
      <w:r w:rsidRPr="00001F89">
        <w:t xml:space="preserve">Grofman, Bernard, William Koetzle, and Thomas Brunell.  1997. </w:t>
      </w:r>
      <w:r w:rsidRPr="00001F89">
        <w:rPr>
          <w:rFonts w:ascii="Helvetica" w:eastAsia="Helvetica" w:hAnsi="Helvetica" w:cs="Helvetica"/>
        </w:rPr>
        <w:t>“</w:t>
      </w:r>
      <w:r w:rsidRPr="00572503">
        <w:rPr>
          <w:rFonts w:eastAsia="Helvetica"/>
        </w:rPr>
        <w:t>An Integrated Perspective on the Three Potential Sources for Partisan Bias: Malapportionment, Turnout Diff</w:t>
      </w:r>
      <w:r w:rsidRPr="00001F89">
        <w:t>erences, and the Geographic Distribution of the Party Vote Shares.</w:t>
      </w:r>
      <w:r w:rsidRPr="00001F89">
        <w:rPr>
          <w:rFonts w:ascii="Helvetica" w:eastAsia="Helvetica" w:hAnsi="Helvetica" w:cs="Helvetica"/>
        </w:rPr>
        <w:t xml:space="preserve">” </w:t>
      </w:r>
      <w:r w:rsidRPr="00572503">
        <w:t>Electoral Studies</w:t>
      </w:r>
      <w:r w:rsidRPr="00001F89">
        <w:t xml:space="preserve"> 16: 4, 457-470.</w:t>
      </w:r>
    </w:p>
    <w:p w14:paraId="5DFB387F" w14:textId="006789D4" w:rsidR="000A04E5" w:rsidRPr="000A04E5" w:rsidRDefault="000A04E5" w:rsidP="000A04E5">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spacing w:line="360" w:lineRule="auto"/>
        <w:ind w:left="720" w:hanging="720"/>
        <w:rPr>
          <w:rFonts w:ascii="Times New Roman" w:hAnsi="Times New Roman"/>
          <w:bCs/>
          <w:sz w:val="24"/>
          <w:szCs w:val="24"/>
        </w:rPr>
      </w:pPr>
      <w:r w:rsidRPr="000A04E5">
        <w:rPr>
          <w:rFonts w:ascii="Times New Roman" w:hAnsi="Times New Roman"/>
          <w:bCs/>
          <w:sz w:val="24"/>
          <w:szCs w:val="24"/>
        </w:rPr>
        <w:t>Handley, Lisa and Bernard Grofman (</w:t>
      </w:r>
      <w:proofErr w:type="spellStart"/>
      <w:r w:rsidRPr="000A04E5">
        <w:rPr>
          <w:rFonts w:ascii="Times New Roman" w:hAnsi="Times New Roman"/>
          <w:bCs/>
          <w:sz w:val="24"/>
          <w:szCs w:val="24"/>
        </w:rPr>
        <w:t>Eds</w:t>
      </w:r>
      <w:proofErr w:type="spellEnd"/>
      <w:r w:rsidRPr="000A04E5">
        <w:rPr>
          <w:rFonts w:ascii="Times New Roman" w:hAnsi="Times New Roman"/>
          <w:bCs/>
          <w:sz w:val="24"/>
          <w:szCs w:val="24"/>
        </w:rPr>
        <w:t xml:space="preserve">).  2008. Redistricting in Comparative Perspective. Oxford: Oxford University Press, </w:t>
      </w:r>
    </w:p>
    <w:p w14:paraId="5A9ABC67" w14:textId="7C693041" w:rsidR="00643DE5" w:rsidRPr="00001F89" w:rsidRDefault="00643DE5" w:rsidP="00572503">
      <w:pPr>
        <w:pStyle w:val="Bib"/>
      </w:pPr>
      <w:r w:rsidRPr="00001F89">
        <w:t>Johns</w:t>
      </w:r>
      <w:r w:rsidR="00BB24AD">
        <w:t>t</w:t>
      </w:r>
      <w:r w:rsidRPr="00001F89">
        <w:t xml:space="preserve">on, Ron. 2002. </w:t>
      </w:r>
      <w:r w:rsidRPr="00FA3756">
        <w:rPr>
          <w:rFonts w:ascii="Helvetica" w:eastAsia="Helvetica" w:hAnsi="Helvetica" w:cs="Helvetica"/>
        </w:rPr>
        <w:t>“</w:t>
      </w:r>
      <w:r w:rsidRPr="00001F89">
        <w:t xml:space="preserve">Manipulating </w:t>
      </w:r>
      <w:r w:rsidR="00BB24AD">
        <w:t>M</w:t>
      </w:r>
      <w:r w:rsidRPr="00001F89">
        <w:t xml:space="preserve">aps and </w:t>
      </w:r>
      <w:r w:rsidR="00BB24AD">
        <w:t>W</w:t>
      </w:r>
      <w:r w:rsidRPr="00001F89">
        <w:t xml:space="preserve">inning </w:t>
      </w:r>
      <w:r w:rsidR="00BB24AD">
        <w:t>E</w:t>
      </w:r>
      <w:r w:rsidRPr="00001F89">
        <w:t xml:space="preserve">lections: </w:t>
      </w:r>
      <w:r w:rsidR="00BB24AD">
        <w:t>M</w:t>
      </w:r>
      <w:r w:rsidRPr="00001F89">
        <w:t xml:space="preserve">easuring the </w:t>
      </w:r>
      <w:r w:rsidR="00BB24AD">
        <w:t>I</w:t>
      </w:r>
      <w:r w:rsidRPr="00FA3756">
        <w:t xml:space="preserve">mpact of </w:t>
      </w:r>
      <w:r w:rsidR="00BB24AD">
        <w:t>M</w:t>
      </w:r>
      <w:r w:rsidRPr="00FA3756">
        <w:t xml:space="preserve">alapportionment and </w:t>
      </w:r>
      <w:r w:rsidR="00BB24AD">
        <w:t>G</w:t>
      </w:r>
      <w:r w:rsidRPr="00FA3756">
        <w:t>errymandering.</w:t>
      </w:r>
      <w:r w:rsidRPr="00FA3756">
        <w:rPr>
          <w:rFonts w:ascii="Helvetica" w:eastAsia="Helvetica" w:hAnsi="Helvetica" w:cs="Helvetica"/>
        </w:rPr>
        <w:t>”</w:t>
      </w:r>
      <w:r w:rsidRPr="00572503">
        <w:rPr>
          <w:rFonts w:eastAsia="Helvetica"/>
        </w:rPr>
        <w:t xml:space="preserve"> Political Geography, 21, 1-31.</w:t>
      </w:r>
    </w:p>
    <w:p w14:paraId="7D3AA92F" w14:textId="77777777" w:rsidR="00216A8D" w:rsidRPr="00001F89" w:rsidRDefault="00216A8D" w:rsidP="00572503">
      <w:pPr>
        <w:pStyle w:val="Bib"/>
      </w:pPr>
      <w:proofErr w:type="spellStart"/>
      <w:r w:rsidRPr="00001F89">
        <w:t>Karpov</w:t>
      </w:r>
      <w:proofErr w:type="spellEnd"/>
      <w:r w:rsidRPr="00001F89">
        <w:t xml:space="preserve">, Alexander. 2008. </w:t>
      </w:r>
      <w:r w:rsidRPr="00001F89">
        <w:rPr>
          <w:rFonts w:ascii="Helvetica" w:eastAsia="Helvetica" w:hAnsi="Helvetica" w:cs="Helvetica"/>
        </w:rPr>
        <w:t>“</w:t>
      </w:r>
      <w:r w:rsidRPr="00572503">
        <w:rPr>
          <w:rFonts w:eastAsia="Helvetica"/>
        </w:rPr>
        <w:t>Measurement of Disproportionality in Proportional Representation Systems.</w:t>
      </w:r>
      <w:r w:rsidRPr="00001F89">
        <w:rPr>
          <w:rFonts w:ascii="Helvetica" w:eastAsia="Helvetica" w:hAnsi="Helvetica" w:cs="Helvetica"/>
        </w:rPr>
        <w:t xml:space="preserve">” </w:t>
      </w:r>
      <w:r w:rsidRPr="00572503">
        <w:t>Mathematical and Computer Modelling</w:t>
      </w:r>
      <w:r w:rsidRPr="00001F89">
        <w:t xml:space="preserve"> 48: (9</w:t>
      </w:r>
      <w:r w:rsidRPr="00001F89">
        <w:rPr>
          <w:rFonts w:ascii="Helvetica" w:eastAsia="Helvetica" w:hAnsi="Helvetica" w:cs="Helvetica"/>
        </w:rPr>
        <w:t>–</w:t>
      </w:r>
      <w:r w:rsidRPr="00572503">
        <w:rPr>
          <w:rFonts w:eastAsia="Helvetica"/>
        </w:rPr>
        <w:t>100), 1421</w:t>
      </w:r>
      <w:r w:rsidRPr="00001F89">
        <w:t>-1438.</w:t>
      </w:r>
    </w:p>
    <w:p w14:paraId="4E79743F" w14:textId="7D02A17F" w:rsidR="00076A33" w:rsidRPr="00001F89" w:rsidRDefault="00076A33" w:rsidP="00572503">
      <w:pPr>
        <w:pStyle w:val="Bib"/>
      </w:pPr>
      <w:proofErr w:type="spellStart"/>
      <w:r w:rsidRPr="00001F89">
        <w:t>Klarman</w:t>
      </w:r>
      <w:proofErr w:type="spellEnd"/>
      <w:r w:rsidRPr="00001F89">
        <w:t xml:space="preserve">, Michael J. 2016. </w:t>
      </w:r>
      <w:r w:rsidRPr="00572503">
        <w:t>Framer</w:t>
      </w:r>
      <w:r w:rsidRPr="00572503">
        <w:rPr>
          <w:rFonts w:ascii="Helvetica" w:eastAsia="Helvetica" w:hAnsi="Helvetica" w:cs="Helvetica"/>
        </w:rPr>
        <w:t>’</w:t>
      </w:r>
      <w:r w:rsidR="00960B89" w:rsidRPr="00572503">
        <w:t xml:space="preserve">s </w:t>
      </w:r>
      <w:r w:rsidR="00BB24AD">
        <w:t>C</w:t>
      </w:r>
      <w:r w:rsidRPr="00572503">
        <w:t xml:space="preserve">oup: </w:t>
      </w:r>
      <w:r w:rsidR="00BB24AD">
        <w:t>T</w:t>
      </w:r>
      <w:r w:rsidRPr="00572503">
        <w:t xml:space="preserve">he </w:t>
      </w:r>
      <w:r w:rsidR="00BB24AD">
        <w:t>M</w:t>
      </w:r>
      <w:r w:rsidRPr="00572503">
        <w:t>aking of the United States Constitution.</w:t>
      </w:r>
      <w:r w:rsidRPr="00001F89">
        <w:t xml:space="preserve"> Oxford University Press.</w:t>
      </w:r>
    </w:p>
    <w:p w14:paraId="246D7E9D" w14:textId="77777777" w:rsidR="00216A8D" w:rsidRPr="00001F89" w:rsidRDefault="00216A8D" w:rsidP="00572503">
      <w:pPr>
        <w:pStyle w:val="Bib"/>
      </w:pPr>
      <w:proofErr w:type="spellStart"/>
      <w:r w:rsidRPr="00001F89">
        <w:t>Ladewig</w:t>
      </w:r>
      <w:proofErr w:type="spellEnd"/>
      <w:r w:rsidRPr="00001F89">
        <w:t xml:space="preserve">, Jeffrey W. and Matthew P. </w:t>
      </w:r>
      <w:proofErr w:type="spellStart"/>
      <w:r w:rsidRPr="00001F89">
        <w:t>Jasinski</w:t>
      </w:r>
      <w:proofErr w:type="spellEnd"/>
      <w:r w:rsidRPr="00001F89">
        <w:t xml:space="preserve">. 2008. </w:t>
      </w:r>
      <w:r w:rsidRPr="00001F89">
        <w:rPr>
          <w:rFonts w:ascii="Helvetica" w:eastAsia="Helvetica" w:hAnsi="Helvetica" w:cs="Helvetica"/>
        </w:rPr>
        <w:t>“</w:t>
      </w:r>
      <w:r w:rsidRPr="00572503">
        <w:rPr>
          <w:rFonts w:eastAsia="Helvetica"/>
        </w:rPr>
        <w:t>On the Causes and Consequences of and Remedies for Interstate Malapportionment of the U.S. House of Representatives</w:t>
      </w:r>
      <w:r w:rsidRPr="00001F89">
        <w:rPr>
          <w:rFonts w:ascii="Helvetica" w:eastAsia="Helvetica" w:hAnsi="Helvetica" w:cs="Helvetica"/>
        </w:rPr>
        <w:t xml:space="preserve">. </w:t>
      </w:r>
      <w:r w:rsidRPr="00572503">
        <w:t>Perspectives on Politics</w:t>
      </w:r>
      <w:r w:rsidRPr="00001F89">
        <w:t xml:space="preserve"> 6:1: 89-107.</w:t>
      </w:r>
    </w:p>
    <w:p w14:paraId="179F0BD4" w14:textId="77777777" w:rsidR="00216A8D" w:rsidRPr="00001F89" w:rsidRDefault="00216A8D" w:rsidP="00572503">
      <w:pPr>
        <w:pStyle w:val="Bib"/>
      </w:pPr>
      <w:r w:rsidRPr="00001F89">
        <w:t xml:space="preserve">Loosemore, John, and Vincent Hanby. 1971. </w:t>
      </w:r>
      <w:r w:rsidRPr="00001F89">
        <w:rPr>
          <w:rFonts w:ascii="Helvetica" w:eastAsia="Helvetica" w:hAnsi="Helvetica" w:cs="Helvetica"/>
        </w:rPr>
        <w:t>“</w:t>
      </w:r>
      <w:r w:rsidRPr="00572503">
        <w:rPr>
          <w:rFonts w:eastAsia="Helvetica"/>
        </w:rPr>
        <w:t>The Theoretical Limits of Maximum Distortion: Some Analytic Expressions for Electoral Systems</w:t>
      </w:r>
      <w:r w:rsidRPr="00001F89">
        <w:rPr>
          <w:rFonts w:ascii="Helvetica" w:eastAsia="Helvetica" w:hAnsi="Helvetica" w:cs="Helvetica"/>
        </w:rPr>
        <w:t xml:space="preserve">.” </w:t>
      </w:r>
      <w:r w:rsidRPr="00572503">
        <w:t xml:space="preserve">British Journal of Political Science </w:t>
      </w:r>
      <w:r w:rsidRPr="00001F89">
        <w:t>1: 467-477.</w:t>
      </w:r>
    </w:p>
    <w:p w14:paraId="4B957FBC" w14:textId="6E642624" w:rsidR="00216A8D" w:rsidRPr="00001F89" w:rsidRDefault="00216A8D" w:rsidP="00572503">
      <w:pPr>
        <w:pStyle w:val="Bib"/>
      </w:pPr>
      <w:r w:rsidRPr="00001F89">
        <w:t xml:space="preserve">Monroe, Burt L. </w:t>
      </w:r>
      <w:r w:rsidR="00BB24AD">
        <w:t>1</w:t>
      </w:r>
      <w:r w:rsidRPr="00001F89">
        <w:t xml:space="preserve">994. </w:t>
      </w:r>
      <w:r w:rsidRPr="00001F89">
        <w:rPr>
          <w:rFonts w:ascii="Helvetica" w:eastAsia="Helvetica" w:hAnsi="Helvetica" w:cs="Helvetica"/>
        </w:rPr>
        <w:t>“</w:t>
      </w:r>
      <w:r w:rsidRPr="00572503">
        <w:rPr>
          <w:rFonts w:eastAsia="Helvetica"/>
        </w:rPr>
        <w:t>Disproportionality and Malapportionment: Measuring Electoral Inequity</w:t>
      </w:r>
      <w:r w:rsidRPr="00001F89">
        <w:rPr>
          <w:rFonts w:ascii="Helvetica" w:eastAsia="Helvetica" w:hAnsi="Helvetica" w:cs="Helvetica"/>
        </w:rPr>
        <w:t xml:space="preserve">.” </w:t>
      </w:r>
      <w:r w:rsidRPr="00572503">
        <w:t>Electoral Studies</w:t>
      </w:r>
      <w:r w:rsidRPr="00001F89">
        <w:t xml:space="preserve"> 13, 132</w:t>
      </w:r>
      <w:r w:rsidRPr="00001F89">
        <w:rPr>
          <w:rFonts w:ascii="Helvetica" w:eastAsia="Helvetica" w:hAnsi="Helvetica" w:cs="Helvetica"/>
        </w:rPr>
        <w:t>–</w:t>
      </w:r>
      <w:r w:rsidRPr="00BB24AD">
        <w:rPr>
          <w:rFonts w:eastAsia="Helvetica"/>
        </w:rPr>
        <w:t>49.</w:t>
      </w:r>
    </w:p>
    <w:p w14:paraId="41522038" w14:textId="77777777" w:rsidR="00216A8D" w:rsidRPr="00001F89" w:rsidRDefault="00216A8D" w:rsidP="00572503">
      <w:pPr>
        <w:pStyle w:val="Bib"/>
      </w:pPr>
      <w:proofErr w:type="spellStart"/>
      <w:r w:rsidRPr="00001F89">
        <w:t>Neubauer</w:t>
      </w:r>
      <w:proofErr w:type="spellEnd"/>
      <w:r w:rsidRPr="00001F89">
        <w:t xml:space="preserve">, M.G and J. Zeitlin. 2003. </w:t>
      </w:r>
      <w:r w:rsidRPr="00001F89">
        <w:rPr>
          <w:rFonts w:ascii="Helvetica" w:eastAsia="Helvetica" w:hAnsi="Helvetica" w:cs="Helvetica"/>
        </w:rPr>
        <w:t>“</w:t>
      </w:r>
      <w:r w:rsidRPr="00572503">
        <w:rPr>
          <w:rFonts w:eastAsia="Helvetica"/>
        </w:rPr>
        <w:t>Outcomes of Presidential Elections and the House Size</w:t>
      </w:r>
      <w:r w:rsidRPr="00001F89">
        <w:rPr>
          <w:rFonts w:ascii="Helvetica" w:eastAsia="Helvetica" w:hAnsi="Helvetica" w:cs="Helvetica"/>
        </w:rPr>
        <w:t xml:space="preserve">.”  </w:t>
      </w:r>
      <w:r w:rsidRPr="00572503">
        <w:t>PS</w:t>
      </w:r>
      <w:r w:rsidRPr="00001F89">
        <w:t xml:space="preserve">  36 (4): 721</w:t>
      </w:r>
      <w:r w:rsidRPr="00001F89">
        <w:rPr>
          <w:rFonts w:ascii="Helvetica" w:eastAsia="Helvetica" w:hAnsi="Helvetica" w:cs="Helvetica"/>
        </w:rPr>
        <w:t>–</w:t>
      </w:r>
      <w:r w:rsidRPr="00BB24AD">
        <w:rPr>
          <w:rFonts w:eastAsia="Helvetica"/>
        </w:rPr>
        <w:t>725</w:t>
      </w:r>
      <w:r w:rsidRPr="00001F89">
        <w:rPr>
          <w:rFonts w:ascii="Helvetica" w:eastAsia="Helvetica" w:hAnsi="Helvetica" w:cs="Helvetica"/>
        </w:rPr>
        <w:t>.</w:t>
      </w:r>
    </w:p>
    <w:p w14:paraId="06AAE4C8" w14:textId="511BA290" w:rsidR="005F4B88" w:rsidRPr="00001F89" w:rsidRDefault="005F4B88" w:rsidP="00572503">
      <w:pPr>
        <w:pStyle w:val="Bib"/>
      </w:pPr>
      <w:r w:rsidRPr="00FA3756">
        <w:lastRenderedPageBreak/>
        <w:t>Pattie, Charles, &amp; Ron Johns</w:t>
      </w:r>
      <w:r w:rsidR="00D870B7">
        <w:t>t</w:t>
      </w:r>
      <w:r w:rsidRPr="00FA3756">
        <w:t xml:space="preserve">on. 2014. </w:t>
      </w:r>
      <w:r w:rsidRPr="00572503">
        <w:rPr>
          <w:rFonts w:ascii="Helvetica" w:eastAsia="Helvetica" w:hAnsi="Helvetica" w:cs="Helvetica"/>
        </w:rPr>
        <w:t>“</w:t>
      </w:r>
      <w:r w:rsidRPr="00001F89">
        <w:t xml:space="preserve">The </w:t>
      </w:r>
      <w:r w:rsidR="00D870B7">
        <w:t>E</w:t>
      </w:r>
      <w:r w:rsidRPr="00001F89">
        <w:t xml:space="preserve">lectors </w:t>
      </w:r>
      <w:r w:rsidR="00D870B7">
        <w:t>S</w:t>
      </w:r>
      <w:r w:rsidRPr="00001F89">
        <w:t xml:space="preserve">hall </w:t>
      </w:r>
      <w:r w:rsidR="00D870B7">
        <w:t>M</w:t>
      </w:r>
      <w:r w:rsidRPr="00001F89">
        <w:t xml:space="preserve">eet in </w:t>
      </w:r>
      <w:r w:rsidR="00D870B7">
        <w:t>T</w:t>
      </w:r>
      <w:r w:rsidRPr="00001F89">
        <w:t xml:space="preserve">heir </w:t>
      </w:r>
      <w:r w:rsidR="00D870B7">
        <w:t>R</w:t>
      </w:r>
      <w:r w:rsidRPr="00001F89">
        <w:t xml:space="preserve">espective </w:t>
      </w:r>
      <w:r w:rsidR="00D870B7">
        <w:t>S</w:t>
      </w:r>
      <w:r w:rsidRPr="00001F89">
        <w:t>tates</w:t>
      </w:r>
      <w:r w:rsidRPr="00572503">
        <w:rPr>
          <w:rFonts w:ascii="Helvetica" w:eastAsia="Helvetica" w:hAnsi="Helvetica" w:cs="Helvetica"/>
        </w:rPr>
        <w:t>”</w:t>
      </w:r>
      <w:r w:rsidRPr="00001F89">
        <w:t>: Bias and the US Presidential Electoral College, 1960</w:t>
      </w:r>
      <w:r w:rsidRPr="00572503">
        <w:t>-</w:t>
      </w:r>
      <w:r w:rsidRPr="00001F89">
        <w:t>2012</w:t>
      </w:r>
      <w:r w:rsidRPr="00FA3756">
        <w:rPr>
          <w:rFonts w:ascii="Helvetica" w:eastAsia="Helvetica" w:hAnsi="Helvetica" w:cs="Helvetica"/>
        </w:rPr>
        <w:t>”</w:t>
      </w:r>
      <w:r w:rsidRPr="00001F89">
        <w:t xml:space="preserve">. </w:t>
      </w:r>
      <w:r w:rsidRPr="00572503">
        <w:t xml:space="preserve">Political Geography, </w:t>
      </w:r>
      <w:r w:rsidRPr="00001F89">
        <w:t>40, 34-45.</w:t>
      </w:r>
    </w:p>
    <w:p w14:paraId="6517775D" w14:textId="77777777" w:rsidR="00E70DE7" w:rsidRDefault="00E70DE7" w:rsidP="00572503">
      <w:pPr>
        <w:pStyle w:val="Bib"/>
        <w:rPr>
          <w:rFonts w:eastAsia="Helvetica"/>
        </w:rPr>
      </w:pPr>
      <w:r w:rsidRPr="00001F89">
        <w:t xml:space="preserve">Riggs, </w:t>
      </w:r>
      <w:r w:rsidRPr="00FA3756">
        <w:t xml:space="preserve">Jack E., Gerald R. Hobbs, and Todd H Riggs. 2009. </w:t>
      </w:r>
      <w:r w:rsidRPr="00FA3756">
        <w:rPr>
          <w:rFonts w:ascii="Helvetica" w:eastAsia="Helvetica" w:hAnsi="Helvetica" w:cs="Helvetica"/>
        </w:rPr>
        <w:t>“</w:t>
      </w:r>
      <w:r w:rsidRPr="00001F89">
        <w:t>Electoral College Winner</w:t>
      </w:r>
      <w:r w:rsidRPr="00FA3756">
        <w:rPr>
          <w:rFonts w:ascii="Helvetica" w:eastAsia="Helvetica" w:hAnsi="Helvetica" w:cs="Helvetica"/>
        </w:rPr>
        <w:t>’</w:t>
      </w:r>
      <w:r w:rsidRPr="00001F89">
        <w:t>s Advantage</w:t>
      </w:r>
      <w:r w:rsidRPr="00572503">
        <w:rPr>
          <w:rFonts w:eastAsia="Helvetica"/>
        </w:rPr>
        <w:t>.</w:t>
      </w:r>
      <w:r w:rsidRPr="00FA3756">
        <w:rPr>
          <w:rFonts w:ascii="Helvetica" w:eastAsia="Helvetica" w:hAnsi="Helvetica" w:cs="Helvetica"/>
        </w:rPr>
        <w:t>”</w:t>
      </w:r>
      <w:r w:rsidRPr="00572503">
        <w:rPr>
          <w:rFonts w:eastAsia="Helvetica"/>
        </w:rPr>
        <w:t xml:space="preserve"> PS: Political Science and Politics, 42(2), 353-357.</w:t>
      </w:r>
    </w:p>
    <w:p w14:paraId="6B7CFEB2" w14:textId="23F62DB7" w:rsidR="00F61D9E" w:rsidRDefault="00F61D9E" w:rsidP="00F61D9E">
      <w:pPr>
        <w:pStyle w:val="Bib"/>
        <w:rPr>
          <w:rFonts w:eastAsia="Helvetica"/>
        </w:rPr>
      </w:pPr>
      <w:r>
        <w:rPr>
          <w:rFonts w:eastAsia="Helvetica"/>
        </w:rPr>
        <w:t xml:space="preserve">Ross, Tara. 2012. </w:t>
      </w:r>
      <w:r w:rsidRPr="00C46DEA">
        <w:rPr>
          <w:rFonts w:eastAsia="Helvetica"/>
        </w:rPr>
        <w:t xml:space="preserve">Enlightened Democracy: The </w:t>
      </w:r>
      <w:r w:rsidR="00D870B7">
        <w:rPr>
          <w:rFonts w:eastAsia="Helvetica"/>
        </w:rPr>
        <w:t>C</w:t>
      </w:r>
      <w:r w:rsidRPr="00C46DEA">
        <w:rPr>
          <w:rFonts w:eastAsia="Helvetica"/>
        </w:rPr>
        <w:t>ase for the Electoral College.</w:t>
      </w:r>
      <w:r>
        <w:rPr>
          <w:rFonts w:eastAsia="Helvetica"/>
        </w:rPr>
        <w:t xml:space="preserve"> Colonial Press L.P.</w:t>
      </w:r>
    </w:p>
    <w:p w14:paraId="7846D244" w14:textId="7C8CD4B8" w:rsidR="00C46DEA" w:rsidRPr="00D870B7" w:rsidRDefault="00783562" w:rsidP="00D870B7">
      <w:pPr>
        <w:pStyle w:val="HTMLPreformatted"/>
        <w:tabs>
          <w:tab w:val="left" w:pos="4860"/>
        </w:tabs>
        <w:spacing w:line="480" w:lineRule="auto"/>
        <w:ind w:left="720" w:hanging="720"/>
        <w:rPr>
          <w:rFonts w:ascii="Times New Roman" w:hAnsi="Times New Roman"/>
          <w:bCs/>
          <w:sz w:val="24"/>
          <w:szCs w:val="24"/>
        </w:rPr>
      </w:pPr>
      <w:proofErr w:type="spellStart"/>
      <w:r w:rsidRPr="00D870B7">
        <w:rPr>
          <w:rFonts w:ascii="Times New Roman" w:hAnsi="Times New Roman"/>
          <w:bCs/>
          <w:sz w:val="24"/>
          <w:szCs w:val="24"/>
        </w:rPr>
        <w:t>Sauger</w:t>
      </w:r>
      <w:proofErr w:type="spellEnd"/>
      <w:r w:rsidRPr="00D870B7">
        <w:rPr>
          <w:rFonts w:ascii="Times New Roman" w:hAnsi="Times New Roman"/>
          <w:bCs/>
          <w:sz w:val="24"/>
          <w:szCs w:val="24"/>
        </w:rPr>
        <w:t xml:space="preserve">, Nicolas and Bernard Grofman. 2016. </w:t>
      </w:r>
      <w:r w:rsidR="00D870B7" w:rsidRPr="00D870B7">
        <w:rPr>
          <w:rFonts w:ascii="Times New Roman" w:hAnsi="Times New Roman"/>
          <w:bCs/>
          <w:sz w:val="24"/>
          <w:szCs w:val="24"/>
        </w:rPr>
        <w:t>“</w:t>
      </w:r>
      <w:r w:rsidRPr="00D870B7">
        <w:rPr>
          <w:rFonts w:ascii="Times New Roman" w:hAnsi="Times New Roman"/>
          <w:bCs/>
          <w:sz w:val="24"/>
          <w:szCs w:val="24"/>
        </w:rPr>
        <w:t>Partisan bias and redistricting in France.</w:t>
      </w:r>
      <w:r w:rsidR="00D870B7" w:rsidRPr="00D870B7">
        <w:rPr>
          <w:rFonts w:ascii="Times New Roman" w:hAnsi="Times New Roman"/>
          <w:bCs/>
          <w:sz w:val="24"/>
          <w:szCs w:val="24"/>
        </w:rPr>
        <w:t>”</w:t>
      </w:r>
      <w:r w:rsidRPr="00D870B7">
        <w:rPr>
          <w:rFonts w:ascii="Times New Roman" w:hAnsi="Times New Roman"/>
          <w:bCs/>
          <w:sz w:val="24"/>
          <w:szCs w:val="24"/>
        </w:rPr>
        <w:t xml:space="preserve"> Electoral Studies 44: 388-396.</w:t>
      </w:r>
    </w:p>
    <w:p w14:paraId="504B1927" w14:textId="77777777" w:rsidR="00EB4B93" w:rsidRPr="00001F89" w:rsidRDefault="00D03D2E" w:rsidP="00572503">
      <w:pPr>
        <w:pStyle w:val="Bib"/>
      </w:pPr>
      <w:r w:rsidRPr="00001F89">
        <w:t>Samuels</w:t>
      </w:r>
      <w:r w:rsidR="00305A3F" w:rsidRPr="00001F89">
        <w:t>, David</w:t>
      </w:r>
      <w:r w:rsidRPr="00001F89">
        <w:t xml:space="preserve"> </w:t>
      </w:r>
      <w:r w:rsidR="00305A3F" w:rsidRPr="00001F89">
        <w:t>&amp;</w:t>
      </w:r>
      <w:r w:rsidRPr="00FA3756">
        <w:t xml:space="preserve"> Richard Snyder. 2001. </w:t>
      </w:r>
      <w:r w:rsidRPr="00FA3756">
        <w:rPr>
          <w:rFonts w:ascii="Helvetica" w:eastAsia="Helvetica" w:hAnsi="Helvetica" w:cs="Helvetica"/>
        </w:rPr>
        <w:t>“</w:t>
      </w:r>
      <w:r w:rsidRPr="00001F89">
        <w:t>The Value of a Vote: Malapportionment in Comparative Perspective.</w:t>
      </w:r>
      <w:r w:rsidRPr="00FA3756">
        <w:rPr>
          <w:rFonts w:ascii="Helvetica" w:eastAsia="Helvetica" w:hAnsi="Helvetica" w:cs="Helvetica"/>
        </w:rPr>
        <w:t>”</w:t>
      </w:r>
      <w:r w:rsidRPr="00001F89">
        <w:t xml:space="preserve"> </w:t>
      </w:r>
      <w:r w:rsidRPr="00572503">
        <w:t>British Journal of Political Science</w:t>
      </w:r>
      <w:r w:rsidRPr="00001F89">
        <w:t>, Vol. 31, No. 4, pp. 651-671.</w:t>
      </w:r>
    </w:p>
    <w:p w14:paraId="6C10DC5C" w14:textId="77777777" w:rsidR="00216A8D" w:rsidRPr="00001F89" w:rsidRDefault="00216A8D" w:rsidP="00572503">
      <w:pPr>
        <w:pStyle w:val="Bib"/>
      </w:pPr>
      <w:r w:rsidRPr="00FA3756">
        <w:t>Taagepera, Rein and Bernard Grofman.  2003. Mapping the Indices of Seats-Votes Disproportionality and Inter-election Volatility.</w:t>
      </w:r>
      <w:r w:rsidRPr="00572503">
        <w:rPr>
          <w:rFonts w:ascii="Helvetica" w:eastAsia="Helvetica" w:hAnsi="Helvetica" w:cs="Helvetica"/>
        </w:rPr>
        <w:t xml:space="preserve">”  </w:t>
      </w:r>
      <w:r w:rsidRPr="00572503">
        <w:t>Party Politics</w:t>
      </w:r>
      <w:r w:rsidRPr="00001F89">
        <w:t>, 9(6):659-677.</w:t>
      </w:r>
    </w:p>
    <w:p w14:paraId="5DE2A48A" w14:textId="381E804D" w:rsidR="00A00C3A" w:rsidRPr="00001F89" w:rsidRDefault="005C65C3" w:rsidP="00572503">
      <w:pPr>
        <w:pStyle w:val="Bib"/>
      </w:pPr>
      <w:r>
        <w:t>Shuga</w:t>
      </w:r>
      <w:r w:rsidR="00A00C3A" w:rsidRPr="00001F89">
        <w:t>rt</w:t>
      </w:r>
      <w:r w:rsidR="008003AF" w:rsidRPr="00001F89">
        <w:t xml:space="preserve">, </w:t>
      </w:r>
      <w:r w:rsidR="008003AF" w:rsidRPr="00FA3756">
        <w:t>Matthew S. &amp; Rein Taagepera</w:t>
      </w:r>
      <w:r w:rsidR="00ED5DB3" w:rsidRPr="0000263E">
        <w:t>.</w:t>
      </w:r>
      <w:r w:rsidR="00A00C3A" w:rsidRPr="008F4508">
        <w:t xml:space="preserve"> 2017</w:t>
      </w:r>
      <w:r w:rsidR="00ED5DB3" w:rsidRPr="00646BC1">
        <w:t>.</w:t>
      </w:r>
      <w:r w:rsidR="00ED5DB3" w:rsidRPr="004B6A55">
        <w:t xml:space="preserve"> </w:t>
      </w:r>
      <w:r w:rsidR="00ED5DB3" w:rsidRPr="00572503">
        <w:rPr>
          <w:rFonts w:eastAsia="Helvetica"/>
        </w:rPr>
        <w:t>Votes from Seats</w:t>
      </w:r>
      <w:r w:rsidR="008003AF" w:rsidRPr="00572503">
        <w:rPr>
          <w:rFonts w:eastAsia="Helvetica"/>
        </w:rPr>
        <w:t xml:space="preserve">: </w:t>
      </w:r>
      <w:r w:rsidR="00D870B7">
        <w:rPr>
          <w:rFonts w:eastAsia="Helvetica"/>
        </w:rPr>
        <w:t>L</w:t>
      </w:r>
      <w:r w:rsidR="008003AF" w:rsidRPr="00572503">
        <w:rPr>
          <w:rFonts w:eastAsia="Helvetica"/>
        </w:rPr>
        <w:t xml:space="preserve">ogical </w:t>
      </w:r>
      <w:r w:rsidR="00D870B7">
        <w:rPr>
          <w:rFonts w:eastAsia="Helvetica"/>
        </w:rPr>
        <w:t>M</w:t>
      </w:r>
      <w:r w:rsidR="008003AF" w:rsidRPr="00572503">
        <w:rPr>
          <w:rFonts w:eastAsia="Helvetica"/>
        </w:rPr>
        <w:t xml:space="preserve">odels of </w:t>
      </w:r>
      <w:r w:rsidR="00D870B7">
        <w:rPr>
          <w:rFonts w:eastAsia="Helvetica"/>
        </w:rPr>
        <w:t>E</w:t>
      </w:r>
      <w:r w:rsidR="008003AF" w:rsidRPr="00572503">
        <w:rPr>
          <w:rFonts w:eastAsia="Helvetica"/>
        </w:rPr>
        <w:t xml:space="preserve">lectoral </w:t>
      </w:r>
      <w:r w:rsidR="00D870B7">
        <w:rPr>
          <w:rFonts w:eastAsia="Helvetica"/>
        </w:rPr>
        <w:t>S</w:t>
      </w:r>
      <w:r w:rsidR="008003AF" w:rsidRPr="00572503">
        <w:rPr>
          <w:rFonts w:eastAsia="Helvetica"/>
        </w:rPr>
        <w:t>ystems</w:t>
      </w:r>
      <w:r w:rsidR="00ED5DB3" w:rsidRPr="00572503">
        <w:rPr>
          <w:rFonts w:eastAsia="Helvetica"/>
        </w:rPr>
        <w:t>. Cambridge University Press.</w:t>
      </w:r>
    </w:p>
    <w:p w14:paraId="5ACF2A5B" w14:textId="77777777" w:rsidR="00893694" w:rsidRPr="00572503" w:rsidRDefault="00893694" w:rsidP="00572503">
      <w:pPr>
        <w:pStyle w:val="Bib"/>
      </w:pPr>
      <w:r w:rsidRPr="00572503">
        <w:t>Taagepera</w:t>
      </w:r>
      <w:r w:rsidR="008003AF" w:rsidRPr="00572503">
        <w:t>, Rein</w:t>
      </w:r>
      <w:r w:rsidRPr="00572503">
        <w:t xml:space="preserve"> </w:t>
      </w:r>
      <w:r w:rsidR="00305A3F" w:rsidRPr="00572503">
        <w:t>&amp;</w:t>
      </w:r>
      <w:r w:rsidRPr="00572503">
        <w:t xml:space="preserve"> </w:t>
      </w:r>
      <w:r w:rsidR="008003AF" w:rsidRPr="00572503">
        <w:t>Matthew S</w:t>
      </w:r>
      <w:r w:rsidR="00A81D69" w:rsidRPr="00572503">
        <w:t>.</w:t>
      </w:r>
      <w:r w:rsidR="008003AF" w:rsidRPr="00572503">
        <w:t xml:space="preserve"> </w:t>
      </w:r>
      <w:r w:rsidRPr="00572503">
        <w:t>Shugart. 1989. Seats and Votes: The Effects and Determinants of Electoral Systems. Yale University Press.</w:t>
      </w:r>
    </w:p>
    <w:p w14:paraId="5898D84C" w14:textId="35ED49EB" w:rsidR="00F46499" w:rsidRPr="00001F89" w:rsidRDefault="00F46499" w:rsidP="00572503">
      <w:pPr>
        <w:pStyle w:val="Bib"/>
      </w:pPr>
    </w:p>
    <w:sectPr w:rsidR="00F46499" w:rsidRPr="00001F89" w:rsidSect="00F50A40">
      <w:headerReference w:type="even" r:id="rId13"/>
      <w:headerReference w:type="default" r:id="rId14"/>
      <w:footerReference w:type="even" r:id="rId15"/>
      <w:footerReference w:type="default" r:id="rId16"/>
      <w:headerReference w:type="first" r:id="rId17"/>
      <w:footerReference w:type="first" r:id="rId18"/>
      <w:pgSz w:w="12240" w:h="15840"/>
      <w:pgMar w:top="720" w:right="81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DBDC5" w14:textId="77777777" w:rsidR="002378A0" w:rsidRDefault="002378A0" w:rsidP="00C2751E">
      <w:pPr>
        <w:spacing w:after="0" w:line="240" w:lineRule="auto"/>
      </w:pPr>
      <w:r>
        <w:separator/>
      </w:r>
    </w:p>
  </w:endnote>
  <w:endnote w:type="continuationSeparator" w:id="0">
    <w:p w14:paraId="4E563FEF" w14:textId="77777777" w:rsidR="002378A0" w:rsidRDefault="002378A0" w:rsidP="00C27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1FB38" w14:textId="77777777" w:rsidR="002A27B8" w:rsidRDefault="002A27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ABA24" w14:textId="193819C7" w:rsidR="002A27B8" w:rsidRDefault="002A27B8">
    <w:pPr>
      <w:pStyle w:val="Footer"/>
      <w:jc w:val="center"/>
    </w:pPr>
    <w:r>
      <w:fldChar w:fldCharType="begin"/>
    </w:r>
    <w:r>
      <w:instrText xml:space="preserve"> PAGE   \* MERGEFORMAT </w:instrText>
    </w:r>
    <w:r>
      <w:fldChar w:fldCharType="separate"/>
    </w:r>
    <w:r w:rsidR="00D73A4A">
      <w:rPr>
        <w:noProof/>
      </w:rPr>
      <w:t>6</w:t>
    </w:r>
    <w:r>
      <w:rPr>
        <w:noProof/>
      </w:rPr>
      <w:fldChar w:fldCharType="end"/>
    </w:r>
  </w:p>
  <w:p w14:paraId="3A83E97F" w14:textId="77777777" w:rsidR="002A27B8" w:rsidRDefault="002A27B8">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66C88" w14:textId="77777777" w:rsidR="002A27B8" w:rsidRDefault="002A27B8">
    <w:pPr>
      <w:pStyle w:val="Footer"/>
    </w:pPr>
  </w:p>
  <w:p w14:paraId="27BE5707" w14:textId="77777777" w:rsidR="002A27B8" w:rsidRPr="00873025" w:rsidRDefault="002A27B8" w:rsidP="00873025">
    <w:pPr>
      <w:spacing w:line="240" w:lineRule="auto"/>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36E4F" w14:textId="77777777" w:rsidR="002378A0" w:rsidRDefault="002378A0" w:rsidP="00C2751E">
      <w:pPr>
        <w:spacing w:after="0" w:line="240" w:lineRule="auto"/>
      </w:pPr>
      <w:r>
        <w:separator/>
      </w:r>
    </w:p>
  </w:footnote>
  <w:footnote w:type="continuationSeparator" w:id="0">
    <w:p w14:paraId="155E2E41" w14:textId="77777777" w:rsidR="002378A0" w:rsidRDefault="002378A0" w:rsidP="00C2751E">
      <w:pPr>
        <w:spacing w:after="0" w:line="240" w:lineRule="auto"/>
      </w:pPr>
      <w:r>
        <w:continuationSeparator/>
      </w:r>
    </w:p>
  </w:footnote>
  <w:footnote w:id="1">
    <w:p w14:paraId="36C0DA09" w14:textId="20A30D33" w:rsidR="002A27B8" w:rsidRPr="007A070E" w:rsidRDefault="002A27B8">
      <w:pPr>
        <w:pStyle w:val="FootnoteText"/>
        <w:rPr>
          <w:rFonts w:ascii="Times New Roman" w:hAnsi="Times New Roman"/>
        </w:rPr>
      </w:pPr>
      <w:r>
        <w:rPr>
          <w:rStyle w:val="FootnoteReference"/>
        </w:rPr>
        <w:footnoteRef/>
      </w:r>
      <w:r w:rsidRPr="007A070E">
        <w:rPr>
          <w:rFonts w:ascii="Times New Roman" w:hAnsi="Times New Roman"/>
        </w:rPr>
        <w:t xml:space="preserve"> For example, Dahl (1971) regards the one person, one vote principle as a necessary component of democratic governance, </w:t>
      </w:r>
      <w:proofErr w:type="gramStart"/>
      <w:r w:rsidRPr="007A070E">
        <w:rPr>
          <w:rFonts w:ascii="Times New Roman" w:hAnsi="Times New Roman"/>
        </w:rPr>
        <w:t>and  Taagepera</w:t>
      </w:r>
      <w:proofErr w:type="gramEnd"/>
      <w:r w:rsidRPr="007A070E">
        <w:rPr>
          <w:rFonts w:ascii="Times New Roman" w:hAnsi="Times New Roman"/>
        </w:rPr>
        <w:t xml:space="preserve"> and Shugart (1989)  consider malapportionment as a pathology.</w:t>
      </w:r>
    </w:p>
    <w:p w14:paraId="2B5084D8" w14:textId="77777777" w:rsidR="002A27B8" w:rsidRPr="007A070E" w:rsidRDefault="002A27B8">
      <w:pPr>
        <w:pStyle w:val="FootnoteText"/>
        <w:rPr>
          <w:rFonts w:ascii="Times New Roman" w:hAnsi="Times New Roman"/>
        </w:rPr>
      </w:pPr>
    </w:p>
  </w:footnote>
  <w:footnote w:id="2">
    <w:p w14:paraId="74806230" w14:textId="1FE7E9D4" w:rsidR="002A27B8" w:rsidRPr="007A070E" w:rsidRDefault="002A27B8" w:rsidP="005D009E">
      <w:pPr>
        <w:pStyle w:val="FootnoteText"/>
        <w:rPr>
          <w:rFonts w:ascii="Times New Roman" w:hAnsi="Times New Roman"/>
          <w:b/>
        </w:rPr>
      </w:pPr>
      <w:r w:rsidRPr="007A070E">
        <w:rPr>
          <w:rStyle w:val="FootnoteReference"/>
          <w:rFonts w:ascii="Times New Roman" w:hAnsi="Times New Roman"/>
        </w:rPr>
        <w:footnoteRef/>
      </w:r>
      <w:r w:rsidRPr="007A070E">
        <w:rPr>
          <w:rFonts w:ascii="Times New Roman" w:hAnsi="Times New Roman"/>
        </w:rPr>
        <w:t xml:space="preserve"> </w:t>
      </w:r>
      <w:r w:rsidRPr="007A070E">
        <w:rPr>
          <w:rFonts w:ascii="Times New Roman" w:hAnsi="Times New Roman"/>
          <w:b/>
        </w:rPr>
        <w:t>Samuels (2001: 653) reviewing a number of single country studies</w:t>
      </w:r>
      <w:r w:rsidR="007A070E" w:rsidRPr="007A070E">
        <w:rPr>
          <w:rFonts w:ascii="Times New Roman" w:hAnsi="Times New Roman"/>
          <w:b/>
        </w:rPr>
        <w:t>,</w:t>
      </w:r>
      <w:r w:rsidRPr="007A070E">
        <w:rPr>
          <w:rFonts w:ascii="Times New Roman" w:hAnsi="Times New Roman"/>
          <w:b/>
        </w:rPr>
        <w:t xml:space="preserve"> concludes “malapportionment can have an important impact on executive-legislative relations, intra-legislative bargaining and the overall performance of democratic systems.”</w:t>
      </w:r>
    </w:p>
    <w:p w14:paraId="4254BA27" w14:textId="77777777" w:rsidR="002A27B8" w:rsidRPr="007A070E" w:rsidRDefault="002A27B8" w:rsidP="005D009E">
      <w:pPr>
        <w:pStyle w:val="FootnoteText"/>
        <w:rPr>
          <w:rFonts w:ascii="Times New Roman" w:hAnsi="Times New Roman"/>
          <w:b/>
        </w:rPr>
      </w:pPr>
    </w:p>
  </w:footnote>
  <w:footnote w:id="3">
    <w:p w14:paraId="5096D40F" w14:textId="69BC91F9" w:rsidR="00D870B7" w:rsidRPr="00D870B7" w:rsidRDefault="00D870B7" w:rsidP="00D870B7">
      <w:pPr>
        <w:pStyle w:val="FootnoteText"/>
        <w:rPr>
          <w:rFonts w:ascii="Times New Roman" w:hAnsi="Times New Roman"/>
        </w:rPr>
      </w:pPr>
      <w:r w:rsidRPr="00D870B7">
        <w:rPr>
          <w:rStyle w:val="FootnoteReference"/>
          <w:rFonts w:ascii="Times New Roman" w:hAnsi="Times New Roman"/>
        </w:rPr>
        <w:footnoteRef/>
      </w:r>
      <w:r w:rsidRPr="00D870B7">
        <w:rPr>
          <w:rFonts w:ascii="Times New Roman" w:hAnsi="Times New Roman"/>
          <w:b/>
        </w:rPr>
        <w:t xml:space="preserve"> Addressing the partisan consequences of malapportionment in the Senate or in the Electoral College, or its past consequences for the U.S. House of Representatives is outside the scope of this research note.</w:t>
      </w:r>
    </w:p>
  </w:footnote>
  <w:footnote w:id="4">
    <w:p w14:paraId="632F15AC" w14:textId="43CBA0CF" w:rsidR="002A27B8" w:rsidRPr="007A070E" w:rsidRDefault="002A27B8">
      <w:pPr>
        <w:pStyle w:val="FootnoteText"/>
        <w:rPr>
          <w:rFonts w:ascii="Times New Roman" w:hAnsi="Times New Roman"/>
          <w:b/>
        </w:rPr>
      </w:pPr>
      <w:r w:rsidRPr="009C2EBE">
        <w:rPr>
          <w:rStyle w:val="FootnoteReference"/>
          <w:b/>
        </w:rPr>
        <w:footnoteRef/>
      </w:r>
      <w:r w:rsidRPr="009C2EBE">
        <w:rPr>
          <w:b/>
        </w:rPr>
        <w:t xml:space="preserve"> </w:t>
      </w:r>
      <w:r w:rsidRPr="007A070E">
        <w:rPr>
          <w:rFonts w:ascii="Times New Roman" w:hAnsi="Times New Roman"/>
          <w:b/>
        </w:rPr>
        <w:t>Sometimes this fraction is divided by two in order to indicate that only a majority of the votes in each constituency are needed to control the outcome in that constituency, but we prefer not to introduce that further complication.</w:t>
      </w:r>
    </w:p>
    <w:p w14:paraId="4E02282A" w14:textId="77777777" w:rsidR="002A27B8" w:rsidRPr="007A070E" w:rsidRDefault="002A27B8">
      <w:pPr>
        <w:pStyle w:val="FootnoteText"/>
        <w:rPr>
          <w:rFonts w:ascii="Times New Roman" w:hAnsi="Times New Roman"/>
        </w:rPr>
      </w:pPr>
    </w:p>
  </w:footnote>
  <w:footnote w:id="5">
    <w:p w14:paraId="5BC978A4" w14:textId="048E4D04" w:rsidR="002A27B8" w:rsidRPr="007A070E" w:rsidRDefault="002A27B8" w:rsidP="00470DC5">
      <w:pPr>
        <w:pStyle w:val="FootnoteText"/>
        <w:rPr>
          <w:rFonts w:ascii="Times New Roman" w:hAnsi="Times New Roman"/>
          <w:b/>
        </w:rPr>
      </w:pPr>
      <w:r w:rsidRPr="007A070E">
        <w:rPr>
          <w:rStyle w:val="FootnoteReference"/>
          <w:rFonts w:ascii="Times New Roman" w:hAnsi="Times New Roman"/>
        </w:rPr>
        <w:footnoteRef/>
      </w:r>
      <w:r w:rsidRPr="007A070E">
        <w:rPr>
          <w:rFonts w:ascii="Times New Roman" w:hAnsi="Times New Roman"/>
        </w:rPr>
        <w:t xml:space="preserve"> </w:t>
      </w:r>
      <w:r w:rsidRPr="007A070E">
        <w:rPr>
          <w:rFonts w:ascii="Times New Roman" w:hAnsi="Times New Roman"/>
          <w:b/>
          <w:color w:val="00B0F0"/>
        </w:rPr>
        <w:t xml:space="preserve">BG add  ref   </w:t>
      </w:r>
      <w:r w:rsidRPr="007A070E">
        <w:rPr>
          <w:rFonts w:ascii="Times New Roman" w:hAnsi="Times New Roman"/>
          <w:b/>
        </w:rPr>
        <w:t>The justification of the higher standard for congressional districting was that it was rooted in Article I defining the role of the House as the repository of the popular principle of representation, while justification for state and local malapportionment standards were found in the Equal Protection clause of the 14</w:t>
      </w:r>
      <w:r w:rsidRPr="007A070E">
        <w:rPr>
          <w:rFonts w:ascii="Times New Roman" w:hAnsi="Times New Roman"/>
          <w:b/>
          <w:vertAlign w:val="superscript"/>
        </w:rPr>
        <w:t>th</w:t>
      </w:r>
      <w:r w:rsidRPr="007A070E">
        <w:rPr>
          <w:rFonts w:ascii="Times New Roman" w:hAnsi="Times New Roman"/>
          <w:b/>
        </w:rPr>
        <w:t xml:space="preserve"> Amendment.</w:t>
      </w:r>
    </w:p>
    <w:p w14:paraId="5B2618BF" w14:textId="77777777" w:rsidR="002A27B8" w:rsidRPr="007A070E" w:rsidRDefault="002A27B8" w:rsidP="00470DC5">
      <w:pPr>
        <w:pStyle w:val="FootnoteText"/>
        <w:rPr>
          <w:rFonts w:ascii="Times New Roman" w:hAnsi="Times New Roman"/>
        </w:rPr>
      </w:pPr>
    </w:p>
  </w:footnote>
  <w:footnote w:id="6">
    <w:p w14:paraId="2040C302" w14:textId="63A99969" w:rsidR="002A27B8" w:rsidRPr="007A070E" w:rsidRDefault="002A27B8" w:rsidP="00470DC5">
      <w:pPr>
        <w:pStyle w:val="FootnoteText"/>
        <w:rPr>
          <w:rFonts w:ascii="Times New Roman" w:hAnsi="Times New Roman"/>
          <w:b/>
        </w:rPr>
      </w:pPr>
      <w:r w:rsidRPr="007A070E">
        <w:rPr>
          <w:rStyle w:val="FootnoteReference"/>
          <w:rFonts w:ascii="Times New Roman" w:hAnsi="Times New Roman"/>
        </w:rPr>
        <w:footnoteRef/>
      </w:r>
      <w:r w:rsidRPr="007A070E">
        <w:rPr>
          <w:rFonts w:ascii="Times New Roman" w:hAnsi="Times New Roman"/>
        </w:rPr>
        <w:t xml:space="preserve"> </w:t>
      </w:r>
      <w:r w:rsidRPr="007A070E">
        <w:rPr>
          <w:rFonts w:ascii="Times New Roman" w:hAnsi="Times New Roman"/>
          <w:b/>
          <w:color w:val="00B0F0"/>
        </w:rPr>
        <w:t xml:space="preserve">BG </w:t>
      </w:r>
      <w:proofErr w:type="gramStart"/>
      <w:r w:rsidRPr="007A070E">
        <w:rPr>
          <w:rFonts w:ascii="Times New Roman" w:hAnsi="Times New Roman"/>
          <w:b/>
          <w:color w:val="00B0F0"/>
        </w:rPr>
        <w:t>add  ref</w:t>
      </w:r>
      <w:proofErr w:type="gramEnd"/>
      <w:r w:rsidRPr="007A070E">
        <w:rPr>
          <w:rFonts w:ascii="Times New Roman" w:hAnsi="Times New Roman"/>
          <w:b/>
          <w:color w:val="00B0F0"/>
        </w:rPr>
        <w:t xml:space="preserve"> .  </w:t>
      </w:r>
      <w:r w:rsidRPr="007A070E">
        <w:rPr>
          <w:rFonts w:ascii="Times New Roman" w:hAnsi="Times New Roman"/>
          <w:b/>
          <w:i/>
        </w:rPr>
        <w:t>Connor v. Finch</w:t>
      </w:r>
      <w:r w:rsidRPr="007A070E">
        <w:rPr>
          <w:rFonts w:ascii="Times New Roman" w:hAnsi="Times New Roman"/>
          <w:b/>
          <w:color w:val="00B0F0"/>
        </w:rPr>
        <w:t xml:space="preserve">  </w:t>
      </w:r>
      <w:r w:rsidRPr="007A070E">
        <w:rPr>
          <w:rFonts w:ascii="Times New Roman" w:hAnsi="Times New Roman"/>
          <w:b/>
        </w:rPr>
        <w:t xml:space="preserve">Until </w:t>
      </w:r>
      <w:r w:rsidRPr="007A070E">
        <w:rPr>
          <w:rFonts w:ascii="Times New Roman" w:hAnsi="Times New Roman"/>
          <w:b/>
          <w:i/>
        </w:rPr>
        <w:t>Larios v. Cox</w:t>
      </w:r>
      <w:r w:rsidRPr="007A070E">
        <w:rPr>
          <w:rFonts w:ascii="Times New Roman" w:hAnsi="Times New Roman"/>
          <w:b/>
        </w:rPr>
        <w:t xml:space="preserve">, </w:t>
      </w:r>
      <w:r w:rsidRPr="007A070E">
        <w:rPr>
          <w:rFonts w:ascii="Times New Roman" w:hAnsi="Times New Roman"/>
          <w:b/>
          <w:color w:val="00B0F0"/>
        </w:rPr>
        <w:t>BG add  ref</w:t>
      </w:r>
      <w:r w:rsidRPr="007A070E">
        <w:rPr>
          <w:rFonts w:ascii="Times New Roman" w:hAnsi="Times New Roman"/>
          <w:b/>
        </w:rPr>
        <w:t xml:space="preserve">  a TPD of 10% was taken to be a safe harbor for jurisdictions, with no need to justify deviations as long as the TPD fell below the 10% threshold. In that case the Supreme Court held that a systematic pattern o</w:t>
      </w:r>
      <w:r w:rsidR="00D73A4A">
        <w:rPr>
          <w:rFonts w:ascii="Times New Roman" w:hAnsi="Times New Roman"/>
          <w:b/>
        </w:rPr>
        <w:t>f</w:t>
      </w:r>
      <w:r w:rsidRPr="007A070E">
        <w:rPr>
          <w:rFonts w:ascii="Times New Roman" w:hAnsi="Times New Roman"/>
          <w:b/>
        </w:rPr>
        <w:t xml:space="preserve"> </w:t>
      </w:r>
      <w:proofErr w:type="spellStart"/>
      <w:r w:rsidRPr="007A070E">
        <w:rPr>
          <w:rFonts w:ascii="Times New Roman" w:hAnsi="Times New Roman"/>
          <w:b/>
        </w:rPr>
        <w:t>underpopulation</w:t>
      </w:r>
      <w:proofErr w:type="spellEnd"/>
      <w:r w:rsidRPr="007A070E">
        <w:rPr>
          <w:rFonts w:ascii="Times New Roman" w:hAnsi="Times New Roman"/>
          <w:b/>
        </w:rPr>
        <w:t xml:space="preserve"> and overpopulation motivated solely by partisan intent was not constitutional even if the TPD fell (marginally) below 10%.</w:t>
      </w:r>
    </w:p>
    <w:p w14:paraId="6F85D540" w14:textId="77777777" w:rsidR="002A27B8" w:rsidRPr="007A070E" w:rsidRDefault="002A27B8" w:rsidP="00470DC5">
      <w:pPr>
        <w:pStyle w:val="FootnoteText"/>
        <w:rPr>
          <w:rFonts w:ascii="Times New Roman" w:hAnsi="Times New Roman"/>
        </w:rPr>
      </w:pPr>
    </w:p>
  </w:footnote>
  <w:footnote w:id="7">
    <w:p w14:paraId="62BD0F15" w14:textId="1A093B7E" w:rsidR="002A27B8" w:rsidRPr="007A070E" w:rsidRDefault="002A27B8" w:rsidP="00470DC5">
      <w:pPr>
        <w:pStyle w:val="FootnoteText"/>
        <w:rPr>
          <w:rFonts w:ascii="Times New Roman" w:hAnsi="Times New Roman"/>
          <w:b/>
          <w:color w:val="00B0F0"/>
        </w:rPr>
      </w:pPr>
      <w:r w:rsidRPr="007A070E">
        <w:rPr>
          <w:rStyle w:val="FootnoteReference"/>
          <w:rFonts w:ascii="Times New Roman" w:hAnsi="Times New Roman"/>
        </w:rPr>
        <w:footnoteRef/>
      </w:r>
      <w:r w:rsidRPr="007A070E">
        <w:rPr>
          <w:rFonts w:ascii="Times New Roman" w:hAnsi="Times New Roman"/>
        </w:rPr>
        <w:t xml:space="preserve"> </w:t>
      </w:r>
      <w:r w:rsidRPr="007A070E">
        <w:rPr>
          <w:rFonts w:ascii="Times New Roman" w:hAnsi="Times New Roman"/>
          <w:b/>
          <w:color w:val="00B0F0"/>
        </w:rPr>
        <w:t xml:space="preserve">BG add  ref </w:t>
      </w:r>
      <w:r w:rsidRPr="007A070E">
        <w:rPr>
          <w:rFonts w:ascii="Times New Roman" w:hAnsi="Times New Roman"/>
          <w:b/>
        </w:rPr>
        <w:t>A TPD  above 10% would be permitted only if the jurisdiction could offer legitimate (and compelling) reasons for the deviation</w:t>
      </w:r>
    </w:p>
    <w:p w14:paraId="09F87731" w14:textId="77777777" w:rsidR="002A27B8" w:rsidRDefault="002A27B8" w:rsidP="00470DC5">
      <w:pPr>
        <w:pStyle w:val="FootnoteText"/>
      </w:pPr>
    </w:p>
  </w:footnote>
  <w:footnote w:id="8">
    <w:p w14:paraId="4EA3660E" w14:textId="1C9B6585" w:rsidR="002A27B8" w:rsidRPr="007A070E" w:rsidRDefault="002A27B8" w:rsidP="008B627F">
      <w:pPr>
        <w:pStyle w:val="FootnoteText"/>
        <w:rPr>
          <w:rFonts w:ascii="Times New Roman" w:hAnsi="Times New Roman"/>
          <w:b/>
        </w:rPr>
      </w:pPr>
      <w:r w:rsidRPr="007A070E">
        <w:rPr>
          <w:rStyle w:val="FootnoteReference"/>
          <w:rFonts w:ascii="Times New Roman" w:hAnsi="Times New Roman"/>
          <w:b/>
        </w:rPr>
        <w:footnoteRef/>
      </w:r>
      <w:r w:rsidRPr="007A070E">
        <w:rPr>
          <w:rFonts w:ascii="Times New Roman" w:hAnsi="Times New Roman"/>
          <w:b/>
        </w:rPr>
        <w:t xml:space="preserve"> See Handley and Grofman (2008) for a review of legal malapportionment thresholds in many countries. However, the reader must be careful in interpreting reported thresholds. For example, the threshold in Germany is stated as no more than 15% upwards or downwards from the average, and those who write about Germany may thus correctly characterize it as a 15% tolerance limit but, in our terms, this is a 30% TPD value.  Also </w:t>
      </w:r>
      <w:r w:rsidR="007A070E">
        <w:rPr>
          <w:rFonts w:ascii="Times New Roman" w:hAnsi="Times New Roman"/>
          <w:b/>
        </w:rPr>
        <w:t xml:space="preserve">there are many complexities in </w:t>
      </w:r>
      <w:r w:rsidRPr="007A070E">
        <w:rPr>
          <w:rFonts w:ascii="Times New Roman" w:hAnsi="Times New Roman"/>
          <w:b/>
        </w:rPr>
        <w:t xml:space="preserve">defining malapportionment when we move from simple single seat systems to countries with multi-seat districts and/or a mix of single and multiple seat districts, and/or a tiered system with proportional allocations or compensatory seats in the upper tier. Samuels and Snyder (2001) offer the best discussion of how to deal with such complexities.  </w:t>
      </w:r>
    </w:p>
    <w:p w14:paraId="3F1515A9" w14:textId="7C6F376B" w:rsidR="002A27B8" w:rsidRPr="007A070E" w:rsidRDefault="002A27B8" w:rsidP="008B627F">
      <w:pPr>
        <w:pStyle w:val="FootnoteText"/>
        <w:rPr>
          <w:rFonts w:ascii="Times New Roman" w:hAnsi="Times New Roman"/>
        </w:rPr>
      </w:pPr>
    </w:p>
  </w:footnote>
  <w:footnote w:id="9">
    <w:p w14:paraId="142CD84C" w14:textId="143E4A15" w:rsidR="002A27B8" w:rsidRPr="007A070E" w:rsidRDefault="002A27B8" w:rsidP="0029244C">
      <w:pPr>
        <w:spacing w:after="0" w:line="240" w:lineRule="auto"/>
        <w:ind w:right="720"/>
        <w:rPr>
          <w:rFonts w:ascii="Times New Roman" w:hAnsi="Times New Roman"/>
        </w:rPr>
      </w:pPr>
      <w:r w:rsidRPr="007A070E">
        <w:rPr>
          <w:rStyle w:val="FootnoteReference"/>
          <w:rFonts w:ascii="Times New Roman" w:hAnsi="Times New Roman"/>
        </w:rPr>
        <w:footnoteRef/>
      </w:r>
      <w:r w:rsidRPr="007A070E">
        <w:rPr>
          <w:rFonts w:ascii="Times New Roman" w:hAnsi="Times New Roman"/>
        </w:rPr>
        <w:t xml:space="preserve"> There are, however, many other measures that have been proposed. It is well recognized that no single measure of disproportionality can capture every feature of interest, and each measure has some desirable properties and some flaws. (Cox and Shugart 1991, Monroe 1994; Taagepera and Grofman, 2003).</w:t>
      </w:r>
    </w:p>
    <w:p w14:paraId="1772A531" w14:textId="77777777" w:rsidR="002A27B8" w:rsidRPr="009D1F42" w:rsidRDefault="002A27B8" w:rsidP="0029244C">
      <w:pPr>
        <w:pStyle w:val="FootnoteText"/>
        <w:rPr>
          <w:rFonts w:ascii="Times New Roman" w:hAnsi="Times New Roman"/>
        </w:rPr>
      </w:pPr>
    </w:p>
  </w:footnote>
  <w:footnote w:id="10">
    <w:p w14:paraId="2EEF1533" w14:textId="56966CA0" w:rsidR="007E0DE3" w:rsidRPr="007A070E" w:rsidRDefault="007E0DE3">
      <w:pPr>
        <w:pStyle w:val="FootnoteText"/>
        <w:rPr>
          <w:rFonts w:ascii="Times New Roman" w:hAnsi="Times New Roman"/>
        </w:rPr>
      </w:pPr>
      <w:r w:rsidRPr="007A070E">
        <w:rPr>
          <w:rStyle w:val="FootnoteReference"/>
          <w:rFonts w:ascii="Times New Roman" w:hAnsi="Times New Roman"/>
        </w:rPr>
        <w:footnoteRef/>
      </w:r>
      <w:r w:rsidRPr="007A070E">
        <w:rPr>
          <w:rFonts w:ascii="Times New Roman" w:hAnsi="Times New Roman"/>
        </w:rPr>
        <w:t xml:space="preserve"> The same is true for a seventh metric, the Gini Index.  For space reasons we do not present the Gini Index results here. They are available upon request from the authors.</w:t>
      </w:r>
    </w:p>
  </w:footnote>
  <w:footnote w:id="11">
    <w:p w14:paraId="63E4A1BB" w14:textId="1BCABDD6" w:rsidR="002A27B8" w:rsidRPr="00A31D92" w:rsidRDefault="002A27B8" w:rsidP="0015173E">
      <w:pPr>
        <w:pStyle w:val="FootnoteText"/>
        <w:tabs>
          <w:tab w:val="left" w:pos="10080"/>
        </w:tabs>
        <w:ind w:right="630"/>
        <w:jc w:val="lef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Malapportionment across states can also occur for the U.S. House of Representatives when Congress fails to fulfill its decennial duty to reapportion the House in accord with new population data. After the 1920 census Congress failed to reapportion the House in accord with new census data (</w:t>
      </w:r>
      <w:hyperlink r:id="rId1" w:history="1">
        <w:r w:rsidRPr="009D1F42">
          <w:rPr>
            <w:rStyle w:val="Hyperlink"/>
            <w:rFonts w:ascii="Times New Roman" w:hAnsi="Times New Roman"/>
          </w:rPr>
          <w:t>https://www.census.gov/history/www/reference/apportionment/apportionment_legislation_1890_-_present.html</w:t>
        </w:r>
      </w:hyperlink>
      <w:r w:rsidRPr="009D1F42">
        <w:rPr>
          <w:rFonts w:ascii="Times New Roman" w:hAnsi="Times New Roman"/>
        </w:rPr>
        <w:t>).  The failure to reapportion after the 1920 census came because of controversy over the need to transfer seats from more rural states whose population was falling, in relative terms, compared to heavily urban states with growing populations.</w:t>
      </w:r>
      <w:r w:rsidRPr="009D1F42">
        <w:rPr>
          <w:rFonts w:ascii="Times New Roman" w:hAnsi="Times New Roman"/>
          <w:color w:val="FF0000"/>
        </w:rPr>
        <w:t xml:space="preserve"> </w:t>
      </w:r>
      <w:r w:rsidRPr="009D1F42">
        <w:rPr>
          <w:rFonts w:ascii="Times New Roman" w:hAnsi="Times New Roman"/>
        </w:rPr>
        <w:t>Reapportionment was resumed in 1930 and a rule was set in place that provided for automatic reapportionment after in each census in accord with a specified apportionment formula that provided population based reapportionments. While that formula was changed for the 1940 census, and a still different formula had been used early in the nation</w:t>
      </w:r>
      <w:r w:rsidRPr="009D1F42">
        <w:rPr>
          <w:rFonts w:ascii="Helvetica" w:eastAsia="Helvetica" w:hAnsi="Helvetica" w:cs="Helvetica"/>
        </w:rPr>
        <w:t xml:space="preserve">’s </w:t>
      </w:r>
      <w:r w:rsidRPr="00A31D92">
        <w:rPr>
          <w:rFonts w:ascii="Times New Roman" w:eastAsia="Helvetica" w:hAnsi="Times New Roman"/>
        </w:rPr>
        <w:t>history</w:t>
      </w:r>
      <w:r w:rsidRPr="009D1F42">
        <w:rPr>
          <w:rFonts w:ascii="Times New Roman" w:hAnsi="Times New Roman"/>
        </w:rPr>
        <w:t xml:space="preserve">  </w:t>
      </w:r>
      <w:hyperlink r:id="rId2" w:history="1">
        <w:r w:rsidRPr="009D1F42">
          <w:rPr>
            <w:rStyle w:val="Hyperlink"/>
            <w:rFonts w:ascii="Times New Roman" w:hAnsi="Times New Roman"/>
          </w:rPr>
          <w:t>https://www.census.gov/population/apportionment/about/history.html</w:t>
        </w:r>
      </w:hyperlink>
      <w:r w:rsidRPr="009D1F42">
        <w:rPr>
          <w:rFonts w:ascii="Times New Roman" w:hAnsi="Times New Roman"/>
        </w:rPr>
        <w:t xml:space="preserve">, the differences in allocation across apportionment formulae, tend to be minor (see Balinski and Young, 1982).  Within states, malapportionment of congressional seats or legislative seats can occur when the redistricting that does take place violates principles of one person, one vote.  Prior to </w:t>
      </w:r>
      <w:r w:rsidRPr="009D1F42">
        <w:rPr>
          <w:rFonts w:ascii="Times New Roman" w:hAnsi="Times New Roman"/>
          <w:i/>
        </w:rPr>
        <w:t>Baker v. Carr</w:t>
      </w:r>
      <w:r w:rsidRPr="009D1F42">
        <w:rPr>
          <w:rFonts w:ascii="Times New Roman" w:hAnsi="Times New Roman"/>
        </w:rPr>
        <w:t xml:space="preserve"> (1962) and the subsequent one person, one vote cases, especially for state legislatures, this could be a major problem.  Some state constitutions, such as that in Georgia, which used counties as its redistricting units, had state constitutional provisions that required redistricting that was not entirely (or even mostly) based on population. </w:t>
      </w:r>
      <w:r w:rsidR="00D73A4A">
        <w:rPr>
          <w:rFonts w:ascii="Times New Roman" w:hAnsi="Times New Roman"/>
        </w:rPr>
        <w:t xml:space="preserve">But even absent constitutional provisions that forced malapportionment, some states simply refused to reapportionment. For example, </w:t>
      </w:r>
      <w:r w:rsidRPr="009D1F42">
        <w:rPr>
          <w:rFonts w:ascii="Times New Roman" w:hAnsi="Times New Roman"/>
        </w:rPr>
        <w:t xml:space="preserve">Tennessee, whose constitution required decennial redistricting, but which had not redistricted its legislature since 1901, had its grossly malapportioned legislative districts challenged in </w:t>
      </w:r>
      <w:r w:rsidRPr="009D1F42">
        <w:rPr>
          <w:rFonts w:ascii="Times New Roman" w:hAnsi="Times New Roman"/>
          <w:i/>
        </w:rPr>
        <w:t>Baker v. Carr</w:t>
      </w:r>
      <w:r w:rsidRPr="009D1F42">
        <w:rPr>
          <w:rFonts w:ascii="Times New Roman" w:hAnsi="Times New Roman"/>
        </w:rPr>
        <w:t xml:space="preserve"> (1962), and the state was compelled to redistrict. </w:t>
      </w:r>
      <w:r w:rsidR="00D73A4A">
        <w:rPr>
          <w:rFonts w:ascii="Times New Roman" w:hAnsi="Times New Roman"/>
        </w:rPr>
        <w:t>Moreover</w:t>
      </w:r>
      <w:r w:rsidRPr="009D1F42">
        <w:rPr>
          <w:rFonts w:ascii="Times New Roman" w:hAnsi="Times New Roman"/>
        </w:rPr>
        <w:t>, pre-</w:t>
      </w:r>
      <w:r w:rsidRPr="009D1F42">
        <w:rPr>
          <w:rFonts w:ascii="Times New Roman" w:hAnsi="Times New Roman"/>
          <w:i/>
        </w:rPr>
        <w:t>Baker v. Carr</w:t>
      </w:r>
      <w:r w:rsidRPr="009D1F42">
        <w:rPr>
          <w:rFonts w:ascii="Times New Roman" w:hAnsi="Times New Roman"/>
        </w:rPr>
        <w:t>, while most state legislatures (especially upper chambers) were more malapportioned than the U.S. House districts in the state, there were also states whose House seats were also severely malapportioned.  For example, in 1962 Georgia</w:t>
      </w:r>
      <w:r w:rsidRPr="00D73A4A">
        <w:rPr>
          <w:rFonts w:ascii="Times New Roman" w:eastAsia="Helvetica" w:hAnsi="Times New Roman"/>
        </w:rPr>
        <w:t>’s</w:t>
      </w:r>
      <w:r w:rsidRPr="009D1F42">
        <w:rPr>
          <w:rFonts w:ascii="Helvetica" w:eastAsia="Helvetica" w:hAnsi="Helvetica" w:cs="Helvetica"/>
        </w:rPr>
        <w:t xml:space="preserve"> </w:t>
      </w:r>
      <w:r w:rsidRPr="00A31D92">
        <w:rPr>
          <w:rFonts w:ascii="Times New Roman" w:eastAsia="Helvetica" w:hAnsi="Times New Roman"/>
        </w:rPr>
        <w:t>largest House seat had more than twice the population of its smallest House district (Bullock, 2010</w:t>
      </w:r>
      <w:r w:rsidRPr="00A31D92">
        <w:rPr>
          <w:rFonts w:ascii="Times New Roman" w:hAnsi="Times New Roman"/>
        </w:rPr>
        <w:t>: 141).</w:t>
      </w:r>
    </w:p>
    <w:p w14:paraId="551D6397" w14:textId="77777777" w:rsidR="002A27B8" w:rsidRPr="009D1F42" w:rsidRDefault="002A27B8" w:rsidP="0015173E">
      <w:pPr>
        <w:pStyle w:val="FootnoteText"/>
        <w:rPr>
          <w:rFonts w:ascii="Times New Roman" w:hAnsi="Times New Roman"/>
        </w:rPr>
      </w:pPr>
    </w:p>
  </w:footnote>
  <w:footnote w:id="12">
    <w:p w14:paraId="4D8C7681" w14:textId="77777777" w:rsidR="00C26F4A" w:rsidRPr="00FA6BEE" w:rsidRDefault="00C26F4A" w:rsidP="00C26F4A">
      <w:pPr>
        <w:pStyle w:val="FootnoteText"/>
        <w:rPr>
          <w:rFonts w:ascii="Times New Roman" w:hAnsi="Times New Roman"/>
        </w:rPr>
      </w:pPr>
      <w:r w:rsidRPr="009D1F42">
        <w:rPr>
          <w:rStyle w:val="FootnoteReference"/>
          <w:rFonts w:ascii="Times New Roman" w:hAnsi="Times New Roman"/>
        </w:rPr>
        <w:footnoteRef/>
      </w:r>
      <w:r w:rsidRPr="009D1F42">
        <w:rPr>
          <w:rFonts w:ascii="Times New Roman" w:hAnsi="Times New Roman"/>
        </w:rPr>
        <w:t xml:space="preserve"> 2017 Dutch Election: Loosemore-Hanby </w:t>
      </w:r>
      <w:r w:rsidRPr="009D1F42">
        <w:rPr>
          <w:rFonts w:ascii="Helvetica" w:eastAsia="Helvetica" w:hAnsi="Helvetica" w:cs="Helvetica"/>
        </w:rPr>
        <w:t>–</w:t>
      </w:r>
      <w:r w:rsidRPr="009D1F42">
        <w:rPr>
          <w:rFonts w:ascii="Times New Roman" w:hAnsi="Times New Roman"/>
        </w:rPr>
        <w:t xml:space="preserve"> 0.013, Gallagher </w:t>
      </w:r>
      <w:r w:rsidRPr="00FA6BEE">
        <w:rPr>
          <w:rFonts w:ascii="Times New Roman" w:eastAsia="Helvetica" w:hAnsi="Times New Roman"/>
        </w:rPr>
        <w:t xml:space="preserve">– 0.006. Data source: </w:t>
      </w:r>
      <w:r w:rsidRPr="00FA6BEE">
        <w:rPr>
          <w:rFonts w:ascii="Times New Roman" w:hAnsi="Times New Roman"/>
        </w:rPr>
        <w:t>https://www.kiesraad.nl/</w:t>
      </w:r>
    </w:p>
    <w:p w14:paraId="20AB0F67" w14:textId="77777777" w:rsidR="00C26F4A" w:rsidRPr="00FA6BEE" w:rsidRDefault="00C26F4A" w:rsidP="00C26F4A">
      <w:pPr>
        <w:pStyle w:val="FootnoteText"/>
        <w:rPr>
          <w:rFonts w:ascii="Times New Roman" w:hAnsi="Times New Roman"/>
        </w:rPr>
      </w:pPr>
    </w:p>
  </w:footnote>
  <w:footnote w:id="13">
    <w:p w14:paraId="5D7AA268" w14:textId="77777777" w:rsidR="00C26F4A" w:rsidRPr="00FA6BEE" w:rsidRDefault="00C26F4A" w:rsidP="00C26F4A">
      <w:pPr>
        <w:pStyle w:val="FootnoteText"/>
        <w:rPr>
          <w:rFonts w:ascii="Times New Roman" w:hAnsi="Times New Roman"/>
        </w:rPr>
      </w:pPr>
      <w:r w:rsidRPr="00FA6BEE">
        <w:rPr>
          <w:rStyle w:val="FootnoteReference"/>
          <w:rFonts w:ascii="Times New Roman" w:hAnsi="Times New Roman"/>
        </w:rPr>
        <w:footnoteRef/>
      </w:r>
      <w:r>
        <w:rPr>
          <w:rFonts w:ascii="Times New Roman" w:hAnsi="Times New Roman"/>
        </w:rPr>
        <w:t xml:space="preserve"> </w:t>
      </w:r>
      <w:r w:rsidRPr="00FA6BEE">
        <w:rPr>
          <w:rFonts w:ascii="Times New Roman" w:hAnsi="Times New Roman"/>
        </w:rPr>
        <w:t xml:space="preserve">2015 Knesset Election: Loosemore-Hanby </w:t>
      </w:r>
      <w:r w:rsidRPr="00FA6BEE">
        <w:rPr>
          <w:rFonts w:ascii="Times New Roman" w:eastAsia="Helvetica" w:hAnsi="Times New Roman"/>
        </w:rPr>
        <w:t xml:space="preserve">– 0.015, Gallagher – 0.007.  Data source: </w:t>
      </w:r>
      <w:r w:rsidRPr="00FA6BEE">
        <w:rPr>
          <w:rFonts w:ascii="Times New Roman" w:hAnsi="Times New Roman"/>
        </w:rPr>
        <w:t>https://www.knesset.gov.il</w:t>
      </w:r>
    </w:p>
    <w:p w14:paraId="44B54E44" w14:textId="77777777" w:rsidR="00C26F4A" w:rsidRPr="00FA6BEE" w:rsidRDefault="00C26F4A" w:rsidP="00C26F4A">
      <w:pPr>
        <w:pStyle w:val="FootnoteText"/>
        <w:rPr>
          <w:rFonts w:ascii="Times New Roman" w:hAnsi="Times New Roman"/>
        </w:rPr>
      </w:pPr>
    </w:p>
  </w:footnote>
  <w:footnote w:id="14">
    <w:p w14:paraId="41DD588F" w14:textId="32AC62CE" w:rsidR="00E73C16" w:rsidRPr="00E73C16" w:rsidRDefault="00E73C16" w:rsidP="00E73C16">
      <w:pPr>
        <w:pStyle w:val="MainBody"/>
        <w:spacing w:line="240" w:lineRule="auto"/>
        <w:ind w:firstLine="0"/>
        <w:rPr>
          <w:b/>
          <w:sz w:val="20"/>
          <w:szCs w:val="20"/>
        </w:rPr>
      </w:pPr>
      <w:r w:rsidRPr="00E73C16">
        <w:rPr>
          <w:rStyle w:val="FootnoteReference"/>
          <w:sz w:val="20"/>
          <w:szCs w:val="20"/>
        </w:rPr>
        <w:footnoteRef/>
      </w:r>
      <w:r w:rsidRPr="00E73C16">
        <w:rPr>
          <w:sz w:val="20"/>
          <w:szCs w:val="20"/>
        </w:rPr>
        <w:t xml:space="preserve"> </w:t>
      </w:r>
      <w:r w:rsidRPr="00E73C16">
        <w:rPr>
          <w:b/>
          <w:sz w:val="20"/>
          <w:szCs w:val="20"/>
        </w:rPr>
        <w:t xml:space="preserve">Of course, it seems also true that one of the key claimed defects of the Electoral College, the </w:t>
      </w:r>
      <w:r>
        <w:rPr>
          <w:b/>
          <w:sz w:val="20"/>
          <w:szCs w:val="20"/>
        </w:rPr>
        <w:t xml:space="preserve">occasional </w:t>
      </w:r>
      <w:r w:rsidRPr="00E73C16">
        <w:rPr>
          <w:b/>
          <w:sz w:val="20"/>
          <w:szCs w:val="20"/>
        </w:rPr>
        <w:t xml:space="preserve">divergence between its outcomes and those of the popular vote, cannot be attributed to malapportionment, but rather to the distribution of partisan electoral support across states in situations where the popular vote is relatively closely divided (IDENTIFYING REFERENCE REMOVED) . </w:t>
      </w:r>
      <w:r w:rsidRPr="00E73C16">
        <w:rPr>
          <w:b/>
          <w:color w:val="FF0000"/>
          <w:sz w:val="20"/>
          <w:szCs w:val="20"/>
        </w:rPr>
        <w:t xml:space="preserve">JONATHAN THINK ABOUT WORDING  </w:t>
      </w:r>
    </w:p>
    <w:p w14:paraId="181BE944" w14:textId="38EEF297" w:rsidR="00E73C16" w:rsidRDefault="00E73C16">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F94E7" w14:textId="77777777" w:rsidR="002A27B8" w:rsidRDefault="002A27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0247B" w14:textId="77777777" w:rsidR="002A27B8" w:rsidRDefault="002A27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0A064" w14:textId="77777777" w:rsidR="002A27B8" w:rsidRDefault="002A27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59EA"/>
    <w:multiLevelType w:val="hybridMultilevel"/>
    <w:tmpl w:val="7880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F6A39"/>
    <w:multiLevelType w:val="hybridMultilevel"/>
    <w:tmpl w:val="CDC45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20206B"/>
    <w:multiLevelType w:val="singleLevel"/>
    <w:tmpl w:val="A14A011E"/>
    <w:lvl w:ilvl="0">
      <w:start w:val="1"/>
      <w:numFmt w:val="decimal"/>
      <w:lvlText w:val="%1"/>
      <w:lvlJc w:val="left"/>
      <w:pPr>
        <w:tabs>
          <w:tab w:val="num" w:pos="720"/>
        </w:tabs>
        <w:ind w:left="720" w:hanging="720"/>
      </w:pPr>
      <w:rPr>
        <w:rFonts w:hint="default"/>
      </w:rPr>
    </w:lvl>
  </w:abstractNum>
  <w:abstractNum w:abstractNumId="3" w15:restartNumberingAfterBreak="0">
    <w:nsid w:val="1B275505"/>
    <w:multiLevelType w:val="hybridMultilevel"/>
    <w:tmpl w:val="13F04074"/>
    <w:lvl w:ilvl="0" w:tplc="CB24B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1342C"/>
    <w:multiLevelType w:val="hybridMultilevel"/>
    <w:tmpl w:val="8606174C"/>
    <w:lvl w:ilvl="0" w:tplc="82D48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1E"/>
    <w:rsid w:val="0000038A"/>
    <w:rsid w:val="00000862"/>
    <w:rsid w:val="000008BA"/>
    <w:rsid w:val="00000F45"/>
    <w:rsid w:val="00001000"/>
    <w:rsid w:val="00001F89"/>
    <w:rsid w:val="0000263E"/>
    <w:rsid w:val="00002ACA"/>
    <w:rsid w:val="00002F65"/>
    <w:rsid w:val="000036E0"/>
    <w:rsid w:val="00004DAE"/>
    <w:rsid w:val="00004FDA"/>
    <w:rsid w:val="00005191"/>
    <w:rsid w:val="0001059F"/>
    <w:rsid w:val="00011EB8"/>
    <w:rsid w:val="00012440"/>
    <w:rsid w:val="000125A1"/>
    <w:rsid w:val="000129CD"/>
    <w:rsid w:val="00013961"/>
    <w:rsid w:val="00014CBD"/>
    <w:rsid w:val="00016205"/>
    <w:rsid w:val="000175D7"/>
    <w:rsid w:val="000211A5"/>
    <w:rsid w:val="00022181"/>
    <w:rsid w:val="00022AA8"/>
    <w:rsid w:val="00023856"/>
    <w:rsid w:val="00024BAC"/>
    <w:rsid w:val="00025573"/>
    <w:rsid w:val="00025759"/>
    <w:rsid w:val="00030571"/>
    <w:rsid w:val="0003150C"/>
    <w:rsid w:val="00032EE8"/>
    <w:rsid w:val="000354A7"/>
    <w:rsid w:val="00037812"/>
    <w:rsid w:val="00037B95"/>
    <w:rsid w:val="00040D4C"/>
    <w:rsid w:val="000423B8"/>
    <w:rsid w:val="00042947"/>
    <w:rsid w:val="00043624"/>
    <w:rsid w:val="00045C0A"/>
    <w:rsid w:val="000468C4"/>
    <w:rsid w:val="000478E2"/>
    <w:rsid w:val="00050656"/>
    <w:rsid w:val="00050C24"/>
    <w:rsid w:val="00051E06"/>
    <w:rsid w:val="0005239C"/>
    <w:rsid w:val="00052B41"/>
    <w:rsid w:val="00053334"/>
    <w:rsid w:val="00054660"/>
    <w:rsid w:val="00060E97"/>
    <w:rsid w:val="00061409"/>
    <w:rsid w:val="00062675"/>
    <w:rsid w:val="00062A4E"/>
    <w:rsid w:val="00064A22"/>
    <w:rsid w:val="00067810"/>
    <w:rsid w:val="00067FAB"/>
    <w:rsid w:val="000705E2"/>
    <w:rsid w:val="00070DE3"/>
    <w:rsid w:val="00072EC9"/>
    <w:rsid w:val="000741CC"/>
    <w:rsid w:val="000755D6"/>
    <w:rsid w:val="00075D18"/>
    <w:rsid w:val="000767AA"/>
    <w:rsid w:val="00076A33"/>
    <w:rsid w:val="00076B97"/>
    <w:rsid w:val="000810C4"/>
    <w:rsid w:val="00082A7E"/>
    <w:rsid w:val="00082BE8"/>
    <w:rsid w:val="00082FA4"/>
    <w:rsid w:val="00083F20"/>
    <w:rsid w:val="0008448F"/>
    <w:rsid w:val="00084690"/>
    <w:rsid w:val="00084878"/>
    <w:rsid w:val="000857CC"/>
    <w:rsid w:val="00085CC6"/>
    <w:rsid w:val="0009058D"/>
    <w:rsid w:val="000906AC"/>
    <w:rsid w:val="000917C7"/>
    <w:rsid w:val="000926C7"/>
    <w:rsid w:val="00092FAB"/>
    <w:rsid w:val="000935B5"/>
    <w:rsid w:val="0009366D"/>
    <w:rsid w:val="000936F7"/>
    <w:rsid w:val="0009415D"/>
    <w:rsid w:val="000949BE"/>
    <w:rsid w:val="00097821"/>
    <w:rsid w:val="000A04E5"/>
    <w:rsid w:val="000A2049"/>
    <w:rsid w:val="000A3724"/>
    <w:rsid w:val="000A637D"/>
    <w:rsid w:val="000A6A7C"/>
    <w:rsid w:val="000A7559"/>
    <w:rsid w:val="000B0119"/>
    <w:rsid w:val="000B030A"/>
    <w:rsid w:val="000B2037"/>
    <w:rsid w:val="000B2B42"/>
    <w:rsid w:val="000B2D65"/>
    <w:rsid w:val="000B39C4"/>
    <w:rsid w:val="000B3C65"/>
    <w:rsid w:val="000B45E1"/>
    <w:rsid w:val="000B49D7"/>
    <w:rsid w:val="000B5A15"/>
    <w:rsid w:val="000B5AF3"/>
    <w:rsid w:val="000B6B76"/>
    <w:rsid w:val="000B780E"/>
    <w:rsid w:val="000C05D0"/>
    <w:rsid w:val="000C0A2E"/>
    <w:rsid w:val="000C0F1C"/>
    <w:rsid w:val="000C1191"/>
    <w:rsid w:val="000C23BA"/>
    <w:rsid w:val="000C3027"/>
    <w:rsid w:val="000C34A9"/>
    <w:rsid w:val="000C43F1"/>
    <w:rsid w:val="000D0CF3"/>
    <w:rsid w:val="000D0FDB"/>
    <w:rsid w:val="000D1A95"/>
    <w:rsid w:val="000D1B40"/>
    <w:rsid w:val="000D26FC"/>
    <w:rsid w:val="000D2F23"/>
    <w:rsid w:val="000D3DD1"/>
    <w:rsid w:val="000D4D8B"/>
    <w:rsid w:val="000D5B64"/>
    <w:rsid w:val="000D5DA0"/>
    <w:rsid w:val="000D5E43"/>
    <w:rsid w:val="000D6EC0"/>
    <w:rsid w:val="000D7346"/>
    <w:rsid w:val="000E12C9"/>
    <w:rsid w:val="000E3919"/>
    <w:rsid w:val="000E4245"/>
    <w:rsid w:val="000E4809"/>
    <w:rsid w:val="000E4F12"/>
    <w:rsid w:val="000E53B7"/>
    <w:rsid w:val="000E5C02"/>
    <w:rsid w:val="000E63A9"/>
    <w:rsid w:val="000E7018"/>
    <w:rsid w:val="000F16EA"/>
    <w:rsid w:val="000F256E"/>
    <w:rsid w:val="000F2C3C"/>
    <w:rsid w:val="000F32C5"/>
    <w:rsid w:val="000F5057"/>
    <w:rsid w:val="000F74CE"/>
    <w:rsid w:val="0010114C"/>
    <w:rsid w:val="001026B0"/>
    <w:rsid w:val="001036E7"/>
    <w:rsid w:val="0010428A"/>
    <w:rsid w:val="00104A47"/>
    <w:rsid w:val="00104B5F"/>
    <w:rsid w:val="00104ECC"/>
    <w:rsid w:val="00105EA0"/>
    <w:rsid w:val="001060FB"/>
    <w:rsid w:val="00110A54"/>
    <w:rsid w:val="001110B4"/>
    <w:rsid w:val="001112D1"/>
    <w:rsid w:val="00111D6C"/>
    <w:rsid w:val="0011207F"/>
    <w:rsid w:val="001132A1"/>
    <w:rsid w:val="001139FC"/>
    <w:rsid w:val="001140C2"/>
    <w:rsid w:val="001142A8"/>
    <w:rsid w:val="00116B1D"/>
    <w:rsid w:val="00117C2B"/>
    <w:rsid w:val="00120A28"/>
    <w:rsid w:val="001216F7"/>
    <w:rsid w:val="00123D75"/>
    <w:rsid w:val="00124786"/>
    <w:rsid w:val="00124950"/>
    <w:rsid w:val="001268B9"/>
    <w:rsid w:val="00127449"/>
    <w:rsid w:val="0013129C"/>
    <w:rsid w:val="001322A0"/>
    <w:rsid w:val="00132631"/>
    <w:rsid w:val="001334D6"/>
    <w:rsid w:val="00133670"/>
    <w:rsid w:val="00133E66"/>
    <w:rsid w:val="001342DC"/>
    <w:rsid w:val="001348E5"/>
    <w:rsid w:val="001354A9"/>
    <w:rsid w:val="00136187"/>
    <w:rsid w:val="001408EB"/>
    <w:rsid w:val="00142627"/>
    <w:rsid w:val="00142C02"/>
    <w:rsid w:val="00142F34"/>
    <w:rsid w:val="00142FED"/>
    <w:rsid w:val="001435BF"/>
    <w:rsid w:val="00143AA0"/>
    <w:rsid w:val="00145FEB"/>
    <w:rsid w:val="001514A8"/>
    <w:rsid w:val="0015173E"/>
    <w:rsid w:val="001524AD"/>
    <w:rsid w:val="001524EA"/>
    <w:rsid w:val="0015289D"/>
    <w:rsid w:val="00152A84"/>
    <w:rsid w:val="00152FB3"/>
    <w:rsid w:val="00153756"/>
    <w:rsid w:val="00154B50"/>
    <w:rsid w:val="00155A92"/>
    <w:rsid w:val="001562E8"/>
    <w:rsid w:val="00161334"/>
    <w:rsid w:val="00161770"/>
    <w:rsid w:val="00161BD7"/>
    <w:rsid w:val="0016377E"/>
    <w:rsid w:val="00164825"/>
    <w:rsid w:val="00165328"/>
    <w:rsid w:val="001662E8"/>
    <w:rsid w:val="0016777D"/>
    <w:rsid w:val="0016797B"/>
    <w:rsid w:val="00170A4E"/>
    <w:rsid w:val="00170A70"/>
    <w:rsid w:val="001718FE"/>
    <w:rsid w:val="00172F50"/>
    <w:rsid w:val="00174055"/>
    <w:rsid w:val="00176777"/>
    <w:rsid w:val="00177322"/>
    <w:rsid w:val="0018176B"/>
    <w:rsid w:val="00183159"/>
    <w:rsid w:val="0018323D"/>
    <w:rsid w:val="001833C0"/>
    <w:rsid w:val="0018350D"/>
    <w:rsid w:val="00184F9E"/>
    <w:rsid w:val="001856EF"/>
    <w:rsid w:val="0019223A"/>
    <w:rsid w:val="00193D38"/>
    <w:rsid w:val="0019652F"/>
    <w:rsid w:val="00197BF1"/>
    <w:rsid w:val="001A0012"/>
    <w:rsid w:val="001A01CF"/>
    <w:rsid w:val="001A1116"/>
    <w:rsid w:val="001A19E5"/>
    <w:rsid w:val="001A359F"/>
    <w:rsid w:val="001A615B"/>
    <w:rsid w:val="001A6933"/>
    <w:rsid w:val="001A6DF0"/>
    <w:rsid w:val="001B0834"/>
    <w:rsid w:val="001B2614"/>
    <w:rsid w:val="001B2ABF"/>
    <w:rsid w:val="001B3C0E"/>
    <w:rsid w:val="001B4FA8"/>
    <w:rsid w:val="001B56F2"/>
    <w:rsid w:val="001B5B8A"/>
    <w:rsid w:val="001B6409"/>
    <w:rsid w:val="001B64C1"/>
    <w:rsid w:val="001B661D"/>
    <w:rsid w:val="001B6B11"/>
    <w:rsid w:val="001B7A42"/>
    <w:rsid w:val="001B7CFC"/>
    <w:rsid w:val="001C27E3"/>
    <w:rsid w:val="001C2A24"/>
    <w:rsid w:val="001C3DAB"/>
    <w:rsid w:val="001C7926"/>
    <w:rsid w:val="001C7A4B"/>
    <w:rsid w:val="001D0742"/>
    <w:rsid w:val="001D1228"/>
    <w:rsid w:val="001D2030"/>
    <w:rsid w:val="001D674A"/>
    <w:rsid w:val="001D73E9"/>
    <w:rsid w:val="001D754E"/>
    <w:rsid w:val="001E050C"/>
    <w:rsid w:val="001E077F"/>
    <w:rsid w:val="001E1559"/>
    <w:rsid w:val="001E1ED6"/>
    <w:rsid w:val="001E20AB"/>
    <w:rsid w:val="001E218F"/>
    <w:rsid w:val="001E3850"/>
    <w:rsid w:val="001E51AE"/>
    <w:rsid w:val="001E558E"/>
    <w:rsid w:val="001E5A0C"/>
    <w:rsid w:val="001E5F99"/>
    <w:rsid w:val="001E798C"/>
    <w:rsid w:val="001E7AD6"/>
    <w:rsid w:val="001F137A"/>
    <w:rsid w:val="001F161A"/>
    <w:rsid w:val="001F204D"/>
    <w:rsid w:val="001F2463"/>
    <w:rsid w:val="001F5B08"/>
    <w:rsid w:val="00200BB2"/>
    <w:rsid w:val="00200E5F"/>
    <w:rsid w:val="00202697"/>
    <w:rsid w:val="002029DF"/>
    <w:rsid w:val="00203F68"/>
    <w:rsid w:val="002040B9"/>
    <w:rsid w:val="00204F30"/>
    <w:rsid w:val="002061B3"/>
    <w:rsid w:val="002067E9"/>
    <w:rsid w:val="00206AA9"/>
    <w:rsid w:val="0021052F"/>
    <w:rsid w:val="00210ED2"/>
    <w:rsid w:val="00211C68"/>
    <w:rsid w:val="002124B2"/>
    <w:rsid w:val="00214270"/>
    <w:rsid w:val="0021556E"/>
    <w:rsid w:val="00216A8D"/>
    <w:rsid w:val="00217A3C"/>
    <w:rsid w:val="00220055"/>
    <w:rsid w:val="00220616"/>
    <w:rsid w:val="00223ED4"/>
    <w:rsid w:val="00225062"/>
    <w:rsid w:val="00225D3F"/>
    <w:rsid w:val="002305DC"/>
    <w:rsid w:val="00230CEE"/>
    <w:rsid w:val="00231491"/>
    <w:rsid w:val="002314EE"/>
    <w:rsid w:val="00231698"/>
    <w:rsid w:val="00231E8C"/>
    <w:rsid w:val="00233E01"/>
    <w:rsid w:val="002353C8"/>
    <w:rsid w:val="00235D9C"/>
    <w:rsid w:val="0023660F"/>
    <w:rsid w:val="0023672C"/>
    <w:rsid w:val="002378A0"/>
    <w:rsid w:val="00241229"/>
    <w:rsid w:val="00241353"/>
    <w:rsid w:val="00241B46"/>
    <w:rsid w:val="002420B1"/>
    <w:rsid w:val="00243F1F"/>
    <w:rsid w:val="002452BB"/>
    <w:rsid w:val="002454FF"/>
    <w:rsid w:val="002466F5"/>
    <w:rsid w:val="00246C6B"/>
    <w:rsid w:val="00250A14"/>
    <w:rsid w:val="00250C84"/>
    <w:rsid w:val="00251104"/>
    <w:rsid w:val="0025149E"/>
    <w:rsid w:val="00255E26"/>
    <w:rsid w:val="00256489"/>
    <w:rsid w:val="00256B54"/>
    <w:rsid w:val="00256E1C"/>
    <w:rsid w:val="00257D8E"/>
    <w:rsid w:val="00260837"/>
    <w:rsid w:val="00260EFB"/>
    <w:rsid w:val="00261BCB"/>
    <w:rsid w:val="00262AE2"/>
    <w:rsid w:val="00262B1E"/>
    <w:rsid w:val="00263B70"/>
    <w:rsid w:val="00263C05"/>
    <w:rsid w:val="00263CEA"/>
    <w:rsid w:val="00265F24"/>
    <w:rsid w:val="002678FE"/>
    <w:rsid w:val="00270144"/>
    <w:rsid w:val="002711D6"/>
    <w:rsid w:val="00271496"/>
    <w:rsid w:val="00272543"/>
    <w:rsid w:val="00272B05"/>
    <w:rsid w:val="00272C4F"/>
    <w:rsid w:val="002732ED"/>
    <w:rsid w:val="00273844"/>
    <w:rsid w:val="00274C42"/>
    <w:rsid w:val="00275032"/>
    <w:rsid w:val="00275C37"/>
    <w:rsid w:val="00277216"/>
    <w:rsid w:val="00285A73"/>
    <w:rsid w:val="0028621A"/>
    <w:rsid w:val="00287CCA"/>
    <w:rsid w:val="00290D0D"/>
    <w:rsid w:val="0029214E"/>
    <w:rsid w:val="0029244C"/>
    <w:rsid w:val="002925ED"/>
    <w:rsid w:val="00294314"/>
    <w:rsid w:val="00294908"/>
    <w:rsid w:val="0029618E"/>
    <w:rsid w:val="002A0458"/>
    <w:rsid w:val="002A2255"/>
    <w:rsid w:val="002A27B8"/>
    <w:rsid w:val="002A2A04"/>
    <w:rsid w:val="002A2E69"/>
    <w:rsid w:val="002A2FBE"/>
    <w:rsid w:val="002A3F38"/>
    <w:rsid w:val="002A46C3"/>
    <w:rsid w:val="002A4D5B"/>
    <w:rsid w:val="002A59C9"/>
    <w:rsid w:val="002A6689"/>
    <w:rsid w:val="002A736D"/>
    <w:rsid w:val="002B027E"/>
    <w:rsid w:val="002B2F02"/>
    <w:rsid w:val="002B4C97"/>
    <w:rsid w:val="002B54E3"/>
    <w:rsid w:val="002B5D38"/>
    <w:rsid w:val="002B5FA8"/>
    <w:rsid w:val="002B7592"/>
    <w:rsid w:val="002C09CA"/>
    <w:rsid w:val="002C428E"/>
    <w:rsid w:val="002C5BFD"/>
    <w:rsid w:val="002C671C"/>
    <w:rsid w:val="002D0107"/>
    <w:rsid w:val="002D0884"/>
    <w:rsid w:val="002D18D0"/>
    <w:rsid w:val="002D2141"/>
    <w:rsid w:val="002D33F1"/>
    <w:rsid w:val="002D3C3A"/>
    <w:rsid w:val="002D40BA"/>
    <w:rsid w:val="002D429A"/>
    <w:rsid w:val="002D49C4"/>
    <w:rsid w:val="002D49F9"/>
    <w:rsid w:val="002D4C03"/>
    <w:rsid w:val="002D51C9"/>
    <w:rsid w:val="002D6045"/>
    <w:rsid w:val="002D65B3"/>
    <w:rsid w:val="002D6AF0"/>
    <w:rsid w:val="002E0DB4"/>
    <w:rsid w:val="002E1E97"/>
    <w:rsid w:val="002E216C"/>
    <w:rsid w:val="002E4547"/>
    <w:rsid w:val="002E4CE6"/>
    <w:rsid w:val="002E55A6"/>
    <w:rsid w:val="002E56AC"/>
    <w:rsid w:val="002E56FC"/>
    <w:rsid w:val="002E5AA4"/>
    <w:rsid w:val="002E5BEF"/>
    <w:rsid w:val="002E76D7"/>
    <w:rsid w:val="002E7F0F"/>
    <w:rsid w:val="002F00E2"/>
    <w:rsid w:val="002F0342"/>
    <w:rsid w:val="002F03FE"/>
    <w:rsid w:val="002F07F9"/>
    <w:rsid w:val="002F2EBF"/>
    <w:rsid w:val="002F3E01"/>
    <w:rsid w:val="002F5DCB"/>
    <w:rsid w:val="002F6231"/>
    <w:rsid w:val="002F77F5"/>
    <w:rsid w:val="00300A01"/>
    <w:rsid w:val="00300E8D"/>
    <w:rsid w:val="00301D8D"/>
    <w:rsid w:val="00302004"/>
    <w:rsid w:val="00302ACF"/>
    <w:rsid w:val="00303CF3"/>
    <w:rsid w:val="00305A3F"/>
    <w:rsid w:val="00305DB9"/>
    <w:rsid w:val="0030788F"/>
    <w:rsid w:val="0031041B"/>
    <w:rsid w:val="0031126F"/>
    <w:rsid w:val="00311C66"/>
    <w:rsid w:val="00312D59"/>
    <w:rsid w:val="003136EF"/>
    <w:rsid w:val="00313A22"/>
    <w:rsid w:val="0031418C"/>
    <w:rsid w:val="00316390"/>
    <w:rsid w:val="0031639C"/>
    <w:rsid w:val="003200CE"/>
    <w:rsid w:val="003210E0"/>
    <w:rsid w:val="003229F3"/>
    <w:rsid w:val="0032303A"/>
    <w:rsid w:val="003240E7"/>
    <w:rsid w:val="00325A20"/>
    <w:rsid w:val="0032632C"/>
    <w:rsid w:val="00326591"/>
    <w:rsid w:val="00330117"/>
    <w:rsid w:val="00330EAF"/>
    <w:rsid w:val="00331DB6"/>
    <w:rsid w:val="0033248B"/>
    <w:rsid w:val="00332C10"/>
    <w:rsid w:val="00334D70"/>
    <w:rsid w:val="00335541"/>
    <w:rsid w:val="00335730"/>
    <w:rsid w:val="00335D33"/>
    <w:rsid w:val="003367D9"/>
    <w:rsid w:val="00336BE7"/>
    <w:rsid w:val="0033773E"/>
    <w:rsid w:val="00337FFE"/>
    <w:rsid w:val="003410AC"/>
    <w:rsid w:val="00341D99"/>
    <w:rsid w:val="00342930"/>
    <w:rsid w:val="003434FF"/>
    <w:rsid w:val="0034419B"/>
    <w:rsid w:val="00344786"/>
    <w:rsid w:val="00344DDC"/>
    <w:rsid w:val="003460BC"/>
    <w:rsid w:val="00346B67"/>
    <w:rsid w:val="00347BF0"/>
    <w:rsid w:val="00350779"/>
    <w:rsid w:val="00351072"/>
    <w:rsid w:val="00351971"/>
    <w:rsid w:val="0035258A"/>
    <w:rsid w:val="00352791"/>
    <w:rsid w:val="0035547F"/>
    <w:rsid w:val="003561C0"/>
    <w:rsid w:val="0035644B"/>
    <w:rsid w:val="003564EC"/>
    <w:rsid w:val="003577B3"/>
    <w:rsid w:val="003579B6"/>
    <w:rsid w:val="003602E3"/>
    <w:rsid w:val="003609B3"/>
    <w:rsid w:val="00360D82"/>
    <w:rsid w:val="003610FC"/>
    <w:rsid w:val="00361541"/>
    <w:rsid w:val="003616ED"/>
    <w:rsid w:val="00361E74"/>
    <w:rsid w:val="0036597D"/>
    <w:rsid w:val="00365B9A"/>
    <w:rsid w:val="00365BEC"/>
    <w:rsid w:val="003679F4"/>
    <w:rsid w:val="00370590"/>
    <w:rsid w:val="003711C0"/>
    <w:rsid w:val="00371911"/>
    <w:rsid w:val="00371E1E"/>
    <w:rsid w:val="003722AF"/>
    <w:rsid w:val="00372E14"/>
    <w:rsid w:val="003733B1"/>
    <w:rsid w:val="0037369B"/>
    <w:rsid w:val="00373B79"/>
    <w:rsid w:val="003749E0"/>
    <w:rsid w:val="0037536A"/>
    <w:rsid w:val="00376E73"/>
    <w:rsid w:val="003774BD"/>
    <w:rsid w:val="003804A8"/>
    <w:rsid w:val="003805E1"/>
    <w:rsid w:val="00380DB6"/>
    <w:rsid w:val="00381564"/>
    <w:rsid w:val="0038307B"/>
    <w:rsid w:val="00383799"/>
    <w:rsid w:val="003846BF"/>
    <w:rsid w:val="003872A9"/>
    <w:rsid w:val="00387914"/>
    <w:rsid w:val="00387CEB"/>
    <w:rsid w:val="0039055C"/>
    <w:rsid w:val="003919E1"/>
    <w:rsid w:val="00391F10"/>
    <w:rsid w:val="003922AD"/>
    <w:rsid w:val="0039246F"/>
    <w:rsid w:val="003926F3"/>
    <w:rsid w:val="00392F46"/>
    <w:rsid w:val="0039385C"/>
    <w:rsid w:val="00394E1B"/>
    <w:rsid w:val="00394ECC"/>
    <w:rsid w:val="00395736"/>
    <w:rsid w:val="003A0C07"/>
    <w:rsid w:val="003A1C90"/>
    <w:rsid w:val="003A20A2"/>
    <w:rsid w:val="003A4184"/>
    <w:rsid w:val="003B022E"/>
    <w:rsid w:val="003B08B2"/>
    <w:rsid w:val="003B0AFA"/>
    <w:rsid w:val="003B19AA"/>
    <w:rsid w:val="003B1EA6"/>
    <w:rsid w:val="003B2205"/>
    <w:rsid w:val="003B332C"/>
    <w:rsid w:val="003B367F"/>
    <w:rsid w:val="003B380D"/>
    <w:rsid w:val="003B3DCD"/>
    <w:rsid w:val="003B429D"/>
    <w:rsid w:val="003B4655"/>
    <w:rsid w:val="003B4D19"/>
    <w:rsid w:val="003B51A2"/>
    <w:rsid w:val="003B6545"/>
    <w:rsid w:val="003B6B6D"/>
    <w:rsid w:val="003B6CD9"/>
    <w:rsid w:val="003C010C"/>
    <w:rsid w:val="003C0B4C"/>
    <w:rsid w:val="003C0FDD"/>
    <w:rsid w:val="003C16FD"/>
    <w:rsid w:val="003C2CD9"/>
    <w:rsid w:val="003C34A4"/>
    <w:rsid w:val="003C423F"/>
    <w:rsid w:val="003C448A"/>
    <w:rsid w:val="003C448F"/>
    <w:rsid w:val="003C46BA"/>
    <w:rsid w:val="003C4724"/>
    <w:rsid w:val="003C4C4B"/>
    <w:rsid w:val="003C74C0"/>
    <w:rsid w:val="003C7752"/>
    <w:rsid w:val="003D118C"/>
    <w:rsid w:val="003D14CE"/>
    <w:rsid w:val="003D1950"/>
    <w:rsid w:val="003D2521"/>
    <w:rsid w:val="003D3223"/>
    <w:rsid w:val="003D3229"/>
    <w:rsid w:val="003D3338"/>
    <w:rsid w:val="003D3984"/>
    <w:rsid w:val="003D5200"/>
    <w:rsid w:val="003D57BF"/>
    <w:rsid w:val="003D5C05"/>
    <w:rsid w:val="003D66E9"/>
    <w:rsid w:val="003D71D8"/>
    <w:rsid w:val="003E0545"/>
    <w:rsid w:val="003E140B"/>
    <w:rsid w:val="003E26DD"/>
    <w:rsid w:val="003E284B"/>
    <w:rsid w:val="003E2FC3"/>
    <w:rsid w:val="003E6EE8"/>
    <w:rsid w:val="003E700D"/>
    <w:rsid w:val="003E7DC5"/>
    <w:rsid w:val="003F177C"/>
    <w:rsid w:val="003F2A31"/>
    <w:rsid w:val="003F309E"/>
    <w:rsid w:val="003F3DDE"/>
    <w:rsid w:val="003F4067"/>
    <w:rsid w:val="003F4A2B"/>
    <w:rsid w:val="003F4B3F"/>
    <w:rsid w:val="003F4F49"/>
    <w:rsid w:val="003F5F7B"/>
    <w:rsid w:val="003F6283"/>
    <w:rsid w:val="003F72CD"/>
    <w:rsid w:val="004001F0"/>
    <w:rsid w:val="00400F36"/>
    <w:rsid w:val="00401B2A"/>
    <w:rsid w:val="0040252E"/>
    <w:rsid w:val="00402EC1"/>
    <w:rsid w:val="00403235"/>
    <w:rsid w:val="0040586C"/>
    <w:rsid w:val="00406C92"/>
    <w:rsid w:val="004106FD"/>
    <w:rsid w:val="00413888"/>
    <w:rsid w:val="00414C01"/>
    <w:rsid w:val="00415930"/>
    <w:rsid w:val="00417EB8"/>
    <w:rsid w:val="00425972"/>
    <w:rsid w:val="00430130"/>
    <w:rsid w:val="0043029D"/>
    <w:rsid w:val="00431A8B"/>
    <w:rsid w:val="00431D4F"/>
    <w:rsid w:val="00433D33"/>
    <w:rsid w:val="00434DCB"/>
    <w:rsid w:val="004350D6"/>
    <w:rsid w:val="004360B5"/>
    <w:rsid w:val="004361B0"/>
    <w:rsid w:val="00436235"/>
    <w:rsid w:val="004363D7"/>
    <w:rsid w:val="0043704B"/>
    <w:rsid w:val="00437731"/>
    <w:rsid w:val="00437A1B"/>
    <w:rsid w:val="00437BE1"/>
    <w:rsid w:val="004402C4"/>
    <w:rsid w:val="0044181B"/>
    <w:rsid w:val="00441A7E"/>
    <w:rsid w:val="0044337C"/>
    <w:rsid w:val="00444498"/>
    <w:rsid w:val="00444BEA"/>
    <w:rsid w:val="00444D8F"/>
    <w:rsid w:val="00445D29"/>
    <w:rsid w:val="00445E3F"/>
    <w:rsid w:val="00446D95"/>
    <w:rsid w:val="00450BCA"/>
    <w:rsid w:val="0045105E"/>
    <w:rsid w:val="004531B0"/>
    <w:rsid w:val="004543ED"/>
    <w:rsid w:val="00455B93"/>
    <w:rsid w:val="0045606C"/>
    <w:rsid w:val="00457617"/>
    <w:rsid w:val="004600AD"/>
    <w:rsid w:val="00461637"/>
    <w:rsid w:val="00462135"/>
    <w:rsid w:val="004626E6"/>
    <w:rsid w:val="00463B74"/>
    <w:rsid w:val="00464DBE"/>
    <w:rsid w:val="004671F5"/>
    <w:rsid w:val="0046723F"/>
    <w:rsid w:val="00470B33"/>
    <w:rsid w:val="00470DC5"/>
    <w:rsid w:val="00474590"/>
    <w:rsid w:val="004752FC"/>
    <w:rsid w:val="00475FDC"/>
    <w:rsid w:val="0047627E"/>
    <w:rsid w:val="00477785"/>
    <w:rsid w:val="00477F42"/>
    <w:rsid w:val="00477F86"/>
    <w:rsid w:val="004807B1"/>
    <w:rsid w:val="00481271"/>
    <w:rsid w:val="004818A2"/>
    <w:rsid w:val="00481AB0"/>
    <w:rsid w:val="00482C15"/>
    <w:rsid w:val="0048323F"/>
    <w:rsid w:val="00483417"/>
    <w:rsid w:val="00483F02"/>
    <w:rsid w:val="00484138"/>
    <w:rsid w:val="00484283"/>
    <w:rsid w:val="00484456"/>
    <w:rsid w:val="00484FB1"/>
    <w:rsid w:val="0048770E"/>
    <w:rsid w:val="00487840"/>
    <w:rsid w:val="00487F00"/>
    <w:rsid w:val="004904FF"/>
    <w:rsid w:val="004905AA"/>
    <w:rsid w:val="004913DB"/>
    <w:rsid w:val="0049184A"/>
    <w:rsid w:val="004926D7"/>
    <w:rsid w:val="0049322A"/>
    <w:rsid w:val="00494633"/>
    <w:rsid w:val="00494847"/>
    <w:rsid w:val="0049515A"/>
    <w:rsid w:val="00495F84"/>
    <w:rsid w:val="0049621E"/>
    <w:rsid w:val="004972E2"/>
    <w:rsid w:val="004A0EC5"/>
    <w:rsid w:val="004A2F01"/>
    <w:rsid w:val="004A2F35"/>
    <w:rsid w:val="004A34DE"/>
    <w:rsid w:val="004A37BB"/>
    <w:rsid w:val="004A381C"/>
    <w:rsid w:val="004A44CB"/>
    <w:rsid w:val="004A467E"/>
    <w:rsid w:val="004A5229"/>
    <w:rsid w:val="004A56CF"/>
    <w:rsid w:val="004A62BC"/>
    <w:rsid w:val="004A779A"/>
    <w:rsid w:val="004B0756"/>
    <w:rsid w:val="004B1E79"/>
    <w:rsid w:val="004B3590"/>
    <w:rsid w:val="004B383D"/>
    <w:rsid w:val="004B3DD0"/>
    <w:rsid w:val="004B513C"/>
    <w:rsid w:val="004B6104"/>
    <w:rsid w:val="004B6A55"/>
    <w:rsid w:val="004C11D8"/>
    <w:rsid w:val="004C25E7"/>
    <w:rsid w:val="004C2B2A"/>
    <w:rsid w:val="004C50F5"/>
    <w:rsid w:val="004C50FA"/>
    <w:rsid w:val="004C6008"/>
    <w:rsid w:val="004C6CC1"/>
    <w:rsid w:val="004D0149"/>
    <w:rsid w:val="004D033C"/>
    <w:rsid w:val="004D064A"/>
    <w:rsid w:val="004D26D6"/>
    <w:rsid w:val="004D2766"/>
    <w:rsid w:val="004D3188"/>
    <w:rsid w:val="004D4672"/>
    <w:rsid w:val="004D70C5"/>
    <w:rsid w:val="004D7B50"/>
    <w:rsid w:val="004E0031"/>
    <w:rsid w:val="004E2A95"/>
    <w:rsid w:val="004E3EC7"/>
    <w:rsid w:val="004E4785"/>
    <w:rsid w:val="004E4D2E"/>
    <w:rsid w:val="004E51E0"/>
    <w:rsid w:val="004E6091"/>
    <w:rsid w:val="004F06E8"/>
    <w:rsid w:val="004F0C33"/>
    <w:rsid w:val="004F1068"/>
    <w:rsid w:val="004F191C"/>
    <w:rsid w:val="004F2945"/>
    <w:rsid w:val="004F3E38"/>
    <w:rsid w:val="004F62AE"/>
    <w:rsid w:val="004F715B"/>
    <w:rsid w:val="004F7A78"/>
    <w:rsid w:val="00500AF4"/>
    <w:rsid w:val="0050309F"/>
    <w:rsid w:val="005034F4"/>
    <w:rsid w:val="00504535"/>
    <w:rsid w:val="00504568"/>
    <w:rsid w:val="00505197"/>
    <w:rsid w:val="00507A16"/>
    <w:rsid w:val="00510AF3"/>
    <w:rsid w:val="0051141F"/>
    <w:rsid w:val="00511429"/>
    <w:rsid w:val="00511960"/>
    <w:rsid w:val="005119AB"/>
    <w:rsid w:val="0051270D"/>
    <w:rsid w:val="00512F71"/>
    <w:rsid w:val="00514CCA"/>
    <w:rsid w:val="00515C2E"/>
    <w:rsid w:val="00515E5E"/>
    <w:rsid w:val="005167A5"/>
    <w:rsid w:val="005167E1"/>
    <w:rsid w:val="00517487"/>
    <w:rsid w:val="005174EF"/>
    <w:rsid w:val="005201D0"/>
    <w:rsid w:val="00521E76"/>
    <w:rsid w:val="00522B16"/>
    <w:rsid w:val="005231A5"/>
    <w:rsid w:val="00523721"/>
    <w:rsid w:val="00523890"/>
    <w:rsid w:val="0052439C"/>
    <w:rsid w:val="005245E7"/>
    <w:rsid w:val="00525072"/>
    <w:rsid w:val="00525385"/>
    <w:rsid w:val="00526043"/>
    <w:rsid w:val="0052720C"/>
    <w:rsid w:val="00531049"/>
    <w:rsid w:val="00531BAC"/>
    <w:rsid w:val="00533411"/>
    <w:rsid w:val="00534AE5"/>
    <w:rsid w:val="00534BA6"/>
    <w:rsid w:val="0053717C"/>
    <w:rsid w:val="00537919"/>
    <w:rsid w:val="0054236D"/>
    <w:rsid w:val="005426E2"/>
    <w:rsid w:val="00543C9E"/>
    <w:rsid w:val="0054457C"/>
    <w:rsid w:val="00544837"/>
    <w:rsid w:val="005455D5"/>
    <w:rsid w:val="005475CA"/>
    <w:rsid w:val="00550846"/>
    <w:rsid w:val="0055089B"/>
    <w:rsid w:val="00551B8E"/>
    <w:rsid w:val="00552848"/>
    <w:rsid w:val="00552AB3"/>
    <w:rsid w:val="00553BE8"/>
    <w:rsid w:val="00555AD0"/>
    <w:rsid w:val="005617D2"/>
    <w:rsid w:val="00561E3B"/>
    <w:rsid w:val="00561FA5"/>
    <w:rsid w:val="00562C9F"/>
    <w:rsid w:val="005632FB"/>
    <w:rsid w:val="00563810"/>
    <w:rsid w:val="00563A71"/>
    <w:rsid w:val="0056476C"/>
    <w:rsid w:val="00564A7F"/>
    <w:rsid w:val="00564D9A"/>
    <w:rsid w:val="005657B4"/>
    <w:rsid w:val="005666C9"/>
    <w:rsid w:val="00567B96"/>
    <w:rsid w:val="00567D7B"/>
    <w:rsid w:val="005720BB"/>
    <w:rsid w:val="00572503"/>
    <w:rsid w:val="00573C7C"/>
    <w:rsid w:val="0057406D"/>
    <w:rsid w:val="00581099"/>
    <w:rsid w:val="00584714"/>
    <w:rsid w:val="00584F83"/>
    <w:rsid w:val="00585115"/>
    <w:rsid w:val="0058528C"/>
    <w:rsid w:val="005862B9"/>
    <w:rsid w:val="00586686"/>
    <w:rsid w:val="0058736E"/>
    <w:rsid w:val="005875B1"/>
    <w:rsid w:val="00587D37"/>
    <w:rsid w:val="00590CB4"/>
    <w:rsid w:val="00591311"/>
    <w:rsid w:val="00591570"/>
    <w:rsid w:val="00591FCA"/>
    <w:rsid w:val="00592730"/>
    <w:rsid w:val="00593AC2"/>
    <w:rsid w:val="00593FB5"/>
    <w:rsid w:val="0059467B"/>
    <w:rsid w:val="005952D8"/>
    <w:rsid w:val="00595C4D"/>
    <w:rsid w:val="00595C58"/>
    <w:rsid w:val="00597C7E"/>
    <w:rsid w:val="00597E70"/>
    <w:rsid w:val="005A05F2"/>
    <w:rsid w:val="005A248A"/>
    <w:rsid w:val="005A2FE6"/>
    <w:rsid w:val="005A356C"/>
    <w:rsid w:val="005A3C2A"/>
    <w:rsid w:val="005A3D92"/>
    <w:rsid w:val="005A4D56"/>
    <w:rsid w:val="005A4DAF"/>
    <w:rsid w:val="005A4F5E"/>
    <w:rsid w:val="005A54B7"/>
    <w:rsid w:val="005A5C6C"/>
    <w:rsid w:val="005A62CA"/>
    <w:rsid w:val="005A6C4E"/>
    <w:rsid w:val="005B0857"/>
    <w:rsid w:val="005B25E7"/>
    <w:rsid w:val="005B329D"/>
    <w:rsid w:val="005B3C2C"/>
    <w:rsid w:val="005B52DB"/>
    <w:rsid w:val="005B64C9"/>
    <w:rsid w:val="005C0893"/>
    <w:rsid w:val="005C0D88"/>
    <w:rsid w:val="005C14DA"/>
    <w:rsid w:val="005C1B31"/>
    <w:rsid w:val="005C2882"/>
    <w:rsid w:val="005C2D3C"/>
    <w:rsid w:val="005C57ED"/>
    <w:rsid w:val="005C643F"/>
    <w:rsid w:val="005C65C3"/>
    <w:rsid w:val="005C729A"/>
    <w:rsid w:val="005C7889"/>
    <w:rsid w:val="005C78C9"/>
    <w:rsid w:val="005C7961"/>
    <w:rsid w:val="005D0015"/>
    <w:rsid w:val="005D009E"/>
    <w:rsid w:val="005D1171"/>
    <w:rsid w:val="005D2733"/>
    <w:rsid w:val="005D2B12"/>
    <w:rsid w:val="005D4283"/>
    <w:rsid w:val="005D44A6"/>
    <w:rsid w:val="005D4EA2"/>
    <w:rsid w:val="005D5618"/>
    <w:rsid w:val="005D691E"/>
    <w:rsid w:val="005D6BC5"/>
    <w:rsid w:val="005D7784"/>
    <w:rsid w:val="005D7A11"/>
    <w:rsid w:val="005D7AB4"/>
    <w:rsid w:val="005E0B23"/>
    <w:rsid w:val="005E2211"/>
    <w:rsid w:val="005E24B6"/>
    <w:rsid w:val="005E2741"/>
    <w:rsid w:val="005E2913"/>
    <w:rsid w:val="005E2B35"/>
    <w:rsid w:val="005E4A46"/>
    <w:rsid w:val="005E4B4E"/>
    <w:rsid w:val="005E6EC4"/>
    <w:rsid w:val="005F1B58"/>
    <w:rsid w:val="005F2D6B"/>
    <w:rsid w:val="005F39DD"/>
    <w:rsid w:val="005F3C84"/>
    <w:rsid w:val="005F4B88"/>
    <w:rsid w:val="005F63D0"/>
    <w:rsid w:val="0060040E"/>
    <w:rsid w:val="0060062D"/>
    <w:rsid w:val="00600956"/>
    <w:rsid w:val="00603250"/>
    <w:rsid w:val="00604056"/>
    <w:rsid w:val="0060406D"/>
    <w:rsid w:val="00605D19"/>
    <w:rsid w:val="00606171"/>
    <w:rsid w:val="00606311"/>
    <w:rsid w:val="00606B3A"/>
    <w:rsid w:val="006073DB"/>
    <w:rsid w:val="00607F7E"/>
    <w:rsid w:val="00610431"/>
    <w:rsid w:val="00611BDE"/>
    <w:rsid w:val="00613C29"/>
    <w:rsid w:val="00617321"/>
    <w:rsid w:val="00620435"/>
    <w:rsid w:val="00620F12"/>
    <w:rsid w:val="006212DB"/>
    <w:rsid w:val="00621A74"/>
    <w:rsid w:val="0062295C"/>
    <w:rsid w:val="00622F7E"/>
    <w:rsid w:val="0062383A"/>
    <w:rsid w:val="0062396E"/>
    <w:rsid w:val="00623D18"/>
    <w:rsid w:val="006253F3"/>
    <w:rsid w:val="00625586"/>
    <w:rsid w:val="00625791"/>
    <w:rsid w:val="00625FED"/>
    <w:rsid w:val="0062614E"/>
    <w:rsid w:val="0062743D"/>
    <w:rsid w:val="006303DA"/>
    <w:rsid w:val="0063164B"/>
    <w:rsid w:val="006338D7"/>
    <w:rsid w:val="00633BD7"/>
    <w:rsid w:val="00633DB4"/>
    <w:rsid w:val="006342C4"/>
    <w:rsid w:val="006347E2"/>
    <w:rsid w:val="00634B50"/>
    <w:rsid w:val="00635310"/>
    <w:rsid w:val="006353FA"/>
    <w:rsid w:val="006375AD"/>
    <w:rsid w:val="00637ECC"/>
    <w:rsid w:val="006409BA"/>
    <w:rsid w:val="00640C1C"/>
    <w:rsid w:val="0064169B"/>
    <w:rsid w:val="006418DD"/>
    <w:rsid w:val="006424F8"/>
    <w:rsid w:val="006438EF"/>
    <w:rsid w:val="00643DE5"/>
    <w:rsid w:val="00644216"/>
    <w:rsid w:val="006444B7"/>
    <w:rsid w:val="00644694"/>
    <w:rsid w:val="00646BC1"/>
    <w:rsid w:val="00647A65"/>
    <w:rsid w:val="00650E9A"/>
    <w:rsid w:val="00651287"/>
    <w:rsid w:val="00651EB9"/>
    <w:rsid w:val="006524C4"/>
    <w:rsid w:val="00652FD8"/>
    <w:rsid w:val="006532FC"/>
    <w:rsid w:val="006540E7"/>
    <w:rsid w:val="00654160"/>
    <w:rsid w:val="0065420B"/>
    <w:rsid w:val="006547C0"/>
    <w:rsid w:val="00655CDA"/>
    <w:rsid w:val="00657737"/>
    <w:rsid w:val="006579D7"/>
    <w:rsid w:val="00660485"/>
    <w:rsid w:val="006618FB"/>
    <w:rsid w:val="00661AA0"/>
    <w:rsid w:val="006635A2"/>
    <w:rsid w:val="00663699"/>
    <w:rsid w:val="006637A9"/>
    <w:rsid w:val="006640B1"/>
    <w:rsid w:val="00664A28"/>
    <w:rsid w:val="00665650"/>
    <w:rsid w:val="00666453"/>
    <w:rsid w:val="0066753A"/>
    <w:rsid w:val="0066773E"/>
    <w:rsid w:val="00667F44"/>
    <w:rsid w:val="0067046A"/>
    <w:rsid w:val="00671178"/>
    <w:rsid w:val="00671DAA"/>
    <w:rsid w:val="006724BE"/>
    <w:rsid w:val="00672642"/>
    <w:rsid w:val="00672F98"/>
    <w:rsid w:val="00673048"/>
    <w:rsid w:val="0067309D"/>
    <w:rsid w:val="00673972"/>
    <w:rsid w:val="00673B85"/>
    <w:rsid w:val="006740A8"/>
    <w:rsid w:val="006743AF"/>
    <w:rsid w:val="00675532"/>
    <w:rsid w:val="006779D6"/>
    <w:rsid w:val="00677C07"/>
    <w:rsid w:val="00677D48"/>
    <w:rsid w:val="00680A81"/>
    <w:rsid w:val="006810D7"/>
    <w:rsid w:val="00683BAF"/>
    <w:rsid w:val="00683F6C"/>
    <w:rsid w:val="006847CA"/>
    <w:rsid w:val="00684D6F"/>
    <w:rsid w:val="00684E87"/>
    <w:rsid w:val="00685B06"/>
    <w:rsid w:val="00686148"/>
    <w:rsid w:val="00686EBE"/>
    <w:rsid w:val="00687993"/>
    <w:rsid w:val="00690372"/>
    <w:rsid w:val="0069079C"/>
    <w:rsid w:val="0069102F"/>
    <w:rsid w:val="00691C89"/>
    <w:rsid w:val="006934DB"/>
    <w:rsid w:val="006946DD"/>
    <w:rsid w:val="00694C0C"/>
    <w:rsid w:val="00694FAB"/>
    <w:rsid w:val="00696A7B"/>
    <w:rsid w:val="00696D73"/>
    <w:rsid w:val="006A0103"/>
    <w:rsid w:val="006A06FE"/>
    <w:rsid w:val="006A1654"/>
    <w:rsid w:val="006A260F"/>
    <w:rsid w:val="006A2CBE"/>
    <w:rsid w:val="006A4646"/>
    <w:rsid w:val="006A487D"/>
    <w:rsid w:val="006A744F"/>
    <w:rsid w:val="006B05B0"/>
    <w:rsid w:val="006B2B4B"/>
    <w:rsid w:val="006B334A"/>
    <w:rsid w:val="006B4140"/>
    <w:rsid w:val="006B4E61"/>
    <w:rsid w:val="006B69A3"/>
    <w:rsid w:val="006C128A"/>
    <w:rsid w:val="006C2594"/>
    <w:rsid w:val="006C28A1"/>
    <w:rsid w:val="006C356C"/>
    <w:rsid w:val="006C4AE3"/>
    <w:rsid w:val="006C592A"/>
    <w:rsid w:val="006C687C"/>
    <w:rsid w:val="006C7A2E"/>
    <w:rsid w:val="006D00BF"/>
    <w:rsid w:val="006D0562"/>
    <w:rsid w:val="006D0998"/>
    <w:rsid w:val="006D09BD"/>
    <w:rsid w:val="006D2961"/>
    <w:rsid w:val="006D3F1F"/>
    <w:rsid w:val="006D5430"/>
    <w:rsid w:val="006D5DB8"/>
    <w:rsid w:val="006D65B4"/>
    <w:rsid w:val="006D7646"/>
    <w:rsid w:val="006D7AD8"/>
    <w:rsid w:val="006E04BF"/>
    <w:rsid w:val="006E0602"/>
    <w:rsid w:val="006E0776"/>
    <w:rsid w:val="006E1B29"/>
    <w:rsid w:val="006E45A7"/>
    <w:rsid w:val="006E544E"/>
    <w:rsid w:val="006E632B"/>
    <w:rsid w:val="006E6D09"/>
    <w:rsid w:val="006E7659"/>
    <w:rsid w:val="006F03CF"/>
    <w:rsid w:val="006F14B3"/>
    <w:rsid w:val="006F1AE5"/>
    <w:rsid w:val="006F387C"/>
    <w:rsid w:val="006F38F9"/>
    <w:rsid w:val="006F3B2D"/>
    <w:rsid w:val="006F59C9"/>
    <w:rsid w:val="00700004"/>
    <w:rsid w:val="007011FB"/>
    <w:rsid w:val="007012F7"/>
    <w:rsid w:val="00701ED8"/>
    <w:rsid w:val="00703AD7"/>
    <w:rsid w:val="00705C9E"/>
    <w:rsid w:val="007065E0"/>
    <w:rsid w:val="007074EB"/>
    <w:rsid w:val="00707895"/>
    <w:rsid w:val="007079C3"/>
    <w:rsid w:val="00710CC6"/>
    <w:rsid w:val="00712B91"/>
    <w:rsid w:val="00712BB4"/>
    <w:rsid w:val="00713126"/>
    <w:rsid w:val="007132FA"/>
    <w:rsid w:val="00713923"/>
    <w:rsid w:val="00714133"/>
    <w:rsid w:val="00714E57"/>
    <w:rsid w:val="00714F9C"/>
    <w:rsid w:val="00715030"/>
    <w:rsid w:val="007154C4"/>
    <w:rsid w:val="00715B7B"/>
    <w:rsid w:val="007165BF"/>
    <w:rsid w:val="007168DA"/>
    <w:rsid w:val="007177AB"/>
    <w:rsid w:val="00717C24"/>
    <w:rsid w:val="00717D1A"/>
    <w:rsid w:val="007224C3"/>
    <w:rsid w:val="00722C8B"/>
    <w:rsid w:val="00723216"/>
    <w:rsid w:val="00725056"/>
    <w:rsid w:val="00725A4C"/>
    <w:rsid w:val="007272E8"/>
    <w:rsid w:val="0073021E"/>
    <w:rsid w:val="00730819"/>
    <w:rsid w:val="007314C0"/>
    <w:rsid w:val="00731796"/>
    <w:rsid w:val="007317B5"/>
    <w:rsid w:val="00731E7B"/>
    <w:rsid w:val="00733141"/>
    <w:rsid w:val="00733A3F"/>
    <w:rsid w:val="00733B86"/>
    <w:rsid w:val="007347A7"/>
    <w:rsid w:val="007349AE"/>
    <w:rsid w:val="0073501B"/>
    <w:rsid w:val="00736F5B"/>
    <w:rsid w:val="00737E08"/>
    <w:rsid w:val="007404ED"/>
    <w:rsid w:val="0074092E"/>
    <w:rsid w:val="00743C63"/>
    <w:rsid w:val="00744D8B"/>
    <w:rsid w:val="00745026"/>
    <w:rsid w:val="00747426"/>
    <w:rsid w:val="00747BC4"/>
    <w:rsid w:val="00750DD1"/>
    <w:rsid w:val="00751D88"/>
    <w:rsid w:val="007557A9"/>
    <w:rsid w:val="00756AD9"/>
    <w:rsid w:val="007574EE"/>
    <w:rsid w:val="00760172"/>
    <w:rsid w:val="007606C4"/>
    <w:rsid w:val="00760DFD"/>
    <w:rsid w:val="00761161"/>
    <w:rsid w:val="0076149B"/>
    <w:rsid w:val="00761809"/>
    <w:rsid w:val="00761EE4"/>
    <w:rsid w:val="0076228D"/>
    <w:rsid w:val="00762415"/>
    <w:rsid w:val="00762EB1"/>
    <w:rsid w:val="007634D4"/>
    <w:rsid w:val="00763F93"/>
    <w:rsid w:val="00765EBD"/>
    <w:rsid w:val="007660C3"/>
    <w:rsid w:val="0076684E"/>
    <w:rsid w:val="0076697A"/>
    <w:rsid w:val="00766E78"/>
    <w:rsid w:val="00767036"/>
    <w:rsid w:val="00767A18"/>
    <w:rsid w:val="00770552"/>
    <w:rsid w:val="0077096B"/>
    <w:rsid w:val="00772CB8"/>
    <w:rsid w:val="00773F1B"/>
    <w:rsid w:val="00774D9F"/>
    <w:rsid w:val="00775615"/>
    <w:rsid w:val="007771A0"/>
    <w:rsid w:val="007776B8"/>
    <w:rsid w:val="00777C1C"/>
    <w:rsid w:val="00780908"/>
    <w:rsid w:val="00781267"/>
    <w:rsid w:val="007824AB"/>
    <w:rsid w:val="0078285A"/>
    <w:rsid w:val="00783562"/>
    <w:rsid w:val="0078462F"/>
    <w:rsid w:val="0078469F"/>
    <w:rsid w:val="007856BD"/>
    <w:rsid w:val="0078632F"/>
    <w:rsid w:val="007864BE"/>
    <w:rsid w:val="00787562"/>
    <w:rsid w:val="00787A30"/>
    <w:rsid w:val="00787C92"/>
    <w:rsid w:val="0079110A"/>
    <w:rsid w:val="00791388"/>
    <w:rsid w:val="007915C0"/>
    <w:rsid w:val="00791D0A"/>
    <w:rsid w:val="007947C9"/>
    <w:rsid w:val="00794B51"/>
    <w:rsid w:val="00794C55"/>
    <w:rsid w:val="00794C57"/>
    <w:rsid w:val="007961F0"/>
    <w:rsid w:val="007969EF"/>
    <w:rsid w:val="007969F9"/>
    <w:rsid w:val="007971C1"/>
    <w:rsid w:val="007A070E"/>
    <w:rsid w:val="007A247E"/>
    <w:rsid w:val="007A33D5"/>
    <w:rsid w:val="007A3421"/>
    <w:rsid w:val="007A564D"/>
    <w:rsid w:val="007A73E0"/>
    <w:rsid w:val="007B3202"/>
    <w:rsid w:val="007B47D6"/>
    <w:rsid w:val="007B4F95"/>
    <w:rsid w:val="007B57FA"/>
    <w:rsid w:val="007B586D"/>
    <w:rsid w:val="007B5A5A"/>
    <w:rsid w:val="007B5F84"/>
    <w:rsid w:val="007B6FDD"/>
    <w:rsid w:val="007C1E69"/>
    <w:rsid w:val="007C4D4C"/>
    <w:rsid w:val="007C5A64"/>
    <w:rsid w:val="007C69D5"/>
    <w:rsid w:val="007D1CDA"/>
    <w:rsid w:val="007D528F"/>
    <w:rsid w:val="007D6438"/>
    <w:rsid w:val="007D7F86"/>
    <w:rsid w:val="007E0DE3"/>
    <w:rsid w:val="007E1260"/>
    <w:rsid w:val="007E1664"/>
    <w:rsid w:val="007E20A3"/>
    <w:rsid w:val="007E2473"/>
    <w:rsid w:val="007E2625"/>
    <w:rsid w:val="007E31A6"/>
    <w:rsid w:val="007E37F3"/>
    <w:rsid w:val="007E4523"/>
    <w:rsid w:val="007E4AFA"/>
    <w:rsid w:val="007E5CEB"/>
    <w:rsid w:val="007F02FB"/>
    <w:rsid w:val="007F0DB9"/>
    <w:rsid w:val="007F0E04"/>
    <w:rsid w:val="007F33EC"/>
    <w:rsid w:val="007F505D"/>
    <w:rsid w:val="007F613B"/>
    <w:rsid w:val="007F71F3"/>
    <w:rsid w:val="007F7BF1"/>
    <w:rsid w:val="008003AF"/>
    <w:rsid w:val="008011B1"/>
    <w:rsid w:val="00801B35"/>
    <w:rsid w:val="00802F55"/>
    <w:rsid w:val="008040DB"/>
    <w:rsid w:val="00807122"/>
    <w:rsid w:val="008132C0"/>
    <w:rsid w:val="00813A16"/>
    <w:rsid w:val="00815B08"/>
    <w:rsid w:val="00815D77"/>
    <w:rsid w:val="0081623E"/>
    <w:rsid w:val="00817C10"/>
    <w:rsid w:val="00820553"/>
    <w:rsid w:val="0082166A"/>
    <w:rsid w:val="00822292"/>
    <w:rsid w:val="00823BF8"/>
    <w:rsid w:val="008261F9"/>
    <w:rsid w:val="00826E21"/>
    <w:rsid w:val="0082714C"/>
    <w:rsid w:val="008302B1"/>
    <w:rsid w:val="00830537"/>
    <w:rsid w:val="0083151A"/>
    <w:rsid w:val="00833797"/>
    <w:rsid w:val="00833AD2"/>
    <w:rsid w:val="00833C18"/>
    <w:rsid w:val="00835A58"/>
    <w:rsid w:val="00837275"/>
    <w:rsid w:val="00840296"/>
    <w:rsid w:val="00840717"/>
    <w:rsid w:val="008408D1"/>
    <w:rsid w:val="008433A0"/>
    <w:rsid w:val="008444CB"/>
    <w:rsid w:val="00844FE3"/>
    <w:rsid w:val="0084586C"/>
    <w:rsid w:val="0084603E"/>
    <w:rsid w:val="00846F95"/>
    <w:rsid w:val="00851390"/>
    <w:rsid w:val="00852B80"/>
    <w:rsid w:val="008530ED"/>
    <w:rsid w:val="00853871"/>
    <w:rsid w:val="00855BDC"/>
    <w:rsid w:val="00855E00"/>
    <w:rsid w:val="008561C5"/>
    <w:rsid w:val="008604A8"/>
    <w:rsid w:val="00861425"/>
    <w:rsid w:val="0086225B"/>
    <w:rsid w:val="00863335"/>
    <w:rsid w:val="00863AC5"/>
    <w:rsid w:val="008643A0"/>
    <w:rsid w:val="008651AF"/>
    <w:rsid w:val="00865544"/>
    <w:rsid w:val="0087225C"/>
    <w:rsid w:val="008728E6"/>
    <w:rsid w:val="00873025"/>
    <w:rsid w:val="008732BC"/>
    <w:rsid w:val="00873653"/>
    <w:rsid w:val="008748C0"/>
    <w:rsid w:val="00874F44"/>
    <w:rsid w:val="00875587"/>
    <w:rsid w:val="00876EDB"/>
    <w:rsid w:val="00877EE7"/>
    <w:rsid w:val="0088016C"/>
    <w:rsid w:val="00881160"/>
    <w:rsid w:val="00881818"/>
    <w:rsid w:val="00881E4C"/>
    <w:rsid w:val="00881F79"/>
    <w:rsid w:val="008846D9"/>
    <w:rsid w:val="00884E16"/>
    <w:rsid w:val="00885D3B"/>
    <w:rsid w:val="00893694"/>
    <w:rsid w:val="00894ACA"/>
    <w:rsid w:val="00896ADA"/>
    <w:rsid w:val="008A0167"/>
    <w:rsid w:val="008A21CD"/>
    <w:rsid w:val="008A364A"/>
    <w:rsid w:val="008A426F"/>
    <w:rsid w:val="008A5AB2"/>
    <w:rsid w:val="008A6361"/>
    <w:rsid w:val="008A70CD"/>
    <w:rsid w:val="008A7AB1"/>
    <w:rsid w:val="008B000B"/>
    <w:rsid w:val="008B03A1"/>
    <w:rsid w:val="008B0AE5"/>
    <w:rsid w:val="008B14AA"/>
    <w:rsid w:val="008B5CA4"/>
    <w:rsid w:val="008B627F"/>
    <w:rsid w:val="008B6561"/>
    <w:rsid w:val="008B7360"/>
    <w:rsid w:val="008B7C4B"/>
    <w:rsid w:val="008B7FB6"/>
    <w:rsid w:val="008C06D2"/>
    <w:rsid w:val="008C0D9B"/>
    <w:rsid w:val="008C12A9"/>
    <w:rsid w:val="008C1FCA"/>
    <w:rsid w:val="008C24FA"/>
    <w:rsid w:val="008C3D6D"/>
    <w:rsid w:val="008C49E9"/>
    <w:rsid w:val="008C59EB"/>
    <w:rsid w:val="008C6625"/>
    <w:rsid w:val="008D029F"/>
    <w:rsid w:val="008D0F62"/>
    <w:rsid w:val="008D116D"/>
    <w:rsid w:val="008D2469"/>
    <w:rsid w:val="008D2523"/>
    <w:rsid w:val="008D4423"/>
    <w:rsid w:val="008D4425"/>
    <w:rsid w:val="008D45D8"/>
    <w:rsid w:val="008D470C"/>
    <w:rsid w:val="008D51FB"/>
    <w:rsid w:val="008D6602"/>
    <w:rsid w:val="008D6ACA"/>
    <w:rsid w:val="008D712E"/>
    <w:rsid w:val="008D7827"/>
    <w:rsid w:val="008D7C62"/>
    <w:rsid w:val="008E09F5"/>
    <w:rsid w:val="008E0D12"/>
    <w:rsid w:val="008E2F26"/>
    <w:rsid w:val="008E4148"/>
    <w:rsid w:val="008E6C48"/>
    <w:rsid w:val="008E6F04"/>
    <w:rsid w:val="008F0889"/>
    <w:rsid w:val="008F1A07"/>
    <w:rsid w:val="008F20C1"/>
    <w:rsid w:val="008F27C8"/>
    <w:rsid w:val="008F284C"/>
    <w:rsid w:val="008F42AD"/>
    <w:rsid w:val="008F4360"/>
    <w:rsid w:val="008F4508"/>
    <w:rsid w:val="008F512D"/>
    <w:rsid w:val="008F5FF1"/>
    <w:rsid w:val="008F610B"/>
    <w:rsid w:val="008F6AE7"/>
    <w:rsid w:val="008F71AA"/>
    <w:rsid w:val="008F74B2"/>
    <w:rsid w:val="008F7C78"/>
    <w:rsid w:val="00902D6C"/>
    <w:rsid w:val="009041CB"/>
    <w:rsid w:val="00905176"/>
    <w:rsid w:val="00906A11"/>
    <w:rsid w:val="00906A79"/>
    <w:rsid w:val="00906A83"/>
    <w:rsid w:val="00907530"/>
    <w:rsid w:val="009075E9"/>
    <w:rsid w:val="0091111C"/>
    <w:rsid w:val="0091169B"/>
    <w:rsid w:val="00911CBE"/>
    <w:rsid w:val="0091284C"/>
    <w:rsid w:val="00912DE4"/>
    <w:rsid w:val="00913326"/>
    <w:rsid w:val="00913697"/>
    <w:rsid w:val="0091725B"/>
    <w:rsid w:val="00917DEB"/>
    <w:rsid w:val="009204D6"/>
    <w:rsid w:val="00922096"/>
    <w:rsid w:val="0092210A"/>
    <w:rsid w:val="00922463"/>
    <w:rsid w:val="00925F20"/>
    <w:rsid w:val="00933290"/>
    <w:rsid w:val="00933364"/>
    <w:rsid w:val="00935E1F"/>
    <w:rsid w:val="009365C6"/>
    <w:rsid w:val="00936B91"/>
    <w:rsid w:val="00936D2B"/>
    <w:rsid w:val="00937B30"/>
    <w:rsid w:val="00940DE2"/>
    <w:rsid w:val="0094134A"/>
    <w:rsid w:val="00941C6E"/>
    <w:rsid w:val="00941C76"/>
    <w:rsid w:val="009434DB"/>
    <w:rsid w:val="00943C76"/>
    <w:rsid w:val="00952ACB"/>
    <w:rsid w:val="00952BF6"/>
    <w:rsid w:val="00952EF6"/>
    <w:rsid w:val="009532CA"/>
    <w:rsid w:val="00954737"/>
    <w:rsid w:val="0095594C"/>
    <w:rsid w:val="00955C73"/>
    <w:rsid w:val="00957E03"/>
    <w:rsid w:val="00957F0D"/>
    <w:rsid w:val="00960B89"/>
    <w:rsid w:val="0096144D"/>
    <w:rsid w:val="00961765"/>
    <w:rsid w:val="009619CB"/>
    <w:rsid w:val="009623F0"/>
    <w:rsid w:val="00963160"/>
    <w:rsid w:val="009640E0"/>
    <w:rsid w:val="00964D6B"/>
    <w:rsid w:val="00967414"/>
    <w:rsid w:val="00971055"/>
    <w:rsid w:val="00971ECD"/>
    <w:rsid w:val="0097304C"/>
    <w:rsid w:val="00974AFF"/>
    <w:rsid w:val="00974F9A"/>
    <w:rsid w:val="00975301"/>
    <w:rsid w:val="00975FD9"/>
    <w:rsid w:val="00976160"/>
    <w:rsid w:val="00976383"/>
    <w:rsid w:val="00976C64"/>
    <w:rsid w:val="00976F62"/>
    <w:rsid w:val="00982FEE"/>
    <w:rsid w:val="0098620C"/>
    <w:rsid w:val="0098702B"/>
    <w:rsid w:val="00987AB1"/>
    <w:rsid w:val="00987E9F"/>
    <w:rsid w:val="00992201"/>
    <w:rsid w:val="009926AF"/>
    <w:rsid w:val="00992A4C"/>
    <w:rsid w:val="009931E2"/>
    <w:rsid w:val="00993500"/>
    <w:rsid w:val="0099454D"/>
    <w:rsid w:val="00994CD7"/>
    <w:rsid w:val="009A0115"/>
    <w:rsid w:val="009A0741"/>
    <w:rsid w:val="009A15C1"/>
    <w:rsid w:val="009A1608"/>
    <w:rsid w:val="009A26F5"/>
    <w:rsid w:val="009A2A43"/>
    <w:rsid w:val="009A5353"/>
    <w:rsid w:val="009A67EB"/>
    <w:rsid w:val="009A67F2"/>
    <w:rsid w:val="009A6CC2"/>
    <w:rsid w:val="009A7B8F"/>
    <w:rsid w:val="009A7DFD"/>
    <w:rsid w:val="009B02EB"/>
    <w:rsid w:val="009B1062"/>
    <w:rsid w:val="009B169A"/>
    <w:rsid w:val="009B2128"/>
    <w:rsid w:val="009B2261"/>
    <w:rsid w:val="009B35DC"/>
    <w:rsid w:val="009B4CBF"/>
    <w:rsid w:val="009B63AC"/>
    <w:rsid w:val="009C1B20"/>
    <w:rsid w:val="009C29D4"/>
    <w:rsid w:val="009C2C07"/>
    <w:rsid w:val="009C2CBA"/>
    <w:rsid w:val="009C2DDC"/>
    <w:rsid w:val="009C2EBE"/>
    <w:rsid w:val="009C40FB"/>
    <w:rsid w:val="009C4BE1"/>
    <w:rsid w:val="009C4FF4"/>
    <w:rsid w:val="009C5047"/>
    <w:rsid w:val="009C67EC"/>
    <w:rsid w:val="009C6D1F"/>
    <w:rsid w:val="009C70E6"/>
    <w:rsid w:val="009C7839"/>
    <w:rsid w:val="009D13EE"/>
    <w:rsid w:val="009D1414"/>
    <w:rsid w:val="009D1B20"/>
    <w:rsid w:val="009D1F42"/>
    <w:rsid w:val="009D30BE"/>
    <w:rsid w:val="009D3A89"/>
    <w:rsid w:val="009D3E5A"/>
    <w:rsid w:val="009D3EFA"/>
    <w:rsid w:val="009D4CA6"/>
    <w:rsid w:val="009D584A"/>
    <w:rsid w:val="009D66F9"/>
    <w:rsid w:val="009E0D4B"/>
    <w:rsid w:val="009E1F7C"/>
    <w:rsid w:val="009E2F47"/>
    <w:rsid w:val="009E37B4"/>
    <w:rsid w:val="009E40D3"/>
    <w:rsid w:val="009E44A6"/>
    <w:rsid w:val="009E497F"/>
    <w:rsid w:val="009E4CA2"/>
    <w:rsid w:val="009E688A"/>
    <w:rsid w:val="009E69A3"/>
    <w:rsid w:val="009F1030"/>
    <w:rsid w:val="009F115F"/>
    <w:rsid w:val="009F117A"/>
    <w:rsid w:val="009F2174"/>
    <w:rsid w:val="009F5A17"/>
    <w:rsid w:val="009F60F0"/>
    <w:rsid w:val="009F715B"/>
    <w:rsid w:val="009F75D4"/>
    <w:rsid w:val="009F7F24"/>
    <w:rsid w:val="00A00670"/>
    <w:rsid w:val="00A00985"/>
    <w:rsid w:val="00A00C3A"/>
    <w:rsid w:val="00A02EE8"/>
    <w:rsid w:val="00A03B19"/>
    <w:rsid w:val="00A0635F"/>
    <w:rsid w:val="00A0639C"/>
    <w:rsid w:val="00A0793C"/>
    <w:rsid w:val="00A07BE3"/>
    <w:rsid w:val="00A12092"/>
    <w:rsid w:val="00A14014"/>
    <w:rsid w:val="00A14A1B"/>
    <w:rsid w:val="00A14A5F"/>
    <w:rsid w:val="00A14F06"/>
    <w:rsid w:val="00A15617"/>
    <w:rsid w:val="00A15DDE"/>
    <w:rsid w:val="00A1681D"/>
    <w:rsid w:val="00A1764A"/>
    <w:rsid w:val="00A2136C"/>
    <w:rsid w:val="00A2183F"/>
    <w:rsid w:val="00A2208D"/>
    <w:rsid w:val="00A22DD7"/>
    <w:rsid w:val="00A235C9"/>
    <w:rsid w:val="00A2372F"/>
    <w:rsid w:val="00A237A9"/>
    <w:rsid w:val="00A23D51"/>
    <w:rsid w:val="00A24426"/>
    <w:rsid w:val="00A25850"/>
    <w:rsid w:val="00A25A31"/>
    <w:rsid w:val="00A25DF9"/>
    <w:rsid w:val="00A25F82"/>
    <w:rsid w:val="00A26B77"/>
    <w:rsid w:val="00A27330"/>
    <w:rsid w:val="00A275D2"/>
    <w:rsid w:val="00A302FA"/>
    <w:rsid w:val="00A304C6"/>
    <w:rsid w:val="00A30E76"/>
    <w:rsid w:val="00A30FCC"/>
    <w:rsid w:val="00A31702"/>
    <w:rsid w:val="00A31D92"/>
    <w:rsid w:val="00A326AF"/>
    <w:rsid w:val="00A3480F"/>
    <w:rsid w:val="00A352F9"/>
    <w:rsid w:val="00A414B4"/>
    <w:rsid w:val="00A43941"/>
    <w:rsid w:val="00A43D03"/>
    <w:rsid w:val="00A43DB8"/>
    <w:rsid w:val="00A44155"/>
    <w:rsid w:val="00A45384"/>
    <w:rsid w:val="00A45529"/>
    <w:rsid w:val="00A47C38"/>
    <w:rsid w:val="00A47E2A"/>
    <w:rsid w:val="00A51004"/>
    <w:rsid w:val="00A51563"/>
    <w:rsid w:val="00A51679"/>
    <w:rsid w:val="00A51874"/>
    <w:rsid w:val="00A51C21"/>
    <w:rsid w:val="00A52399"/>
    <w:rsid w:val="00A541B6"/>
    <w:rsid w:val="00A553AD"/>
    <w:rsid w:val="00A57FA6"/>
    <w:rsid w:val="00A61221"/>
    <w:rsid w:val="00A617C8"/>
    <w:rsid w:val="00A625E4"/>
    <w:rsid w:val="00A62B3F"/>
    <w:rsid w:val="00A640F4"/>
    <w:rsid w:val="00A64563"/>
    <w:rsid w:val="00A647E6"/>
    <w:rsid w:val="00A64944"/>
    <w:rsid w:val="00A64A09"/>
    <w:rsid w:val="00A65786"/>
    <w:rsid w:val="00A66A13"/>
    <w:rsid w:val="00A6732C"/>
    <w:rsid w:val="00A67EC7"/>
    <w:rsid w:val="00A71139"/>
    <w:rsid w:val="00A7214B"/>
    <w:rsid w:val="00A74779"/>
    <w:rsid w:val="00A77064"/>
    <w:rsid w:val="00A778A4"/>
    <w:rsid w:val="00A77E08"/>
    <w:rsid w:val="00A80109"/>
    <w:rsid w:val="00A8139F"/>
    <w:rsid w:val="00A817EB"/>
    <w:rsid w:val="00A81855"/>
    <w:rsid w:val="00A81D69"/>
    <w:rsid w:val="00A8429E"/>
    <w:rsid w:val="00A854C9"/>
    <w:rsid w:val="00A85948"/>
    <w:rsid w:val="00A86C4E"/>
    <w:rsid w:val="00A907A7"/>
    <w:rsid w:val="00A91C87"/>
    <w:rsid w:val="00A9214E"/>
    <w:rsid w:val="00A922EA"/>
    <w:rsid w:val="00A93295"/>
    <w:rsid w:val="00A9382B"/>
    <w:rsid w:val="00A95679"/>
    <w:rsid w:val="00A957F2"/>
    <w:rsid w:val="00A95E68"/>
    <w:rsid w:val="00A97608"/>
    <w:rsid w:val="00A97750"/>
    <w:rsid w:val="00AA08EE"/>
    <w:rsid w:val="00AA0CBC"/>
    <w:rsid w:val="00AA126E"/>
    <w:rsid w:val="00AA20E1"/>
    <w:rsid w:val="00AA2483"/>
    <w:rsid w:val="00AA2A64"/>
    <w:rsid w:val="00AA325E"/>
    <w:rsid w:val="00AA3440"/>
    <w:rsid w:val="00AA3A22"/>
    <w:rsid w:val="00AA50AA"/>
    <w:rsid w:val="00AA547B"/>
    <w:rsid w:val="00AA724B"/>
    <w:rsid w:val="00AA77D5"/>
    <w:rsid w:val="00AB027B"/>
    <w:rsid w:val="00AB0A3F"/>
    <w:rsid w:val="00AB1AB3"/>
    <w:rsid w:val="00AB3B53"/>
    <w:rsid w:val="00AB3C4F"/>
    <w:rsid w:val="00AB51DE"/>
    <w:rsid w:val="00AB5291"/>
    <w:rsid w:val="00AB5826"/>
    <w:rsid w:val="00AB5E4E"/>
    <w:rsid w:val="00AB7262"/>
    <w:rsid w:val="00AC141F"/>
    <w:rsid w:val="00AC1AC9"/>
    <w:rsid w:val="00AC1F61"/>
    <w:rsid w:val="00AC2C00"/>
    <w:rsid w:val="00AC3BA8"/>
    <w:rsid w:val="00AC400E"/>
    <w:rsid w:val="00AC5C1D"/>
    <w:rsid w:val="00AC6B3C"/>
    <w:rsid w:val="00AC72DB"/>
    <w:rsid w:val="00AC7B18"/>
    <w:rsid w:val="00AD0A44"/>
    <w:rsid w:val="00AD1284"/>
    <w:rsid w:val="00AD1C2B"/>
    <w:rsid w:val="00AD2D2D"/>
    <w:rsid w:val="00AD2D40"/>
    <w:rsid w:val="00AD2D43"/>
    <w:rsid w:val="00AD3663"/>
    <w:rsid w:val="00AD3A7D"/>
    <w:rsid w:val="00AD3EB1"/>
    <w:rsid w:val="00AD42EF"/>
    <w:rsid w:val="00AD6DCB"/>
    <w:rsid w:val="00AE1C29"/>
    <w:rsid w:val="00AE49D1"/>
    <w:rsid w:val="00AE5D21"/>
    <w:rsid w:val="00AE621A"/>
    <w:rsid w:val="00AF1A6B"/>
    <w:rsid w:val="00AF2039"/>
    <w:rsid w:val="00AF366D"/>
    <w:rsid w:val="00AF5DD0"/>
    <w:rsid w:val="00AF7177"/>
    <w:rsid w:val="00B00AEC"/>
    <w:rsid w:val="00B01ACE"/>
    <w:rsid w:val="00B023CB"/>
    <w:rsid w:val="00B02B20"/>
    <w:rsid w:val="00B0538A"/>
    <w:rsid w:val="00B05750"/>
    <w:rsid w:val="00B05D17"/>
    <w:rsid w:val="00B06468"/>
    <w:rsid w:val="00B06CAE"/>
    <w:rsid w:val="00B11700"/>
    <w:rsid w:val="00B126A7"/>
    <w:rsid w:val="00B12DC8"/>
    <w:rsid w:val="00B13B76"/>
    <w:rsid w:val="00B15C9F"/>
    <w:rsid w:val="00B15F57"/>
    <w:rsid w:val="00B1660E"/>
    <w:rsid w:val="00B1728F"/>
    <w:rsid w:val="00B21255"/>
    <w:rsid w:val="00B21BD1"/>
    <w:rsid w:val="00B21BFF"/>
    <w:rsid w:val="00B23E69"/>
    <w:rsid w:val="00B24E97"/>
    <w:rsid w:val="00B25283"/>
    <w:rsid w:val="00B25349"/>
    <w:rsid w:val="00B30A29"/>
    <w:rsid w:val="00B32656"/>
    <w:rsid w:val="00B32ABE"/>
    <w:rsid w:val="00B339BF"/>
    <w:rsid w:val="00B33ACB"/>
    <w:rsid w:val="00B3414D"/>
    <w:rsid w:val="00B34286"/>
    <w:rsid w:val="00B3490D"/>
    <w:rsid w:val="00B34F45"/>
    <w:rsid w:val="00B35246"/>
    <w:rsid w:val="00B3533F"/>
    <w:rsid w:val="00B37C34"/>
    <w:rsid w:val="00B37D16"/>
    <w:rsid w:val="00B37D9A"/>
    <w:rsid w:val="00B40438"/>
    <w:rsid w:val="00B41F74"/>
    <w:rsid w:val="00B44AF9"/>
    <w:rsid w:val="00B4598E"/>
    <w:rsid w:val="00B45C98"/>
    <w:rsid w:val="00B45EC2"/>
    <w:rsid w:val="00B47498"/>
    <w:rsid w:val="00B5021B"/>
    <w:rsid w:val="00B509A3"/>
    <w:rsid w:val="00B51187"/>
    <w:rsid w:val="00B511AF"/>
    <w:rsid w:val="00B517C6"/>
    <w:rsid w:val="00B51BB9"/>
    <w:rsid w:val="00B52015"/>
    <w:rsid w:val="00B53CC9"/>
    <w:rsid w:val="00B53CFB"/>
    <w:rsid w:val="00B53F18"/>
    <w:rsid w:val="00B542B7"/>
    <w:rsid w:val="00B5491D"/>
    <w:rsid w:val="00B54BB7"/>
    <w:rsid w:val="00B551D5"/>
    <w:rsid w:val="00B554A3"/>
    <w:rsid w:val="00B557E2"/>
    <w:rsid w:val="00B56EA8"/>
    <w:rsid w:val="00B57026"/>
    <w:rsid w:val="00B6055A"/>
    <w:rsid w:val="00B60C6D"/>
    <w:rsid w:val="00B60F4C"/>
    <w:rsid w:val="00B61753"/>
    <w:rsid w:val="00B62231"/>
    <w:rsid w:val="00B62693"/>
    <w:rsid w:val="00B64E95"/>
    <w:rsid w:val="00B66218"/>
    <w:rsid w:val="00B66D53"/>
    <w:rsid w:val="00B70005"/>
    <w:rsid w:val="00B701D8"/>
    <w:rsid w:val="00B7137F"/>
    <w:rsid w:val="00B71883"/>
    <w:rsid w:val="00B71DAC"/>
    <w:rsid w:val="00B72B47"/>
    <w:rsid w:val="00B72DDA"/>
    <w:rsid w:val="00B758EE"/>
    <w:rsid w:val="00B80A34"/>
    <w:rsid w:val="00B81079"/>
    <w:rsid w:val="00B83340"/>
    <w:rsid w:val="00B83BE4"/>
    <w:rsid w:val="00B83FC1"/>
    <w:rsid w:val="00B84A3D"/>
    <w:rsid w:val="00B860BD"/>
    <w:rsid w:val="00B86720"/>
    <w:rsid w:val="00B87EFA"/>
    <w:rsid w:val="00B926B4"/>
    <w:rsid w:val="00B9280F"/>
    <w:rsid w:val="00B9360C"/>
    <w:rsid w:val="00B96EB3"/>
    <w:rsid w:val="00B97073"/>
    <w:rsid w:val="00BA0003"/>
    <w:rsid w:val="00BA0BD0"/>
    <w:rsid w:val="00BA0E0E"/>
    <w:rsid w:val="00BA105F"/>
    <w:rsid w:val="00BA1BEE"/>
    <w:rsid w:val="00BA1D20"/>
    <w:rsid w:val="00BA4440"/>
    <w:rsid w:val="00BA4E7F"/>
    <w:rsid w:val="00BA59C3"/>
    <w:rsid w:val="00BA77DF"/>
    <w:rsid w:val="00BB174A"/>
    <w:rsid w:val="00BB24AD"/>
    <w:rsid w:val="00BB2A4F"/>
    <w:rsid w:val="00BB3C73"/>
    <w:rsid w:val="00BB3FFA"/>
    <w:rsid w:val="00BB501A"/>
    <w:rsid w:val="00BB6C97"/>
    <w:rsid w:val="00BB6CD8"/>
    <w:rsid w:val="00BC0143"/>
    <w:rsid w:val="00BC0172"/>
    <w:rsid w:val="00BC15C0"/>
    <w:rsid w:val="00BC177D"/>
    <w:rsid w:val="00BC2158"/>
    <w:rsid w:val="00BC23FB"/>
    <w:rsid w:val="00BC3A6E"/>
    <w:rsid w:val="00BC68A6"/>
    <w:rsid w:val="00BC7481"/>
    <w:rsid w:val="00BC7777"/>
    <w:rsid w:val="00BC7F76"/>
    <w:rsid w:val="00BD28A8"/>
    <w:rsid w:val="00BD2CC8"/>
    <w:rsid w:val="00BD2E11"/>
    <w:rsid w:val="00BD3E9E"/>
    <w:rsid w:val="00BD4915"/>
    <w:rsid w:val="00BD53F2"/>
    <w:rsid w:val="00BD6195"/>
    <w:rsid w:val="00BE0F72"/>
    <w:rsid w:val="00BE1054"/>
    <w:rsid w:val="00BE1D61"/>
    <w:rsid w:val="00BE2E84"/>
    <w:rsid w:val="00BE4769"/>
    <w:rsid w:val="00BE48ED"/>
    <w:rsid w:val="00BE50F4"/>
    <w:rsid w:val="00BE6185"/>
    <w:rsid w:val="00BE7AE1"/>
    <w:rsid w:val="00BE7BC0"/>
    <w:rsid w:val="00BE7D67"/>
    <w:rsid w:val="00BF0254"/>
    <w:rsid w:val="00BF033C"/>
    <w:rsid w:val="00BF09E5"/>
    <w:rsid w:val="00BF1044"/>
    <w:rsid w:val="00BF2732"/>
    <w:rsid w:val="00BF2FC5"/>
    <w:rsid w:val="00BF3E82"/>
    <w:rsid w:val="00BF440B"/>
    <w:rsid w:val="00BF5626"/>
    <w:rsid w:val="00C0018C"/>
    <w:rsid w:val="00C02951"/>
    <w:rsid w:val="00C05475"/>
    <w:rsid w:val="00C0573A"/>
    <w:rsid w:val="00C059BC"/>
    <w:rsid w:val="00C101BD"/>
    <w:rsid w:val="00C11413"/>
    <w:rsid w:val="00C11762"/>
    <w:rsid w:val="00C123CD"/>
    <w:rsid w:val="00C12ED0"/>
    <w:rsid w:val="00C12F93"/>
    <w:rsid w:val="00C13286"/>
    <w:rsid w:val="00C15AE3"/>
    <w:rsid w:val="00C16D1F"/>
    <w:rsid w:val="00C17684"/>
    <w:rsid w:val="00C179DB"/>
    <w:rsid w:val="00C179FD"/>
    <w:rsid w:val="00C17E79"/>
    <w:rsid w:val="00C201AF"/>
    <w:rsid w:val="00C21A94"/>
    <w:rsid w:val="00C22221"/>
    <w:rsid w:val="00C2247F"/>
    <w:rsid w:val="00C228CA"/>
    <w:rsid w:val="00C22FDA"/>
    <w:rsid w:val="00C2368F"/>
    <w:rsid w:val="00C25319"/>
    <w:rsid w:val="00C26F4A"/>
    <w:rsid w:val="00C2751E"/>
    <w:rsid w:val="00C27BB6"/>
    <w:rsid w:val="00C303CB"/>
    <w:rsid w:val="00C312BD"/>
    <w:rsid w:val="00C31828"/>
    <w:rsid w:val="00C324D6"/>
    <w:rsid w:val="00C3265E"/>
    <w:rsid w:val="00C33493"/>
    <w:rsid w:val="00C339FC"/>
    <w:rsid w:val="00C3426D"/>
    <w:rsid w:val="00C3551F"/>
    <w:rsid w:val="00C37CA9"/>
    <w:rsid w:val="00C4145C"/>
    <w:rsid w:val="00C46DEA"/>
    <w:rsid w:val="00C4729A"/>
    <w:rsid w:val="00C475B1"/>
    <w:rsid w:val="00C47835"/>
    <w:rsid w:val="00C500F6"/>
    <w:rsid w:val="00C52BAF"/>
    <w:rsid w:val="00C53D9D"/>
    <w:rsid w:val="00C541D4"/>
    <w:rsid w:val="00C54EF1"/>
    <w:rsid w:val="00C57B7F"/>
    <w:rsid w:val="00C600D5"/>
    <w:rsid w:val="00C6099B"/>
    <w:rsid w:val="00C61709"/>
    <w:rsid w:val="00C6296F"/>
    <w:rsid w:val="00C62C95"/>
    <w:rsid w:val="00C63AEA"/>
    <w:rsid w:val="00C63F9F"/>
    <w:rsid w:val="00C6479B"/>
    <w:rsid w:val="00C656D0"/>
    <w:rsid w:val="00C66909"/>
    <w:rsid w:val="00C7029A"/>
    <w:rsid w:val="00C707BE"/>
    <w:rsid w:val="00C737D0"/>
    <w:rsid w:val="00C749CE"/>
    <w:rsid w:val="00C77192"/>
    <w:rsid w:val="00C7768D"/>
    <w:rsid w:val="00C777C1"/>
    <w:rsid w:val="00C77812"/>
    <w:rsid w:val="00C810E9"/>
    <w:rsid w:val="00C81226"/>
    <w:rsid w:val="00C81AF6"/>
    <w:rsid w:val="00C81E75"/>
    <w:rsid w:val="00C835BF"/>
    <w:rsid w:val="00C83F7A"/>
    <w:rsid w:val="00C840BA"/>
    <w:rsid w:val="00C855B7"/>
    <w:rsid w:val="00C85FCF"/>
    <w:rsid w:val="00C8603F"/>
    <w:rsid w:val="00C8604C"/>
    <w:rsid w:val="00C8629A"/>
    <w:rsid w:val="00C878B6"/>
    <w:rsid w:val="00C903EF"/>
    <w:rsid w:val="00C91136"/>
    <w:rsid w:val="00C916F3"/>
    <w:rsid w:val="00C92938"/>
    <w:rsid w:val="00C9367D"/>
    <w:rsid w:val="00C945F4"/>
    <w:rsid w:val="00C94B9B"/>
    <w:rsid w:val="00C94C60"/>
    <w:rsid w:val="00C9565A"/>
    <w:rsid w:val="00C95D35"/>
    <w:rsid w:val="00C96378"/>
    <w:rsid w:val="00C9645C"/>
    <w:rsid w:val="00C971BE"/>
    <w:rsid w:val="00CA16B9"/>
    <w:rsid w:val="00CA2D53"/>
    <w:rsid w:val="00CA2D56"/>
    <w:rsid w:val="00CA4C6B"/>
    <w:rsid w:val="00CA4E68"/>
    <w:rsid w:val="00CA4EA6"/>
    <w:rsid w:val="00CA5104"/>
    <w:rsid w:val="00CA5835"/>
    <w:rsid w:val="00CA5876"/>
    <w:rsid w:val="00CA5F56"/>
    <w:rsid w:val="00CA6069"/>
    <w:rsid w:val="00CA637C"/>
    <w:rsid w:val="00CA7550"/>
    <w:rsid w:val="00CB047D"/>
    <w:rsid w:val="00CB0771"/>
    <w:rsid w:val="00CB139F"/>
    <w:rsid w:val="00CB1515"/>
    <w:rsid w:val="00CB16CA"/>
    <w:rsid w:val="00CB2A7B"/>
    <w:rsid w:val="00CB34F8"/>
    <w:rsid w:val="00CB3BB6"/>
    <w:rsid w:val="00CB4A63"/>
    <w:rsid w:val="00CB4FFC"/>
    <w:rsid w:val="00CB737C"/>
    <w:rsid w:val="00CB777D"/>
    <w:rsid w:val="00CB79A2"/>
    <w:rsid w:val="00CC0A60"/>
    <w:rsid w:val="00CC1A0F"/>
    <w:rsid w:val="00CC3041"/>
    <w:rsid w:val="00CC446E"/>
    <w:rsid w:val="00CC54BF"/>
    <w:rsid w:val="00CC6D6F"/>
    <w:rsid w:val="00CD2091"/>
    <w:rsid w:val="00CD2BF9"/>
    <w:rsid w:val="00CD30C8"/>
    <w:rsid w:val="00CD365F"/>
    <w:rsid w:val="00CD466B"/>
    <w:rsid w:val="00CD6B19"/>
    <w:rsid w:val="00CD704C"/>
    <w:rsid w:val="00CD7A7F"/>
    <w:rsid w:val="00CE00ED"/>
    <w:rsid w:val="00CE0239"/>
    <w:rsid w:val="00CE187A"/>
    <w:rsid w:val="00CE25C7"/>
    <w:rsid w:val="00CE44B8"/>
    <w:rsid w:val="00CE64EF"/>
    <w:rsid w:val="00CE704B"/>
    <w:rsid w:val="00CE709E"/>
    <w:rsid w:val="00CE76EF"/>
    <w:rsid w:val="00CF070E"/>
    <w:rsid w:val="00CF08BE"/>
    <w:rsid w:val="00CF41F3"/>
    <w:rsid w:val="00CF4F4F"/>
    <w:rsid w:val="00CF5825"/>
    <w:rsid w:val="00CF65B4"/>
    <w:rsid w:val="00CF7363"/>
    <w:rsid w:val="00CF74BA"/>
    <w:rsid w:val="00CF7A30"/>
    <w:rsid w:val="00D005DE"/>
    <w:rsid w:val="00D01112"/>
    <w:rsid w:val="00D01584"/>
    <w:rsid w:val="00D02055"/>
    <w:rsid w:val="00D03505"/>
    <w:rsid w:val="00D036B9"/>
    <w:rsid w:val="00D03D2E"/>
    <w:rsid w:val="00D043B5"/>
    <w:rsid w:val="00D0459D"/>
    <w:rsid w:val="00D048A1"/>
    <w:rsid w:val="00D05574"/>
    <w:rsid w:val="00D05F2C"/>
    <w:rsid w:val="00D0610B"/>
    <w:rsid w:val="00D0756E"/>
    <w:rsid w:val="00D10357"/>
    <w:rsid w:val="00D1232A"/>
    <w:rsid w:val="00D128BC"/>
    <w:rsid w:val="00D1509E"/>
    <w:rsid w:val="00D15620"/>
    <w:rsid w:val="00D16686"/>
    <w:rsid w:val="00D166D8"/>
    <w:rsid w:val="00D16C67"/>
    <w:rsid w:val="00D16DC7"/>
    <w:rsid w:val="00D200A1"/>
    <w:rsid w:val="00D20D39"/>
    <w:rsid w:val="00D2440E"/>
    <w:rsid w:val="00D25B0C"/>
    <w:rsid w:val="00D25BD1"/>
    <w:rsid w:val="00D27069"/>
    <w:rsid w:val="00D31539"/>
    <w:rsid w:val="00D322A1"/>
    <w:rsid w:val="00D33176"/>
    <w:rsid w:val="00D34665"/>
    <w:rsid w:val="00D35F8D"/>
    <w:rsid w:val="00D3640A"/>
    <w:rsid w:val="00D3655F"/>
    <w:rsid w:val="00D36E29"/>
    <w:rsid w:val="00D3713D"/>
    <w:rsid w:val="00D37584"/>
    <w:rsid w:val="00D3791B"/>
    <w:rsid w:val="00D400A6"/>
    <w:rsid w:val="00D408D3"/>
    <w:rsid w:val="00D40F04"/>
    <w:rsid w:val="00D418B9"/>
    <w:rsid w:val="00D424A3"/>
    <w:rsid w:val="00D4271F"/>
    <w:rsid w:val="00D428C3"/>
    <w:rsid w:val="00D4467B"/>
    <w:rsid w:val="00D456A9"/>
    <w:rsid w:val="00D46157"/>
    <w:rsid w:val="00D503FA"/>
    <w:rsid w:val="00D53E5A"/>
    <w:rsid w:val="00D542A2"/>
    <w:rsid w:val="00D55C2F"/>
    <w:rsid w:val="00D562F9"/>
    <w:rsid w:val="00D62327"/>
    <w:rsid w:val="00D6291A"/>
    <w:rsid w:val="00D62AC2"/>
    <w:rsid w:val="00D63E32"/>
    <w:rsid w:val="00D65769"/>
    <w:rsid w:val="00D65FFF"/>
    <w:rsid w:val="00D662F4"/>
    <w:rsid w:val="00D6691B"/>
    <w:rsid w:val="00D669F5"/>
    <w:rsid w:val="00D671D7"/>
    <w:rsid w:val="00D6725B"/>
    <w:rsid w:val="00D70211"/>
    <w:rsid w:val="00D71239"/>
    <w:rsid w:val="00D71E2E"/>
    <w:rsid w:val="00D72B7F"/>
    <w:rsid w:val="00D73A4A"/>
    <w:rsid w:val="00D73B88"/>
    <w:rsid w:val="00D73DDC"/>
    <w:rsid w:val="00D751D4"/>
    <w:rsid w:val="00D76B0A"/>
    <w:rsid w:val="00D7745B"/>
    <w:rsid w:val="00D77ECA"/>
    <w:rsid w:val="00D804ED"/>
    <w:rsid w:val="00D8072F"/>
    <w:rsid w:val="00D819B8"/>
    <w:rsid w:val="00D82987"/>
    <w:rsid w:val="00D83D39"/>
    <w:rsid w:val="00D8413E"/>
    <w:rsid w:val="00D8421F"/>
    <w:rsid w:val="00D84825"/>
    <w:rsid w:val="00D84A84"/>
    <w:rsid w:val="00D85EC0"/>
    <w:rsid w:val="00D870B7"/>
    <w:rsid w:val="00D90C89"/>
    <w:rsid w:val="00D92453"/>
    <w:rsid w:val="00D9257F"/>
    <w:rsid w:val="00D93A97"/>
    <w:rsid w:val="00D96416"/>
    <w:rsid w:val="00D96924"/>
    <w:rsid w:val="00DA0F7D"/>
    <w:rsid w:val="00DA1B12"/>
    <w:rsid w:val="00DA223E"/>
    <w:rsid w:val="00DA4554"/>
    <w:rsid w:val="00DA48D4"/>
    <w:rsid w:val="00DA4E34"/>
    <w:rsid w:val="00DA57A1"/>
    <w:rsid w:val="00DA5A21"/>
    <w:rsid w:val="00DA6C07"/>
    <w:rsid w:val="00DA6D43"/>
    <w:rsid w:val="00DA6E41"/>
    <w:rsid w:val="00DA7B4F"/>
    <w:rsid w:val="00DB1845"/>
    <w:rsid w:val="00DB1855"/>
    <w:rsid w:val="00DB1958"/>
    <w:rsid w:val="00DB1B4B"/>
    <w:rsid w:val="00DB330A"/>
    <w:rsid w:val="00DB3554"/>
    <w:rsid w:val="00DB40EA"/>
    <w:rsid w:val="00DB51CC"/>
    <w:rsid w:val="00DB58F1"/>
    <w:rsid w:val="00DB59EC"/>
    <w:rsid w:val="00DB5D9F"/>
    <w:rsid w:val="00DB639E"/>
    <w:rsid w:val="00DC03E2"/>
    <w:rsid w:val="00DC0473"/>
    <w:rsid w:val="00DC3D6B"/>
    <w:rsid w:val="00DC4998"/>
    <w:rsid w:val="00DC5363"/>
    <w:rsid w:val="00DC5AC5"/>
    <w:rsid w:val="00DC6492"/>
    <w:rsid w:val="00DC696A"/>
    <w:rsid w:val="00DC6B11"/>
    <w:rsid w:val="00DC71F0"/>
    <w:rsid w:val="00DD0B9C"/>
    <w:rsid w:val="00DD200B"/>
    <w:rsid w:val="00DD27B4"/>
    <w:rsid w:val="00DD292C"/>
    <w:rsid w:val="00DD2BBB"/>
    <w:rsid w:val="00DD2EFA"/>
    <w:rsid w:val="00DD3838"/>
    <w:rsid w:val="00DD3CC6"/>
    <w:rsid w:val="00DD4A1D"/>
    <w:rsid w:val="00DE0931"/>
    <w:rsid w:val="00DE0A29"/>
    <w:rsid w:val="00DE0C44"/>
    <w:rsid w:val="00DE14C4"/>
    <w:rsid w:val="00DE14EB"/>
    <w:rsid w:val="00DE517D"/>
    <w:rsid w:val="00DE5486"/>
    <w:rsid w:val="00DE580E"/>
    <w:rsid w:val="00DE5BDF"/>
    <w:rsid w:val="00DE61B4"/>
    <w:rsid w:val="00DE6307"/>
    <w:rsid w:val="00DE7C82"/>
    <w:rsid w:val="00DF0A98"/>
    <w:rsid w:val="00DF0CA5"/>
    <w:rsid w:val="00DF2BD5"/>
    <w:rsid w:val="00DF2E2D"/>
    <w:rsid w:val="00DF3A0B"/>
    <w:rsid w:val="00DF401B"/>
    <w:rsid w:val="00DF6103"/>
    <w:rsid w:val="00DF6CDE"/>
    <w:rsid w:val="00DF715B"/>
    <w:rsid w:val="00DF7D2A"/>
    <w:rsid w:val="00DF7D2E"/>
    <w:rsid w:val="00E0106E"/>
    <w:rsid w:val="00E018F4"/>
    <w:rsid w:val="00E01CD1"/>
    <w:rsid w:val="00E02B38"/>
    <w:rsid w:val="00E02C18"/>
    <w:rsid w:val="00E02CE0"/>
    <w:rsid w:val="00E02F0C"/>
    <w:rsid w:val="00E03404"/>
    <w:rsid w:val="00E03F9D"/>
    <w:rsid w:val="00E041D7"/>
    <w:rsid w:val="00E04F82"/>
    <w:rsid w:val="00E051B0"/>
    <w:rsid w:val="00E05607"/>
    <w:rsid w:val="00E05A1B"/>
    <w:rsid w:val="00E07953"/>
    <w:rsid w:val="00E10BE3"/>
    <w:rsid w:val="00E110A9"/>
    <w:rsid w:val="00E1194C"/>
    <w:rsid w:val="00E11960"/>
    <w:rsid w:val="00E1360A"/>
    <w:rsid w:val="00E13724"/>
    <w:rsid w:val="00E139C5"/>
    <w:rsid w:val="00E13E78"/>
    <w:rsid w:val="00E14478"/>
    <w:rsid w:val="00E15380"/>
    <w:rsid w:val="00E15C92"/>
    <w:rsid w:val="00E16146"/>
    <w:rsid w:val="00E163DF"/>
    <w:rsid w:val="00E2045E"/>
    <w:rsid w:val="00E20CD5"/>
    <w:rsid w:val="00E224C0"/>
    <w:rsid w:val="00E227E1"/>
    <w:rsid w:val="00E236A3"/>
    <w:rsid w:val="00E240CD"/>
    <w:rsid w:val="00E266C8"/>
    <w:rsid w:val="00E2727D"/>
    <w:rsid w:val="00E30C33"/>
    <w:rsid w:val="00E30FFC"/>
    <w:rsid w:val="00E31179"/>
    <w:rsid w:val="00E32F57"/>
    <w:rsid w:val="00E3340F"/>
    <w:rsid w:val="00E3591F"/>
    <w:rsid w:val="00E37104"/>
    <w:rsid w:val="00E40208"/>
    <w:rsid w:val="00E415A5"/>
    <w:rsid w:val="00E41964"/>
    <w:rsid w:val="00E41A71"/>
    <w:rsid w:val="00E43CFA"/>
    <w:rsid w:val="00E4489F"/>
    <w:rsid w:val="00E44BEE"/>
    <w:rsid w:val="00E45DFC"/>
    <w:rsid w:val="00E463D8"/>
    <w:rsid w:val="00E4657A"/>
    <w:rsid w:val="00E46B68"/>
    <w:rsid w:val="00E5032B"/>
    <w:rsid w:val="00E534DB"/>
    <w:rsid w:val="00E53C75"/>
    <w:rsid w:val="00E54691"/>
    <w:rsid w:val="00E56C31"/>
    <w:rsid w:val="00E60054"/>
    <w:rsid w:val="00E60E5A"/>
    <w:rsid w:val="00E611E1"/>
    <w:rsid w:val="00E613A8"/>
    <w:rsid w:val="00E619AE"/>
    <w:rsid w:val="00E627FC"/>
    <w:rsid w:val="00E633E4"/>
    <w:rsid w:val="00E6453F"/>
    <w:rsid w:val="00E66B91"/>
    <w:rsid w:val="00E66E70"/>
    <w:rsid w:val="00E67C22"/>
    <w:rsid w:val="00E70B14"/>
    <w:rsid w:val="00E70DE7"/>
    <w:rsid w:val="00E71CC1"/>
    <w:rsid w:val="00E7263B"/>
    <w:rsid w:val="00E73991"/>
    <w:rsid w:val="00E73C16"/>
    <w:rsid w:val="00E749EB"/>
    <w:rsid w:val="00E74B60"/>
    <w:rsid w:val="00E7678A"/>
    <w:rsid w:val="00E77273"/>
    <w:rsid w:val="00E80AC7"/>
    <w:rsid w:val="00E82BE5"/>
    <w:rsid w:val="00E834C1"/>
    <w:rsid w:val="00E84479"/>
    <w:rsid w:val="00E875CE"/>
    <w:rsid w:val="00E87BAB"/>
    <w:rsid w:val="00E87D27"/>
    <w:rsid w:val="00E94277"/>
    <w:rsid w:val="00E94DE0"/>
    <w:rsid w:val="00E94E01"/>
    <w:rsid w:val="00E95667"/>
    <w:rsid w:val="00E962BE"/>
    <w:rsid w:val="00E96605"/>
    <w:rsid w:val="00E96CAB"/>
    <w:rsid w:val="00E96DA5"/>
    <w:rsid w:val="00E971B0"/>
    <w:rsid w:val="00EA06B5"/>
    <w:rsid w:val="00EA0796"/>
    <w:rsid w:val="00EA0846"/>
    <w:rsid w:val="00EA1701"/>
    <w:rsid w:val="00EA2585"/>
    <w:rsid w:val="00EA29D4"/>
    <w:rsid w:val="00EA30B0"/>
    <w:rsid w:val="00EA5559"/>
    <w:rsid w:val="00EA6015"/>
    <w:rsid w:val="00EA634F"/>
    <w:rsid w:val="00EA68A7"/>
    <w:rsid w:val="00EA6D5F"/>
    <w:rsid w:val="00EA78E0"/>
    <w:rsid w:val="00EB0FC2"/>
    <w:rsid w:val="00EB1CBE"/>
    <w:rsid w:val="00EB2031"/>
    <w:rsid w:val="00EB216A"/>
    <w:rsid w:val="00EB21EC"/>
    <w:rsid w:val="00EB2D27"/>
    <w:rsid w:val="00EB4253"/>
    <w:rsid w:val="00EB4B93"/>
    <w:rsid w:val="00EB5CCA"/>
    <w:rsid w:val="00EB71E7"/>
    <w:rsid w:val="00EB7A09"/>
    <w:rsid w:val="00EC0FDD"/>
    <w:rsid w:val="00EC250B"/>
    <w:rsid w:val="00EC42DE"/>
    <w:rsid w:val="00EC7BB7"/>
    <w:rsid w:val="00EC7C02"/>
    <w:rsid w:val="00ED0405"/>
    <w:rsid w:val="00ED373A"/>
    <w:rsid w:val="00ED484F"/>
    <w:rsid w:val="00ED5DB3"/>
    <w:rsid w:val="00ED6F98"/>
    <w:rsid w:val="00ED78EC"/>
    <w:rsid w:val="00EE04D1"/>
    <w:rsid w:val="00EE1C9A"/>
    <w:rsid w:val="00EE2697"/>
    <w:rsid w:val="00EE421B"/>
    <w:rsid w:val="00EE4433"/>
    <w:rsid w:val="00EE4DC4"/>
    <w:rsid w:val="00EE5E22"/>
    <w:rsid w:val="00EF1225"/>
    <w:rsid w:val="00EF37F7"/>
    <w:rsid w:val="00EF559F"/>
    <w:rsid w:val="00EF7C92"/>
    <w:rsid w:val="00EF7FCB"/>
    <w:rsid w:val="00F01D80"/>
    <w:rsid w:val="00F02EB1"/>
    <w:rsid w:val="00F050BC"/>
    <w:rsid w:val="00F071D3"/>
    <w:rsid w:val="00F07CAD"/>
    <w:rsid w:val="00F14FA4"/>
    <w:rsid w:val="00F15E15"/>
    <w:rsid w:val="00F1688F"/>
    <w:rsid w:val="00F20095"/>
    <w:rsid w:val="00F21233"/>
    <w:rsid w:val="00F22BEA"/>
    <w:rsid w:val="00F22D31"/>
    <w:rsid w:val="00F23298"/>
    <w:rsid w:val="00F25307"/>
    <w:rsid w:val="00F257A7"/>
    <w:rsid w:val="00F269EB"/>
    <w:rsid w:val="00F278F8"/>
    <w:rsid w:val="00F27ED6"/>
    <w:rsid w:val="00F31320"/>
    <w:rsid w:val="00F315D7"/>
    <w:rsid w:val="00F31786"/>
    <w:rsid w:val="00F32A45"/>
    <w:rsid w:val="00F336BB"/>
    <w:rsid w:val="00F33CD2"/>
    <w:rsid w:val="00F34559"/>
    <w:rsid w:val="00F3489D"/>
    <w:rsid w:val="00F350AB"/>
    <w:rsid w:val="00F41361"/>
    <w:rsid w:val="00F442B0"/>
    <w:rsid w:val="00F443C9"/>
    <w:rsid w:val="00F45080"/>
    <w:rsid w:val="00F45091"/>
    <w:rsid w:val="00F45795"/>
    <w:rsid w:val="00F45F9B"/>
    <w:rsid w:val="00F46499"/>
    <w:rsid w:val="00F4684D"/>
    <w:rsid w:val="00F474CB"/>
    <w:rsid w:val="00F47EB1"/>
    <w:rsid w:val="00F50892"/>
    <w:rsid w:val="00F50A40"/>
    <w:rsid w:val="00F5145A"/>
    <w:rsid w:val="00F51E5E"/>
    <w:rsid w:val="00F54AEB"/>
    <w:rsid w:val="00F54E8A"/>
    <w:rsid w:val="00F563D1"/>
    <w:rsid w:val="00F57420"/>
    <w:rsid w:val="00F601B1"/>
    <w:rsid w:val="00F61D9E"/>
    <w:rsid w:val="00F62D6F"/>
    <w:rsid w:val="00F63D98"/>
    <w:rsid w:val="00F65282"/>
    <w:rsid w:val="00F66B90"/>
    <w:rsid w:val="00F70360"/>
    <w:rsid w:val="00F70FE0"/>
    <w:rsid w:val="00F7137D"/>
    <w:rsid w:val="00F735FF"/>
    <w:rsid w:val="00F7394E"/>
    <w:rsid w:val="00F7467F"/>
    <w:rsid w:val="00F75267"/>
    <w:rsid w:val="00F75E0A"/>
    <w:rsid w:val="00F762A4"/>
    <w:rsid w:val="00F764BB"/>
    <w:rsid w:val="00F76DED"/>
    <w:rsid w:val="00F77380"/>
    <w:rsid w:val="00F77A73"/>
    <w:rsid w:val="00F77D9C"/>
    <w:rsid w:val="00F80626"/>
    <w:rsid w:val="00F82D9D"/>
    <w:rsid w:val="00F82EE9"/>
    <w:rsid w:val="00F831FB"/>
    <w:rsid w:val="00F8376C"/>
    <w:rsid w:val="00F83AF9"/>
    <w:rsid w:val="00F83B4C"/>
    <w:rsid w:val="00F84259"/>
    <w:rsid w:val="00F85009"/>
    <w:rsid w:val="00F85911"/>
    <w:rsid w:val="00F85A49"/>
    <w:rsid w:val="00F876BB"/>
    <w:rsid w:val="00F911DA"/>
    <w:rsid w:val="00F921B3"/>
    <w:rsid w:val="00F93148"/>
    <w:rsid w:val="00F94B3E"/>
    <w:rsid w:val="00F95071"/>
    <w:rsid w:val="00F95971"/>
    <w:rsid w:val="00F963D2"/>
    <w:rsid w:val="00F96668"/>
    <w:rsid w:val="00FA0880"/>
    <w:rsid w:val="00FA1F34"/>
    <w:rsid w:val="00FA2719"/>
    <w:rsid w:val="00FA2E5B"/>
    <w:rsid w:val="00FA3666"/>
    <w:rsid w:val="00FA3756"/>
    <w:rsid w:val="00FA4155"/>
    <w:rsid w:val="00FA465F"/>
    <w:rsid w:val="00FA59E4"/>
    <w:rsid w:val="00FA5B60"/>
    <w:rsid w:val="00FA5E38"/>
    <w:rsid w:val="00FA6BEE"/>
    <w:rsid w:val="00FA7141"/>
    <w:rsid w:val="00FA7BE9"/>
    <w:rsid w:val="00FA7E29"/>
    <w:rsid w:val="00FB090C"/>
    <w:rsid w:val="00FB0D74"/>
    <w:rsid w:val="00FB2C4B"/>
    <w:rsid w:val="00FB3B8E"/>
    <w:rsid w:val="00FB471C"/>
    <w:rsid w:val="00FB4DE5"/>
    <w:rsid w:val="00FB4E94"/>
    <w:rsid w:val="00FB5D64"/>
    <w:rsid w:val="00FB659F"/>
    <w:rsid w:val="00FC03BF"/>
    <w:rsid w:val="00FC31EA"/>
    <w:rsid w:val="00FC3446"/>
    <w:rsid w:val="00FC34D4"/>
    <w:rsid w:val="00FC5D4B"/>
    <w:rsid w:val="00FC7256"/>
    <w:rsid w:val="00FC7AD1"/>
    <w:rsid w:val="00FC7F02"/>
    <w:rsid w:val="00FD11E0"/>
    <w:rsid w:val="00FD121B"/>
    <w:rsid w:val="00FD166A"/>
    <w:rsid w:val="00FD5C71"/>
    <w:rsid w:val="00FD6236"/>
    <w:rsid w:val="00FD65FD"/>
    <w:rsid w:val="00FE00F8"/>
    <w:rsid w:val="00FE13FF"/>
    <w:rsid w:val="00FE4E73"/>
    <w:rsid w:val="00FE6FAB"/>
    <w:rsid w:val="00FF0B8C"/>
    <w:rsid w:val="00FF147E"/>
    <w:rsid w:val="00FF36C3"/>
    <w:rsid w:val="00FF535C"/>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7F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1F2463"/>
    <w:pPr>
      <w:spacing w:after="200" w:line="276" w:lineRule="auto"/>
      <w:jc w:val="both"/>
    </w:pPr>
  </w:style>
  <w:style w:type="paragraph" w:styleId="Heading1">
    <w:name w:val="heading 1"/>
    <w:basedOn w:val="Normal"/>
    <w:next w:val="Normal"/>
    <w:link w:val="Heading1Char"/>
    <w:uiPriority w:val="9"/>
    <w:qFormat/>
    <w:rsid w:val="001F2463"/>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1F2463"/>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1F2463"/>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1F2463"/>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1F2463"/>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1F2463"/>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1F2463"/>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1F2463"/>
    <w:pPr>
      <w:spacing w:after="0"/>
      <w:jc w:val="left"/>
      <w:outlineLvl w:val="7"/>
    </w:pPr>
    <w:rPr>
      <w:b/>
      <w:i/>
      <w:smallCaps/>
      <w:color w:val="943634"/>
    </w:rPr>
  </w:style>
  <w:style w:type="paragraph" w:styleId="Heading9">
    <w:name w:val="heading 9"/>
    <w:basedOn w:val="Normal"/>
    <w:next w:val="Normal"/>
    <w:link w:val="Heading9Char"/>
    <w:uiPriority w:val="9"/>
    <w:qFormat/>
    <w:rsid w:val="001F2463"/>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2751E"/>
    <w:pPr>
      <w:spacing w:after="0" w:line="240" w:lineRule="auto"/>
    </w:pPr>
  </w:style>
  <w:style w:type="character" w:customStyle="1" w:styleId="FootnoteTextChar">
    <w:name w:val="Footnote Text Char"/>
    <w:link w:val="FootnoteText"/>
    <w:uiPriority w:val="99"/>
    <w:rsid w:val="00C2751E"/>
    <w:rPr>
      <w:sz w:val="20"/>
      <w:szCs w:val="20"/>
    </w:rPr>
  </w:style>
  <w:style w:type="character" w:styleId="FootnoteReference">
    <w:name w:val="footnote reference"/>
    <w:unhideWhenUsed/>
    <w:qFormat/>
    <w:rsid w:val="00C2751E"/>
    <w:rPr>
      <w:vertAlign w:val="superscript"/>
    </w:rPr>
  </w:style>
  <w:style w:type="paragraph" w:customStyle="1" w:styleId="ColorfulList-Accent11">
    <w:name w:val="Colorful List - Accent 11"/>
    <w:basedOn w:val="Normal"/>
    <w:uiPriority w:val="34"/>
    <w:qFormat/>
    <w:rsid w:val="001F2463"/>
    <w:pPr>
      <w:ind w:left="720"/>
      <w:contextualSpacing/>
    </w:pPr>
  </w:style>
  <w:style w:type="paragraph" w:styleId="NormalWeb">
    <w:name w:val="Normal (Web)"/>
    <w:basedOn w:val="Normal"/>
    <w:uiPriority w:val="99"/>
    <w:semiHidden/>
    <w:unhideWhenUsed/>
    <w:rsid w:val="002D49F9"/>
    <w:rPr>
      <w:rFonts w:ascii="Times New Roman" w:hAnsi="Times New Roman"/>
      <w:sz w:val="24"/>
      <w:szCs w:val="24"/>
    </w:rPr>
  </w:style>
  <w:style w:type="character" w:customStyle="1" w:styleId="Heading1Char">
    <w:name w:val="Heading 1 Char"/>
    <w:link w:val="Heading1"/>
    <w:uiPriority w:val="9"/>
    <w:rsid w:val="001F2463"/>
    <w:rPr>
      <w:smallCaps/>
      <w:spacing w:val="5"/>
      <w:sz w:val="32"/>
      <w:szCs w:val="32"/>
    </w:rPr>
  </w:style>
  <w:style w:type="character" w:styleId="Hyperlink">
    <w:name w:val="Hyperlink"/>
    <w:uiPriority w:val="99"/>
    <w:unhideWhenUsed/>
    <w:rsid w:val="001D73E9"/>
    <w:rPr>
      <w:color w:val="0563C1"/>
      <w:u w:val="single"/>
    </w:rPr>
  </w:style>
  <w:style w:type="character" w:customStyle="1" w:styleId="MediumGrid11">
    <w:name w:val="Medium Grid 11"/>
    <w:uiPriority w:val="99"/>
    <w:semiHidden/>
    <w:rsid w:val="00750DD1"/>
    <w:rPr>
      <w:color w:val="808080"/>
    </w:rPr>
  </w:style>
  <w:style w:type="paragraph" w:styleId="Header">
    <w:name w:val="header"/>
    <w:basedOn w:val="Normal"/>
    <w:link w:val="HeaderChar"/>
    <w:uiPriority w:val="99"/>
    <w:unhideWhenUsed/>
    <w:rsid w:val="00431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A8B"/>
  </w:style>
  <w:style w:type="paragraph" w:styleId="Footer">
    <w:name w:val="footer"/>
    <w:basedOn w:val="Normal"/>
    <w:link w:val="FooterChar"/>
    <w:uiPriority w:val="99"/>
    <w:unhideWhenUsed/>
    <w:rsid w:val="00431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A8B"/>
  </w:style>
  <w:style w:type="paragraph" w:styleId="BalloonText">
    <w:name w:val="Balloon Text"/>
    <w:basedOn w:val="Normal"/>
    <w:link w:val="BalloonTextChar"/>
    <w:uiPriority w:val="99"/>
    <w:semiHidden/>
    <w:unhideWhenUsed/>
    <w:rsid w:val="00431A8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31A8B"/>
    <w:rPr>
      <w:rFonts w:ascii="Segoe UI" w:hAnsi="Segoe UI" w:cs="Segoe UI"/>
      <w:sz w:val="18"/>
      <w:szCs w:val="18"/>
    </w:rPr>
  </w:style>
  <w:style w:type="table" w:styleId="TableGrid">
    <w:name w:val="Table Grid"/>
    <w:basedOn w:val="TableNormal"/>
    <w:uiPriority w:val="39"/>
    <w:rsid w:val="002921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7317B5"/>
    <w:rPr>
      <w:color w:val="954F72"/>
      <w:u w:val="single"/>
    </w:rPr>
  </w:style>
  <w:style w:type="character" w:customStyle="1" w:styleId="Heading2Char">
    <w:name w:val="Heading 2 Char"/>
    <w:link w:val="Heading2"/>
    <w:uiPriority w:val="9"/>
    <w:rsid w:val="001F2463"/>
    <w:rPr>
      <w:smallCaps/>
      <w:spacing w:val="5"/>
      <w:sz w:val="28"/>
      <w:szCs w:val="28"/>
    </w:rPr>
  </w:style>
  <w:style w:type="character" w:styleId="CommentReference">
    <w:name w:val="annotation reference"/>
    <w:uiPriority w:val="99"/>
    <w:semiHidden/>
    <w:unhideWhenUsed/>
    <w:rsid w:val="0098702B"/>
    <w:rPr>
      <w:sz w:val="16"/>
      <w:szCs w:val="16"/>
    </w:rPr>
  </w:style>
  <w:style w:type="paragraph" w:styleId="CommentText">
    <w:name w:val="annotation text"/>
    <w:basedOn w:val="Normal"/>
    <w:link w:val="CommentTextChar"/>
    <w:uiPriority w:val="99"/>
    <w:semiHidden/>
    <w:unhideWhenUsed/>
    <w:rsid w:val="0098702B"/>
    <w:pPr>
      <w:spacing w:line="240" w:lineRule="auto"/>
    </w:pPr>
  </w:style>
  <w:style w:type="character" w:customStyle="1" w:styleId="CommentTextChar">
    <w:name w:val="Comment Text Char"/>
    <w:link w:val="CommentText"/>
    <w:uiPriority w:val="99"/>
    <w:semiHidden/>
    <w:rsid w:val="0098702B"/>
    <w:rPr>
      <w:sz w:val="20"/>
      <w:szCs w:val="20"/>
    </w:rPr>
  </w:style>
  <w:style w:type="paragraph" w:styleId="CommentSubject">
    <w:name w:val="annotation subject"/>
    <w:basedOn w:val="CommentText"/>
    <w:next w:val="CommentText"/>
    <w:link w:val="CommentSubjectChar"/>
    <w:uiPriority w:val="99"/>
    <w:semiHidden/>
    <w:unhideWhenUsed/>
    <w:rsid w:val="0098702B"/>
    <w:rPr>
      <w:b/>
      <w:bCs/>
    </w:rPr>
  </w:style>
  <w:style w:type="character" w:customStyle="1" w:styleId="CommentSubjectChar">
    <w:name w:val="Comment Subject Char"/>
    <w:link w:val="CommentSubject"/>
    <w:uiPriority w:val="99"/>
    <w:semiHidden/>
    <w:rsid w:val="0098702B"/>
    <w:rPr>
      <w:b/>
      <w:bCs/>
      <w:sz w:val="20"/>
      <w:szCs w:val="20"/>
    </w:rPr>
  </w:style>
  <w:style w:type="character" w:customStyle="1" w:styleId="Heading3Char">
    <w:name w:val="Heading 3 Char"/>
    <w:link w:val="Heading3"/>
    <w:uiPriority w:val="9"/>
    <w:rsid w:val="001F2463"/>
    <w:rPr>
      <w:smallCaps/>
      <w:spacing w:val="5"/>
      <w:sz w:val="24"/>
      <w:szCs w:val="24"/>
    </w:rPr>
  </w:style>
  <w:style w:type="character" w:customStyle="1" w:styleId="apple-converted-space">
    <w:name w:val="apple-converted-space"/>
    <w:basedOn w:val="DefaultParagraphFont"/>
    <w:rsid w:val="00717D1A"/>
  </w:style>
  <w:style w:type="paragraph" w:customStyle="1" w:styleId="p1">
    <w:name w:val="p1"/>
    <w:basedOn w:val="Normal"/>
    <w:rsid w:val="00D8421F"/>
    <w:pPr>
      <w:spacing w:after="0" w:line="240" w:lineRule="auto"/>
      <w:ind w:left="60" w:hanging="60"/>
    </w:pPr>
    <w:rPr>
      <w:rFonts w:ascii="Monaco" w:hAnsi="Monaco"/>
      <w:color w:val="B01300"/>
      <w:sz w:val="16"/>
      <w:szCs w:val="16"/>
    </w:rPr>
  </w:style>
  <w:style w:type="character" w:customStyle="1" w:styleId="Heading4Char">
    <w:name w:val="Heading 4 Char"/>
    <w:link w:val="Heading4"/>
    <w:uiPriority w:val="9"/>
    <w:semiHidden/>
    <w:rsid w:val="001F2463"/>
    <w:rPr>
      <w:smallCaps/>
      <w:spacing w:val="10"/>
      <w:sz w:val="22"/>
      <w:szCs w:val="22"/>
    </w:rPr>
  </w:style>
  <w:style w:type="character" w:customStyle="1" w:styleId="Heading5Char">
    <w:name w:val="Heading 5 Char"/>
    <w:link w:val="Heading5"/>
    <w:uiPriority w:val="9"/>
    <w:semiHidden/>
    <w:rsid w:val="001F2463"/>
    <w:rPr>
      <w:smallCaps/>
      <w:color w:val="943634"/>
      <w:spacing w:val="10"/>
      <w:sz w:val="22"/>
      <w:szCs w:val="26"/>
    </w:rPr>
  </w:style>
  <w:style w:type="character" w:customStyle="1" w:styleId="Heading6Char">
    <w:name w:val="Heading 6 Char"/>
    <w:link w:val="Heading6"/>
    <w:uiPriority w:val="9"/>
    <w:semiHidden/>
    <w:rsid w:val="001F2463"/>
    <w:rPr>
      <w:smallCaps/>
      <w:color w:val="C0504D"/>
      <w:spacing w:val="5"/>
      <w:sz w:val="22"/>
    </w:rPr>
  </w:style>
  <w:style w:type="character" w:customStyle="1" w:styleId="Heading7Char">
    <w:name w:val="Heading 7 Char"/>
    <w:link w:val="Heading7"/>
    <w:uiPriority w:val="9"/>
    <w:semiHidden/>
    <w:rsid w:val="001F2463"/>
    <w:rPr>
      <w:b/>
      <w:smallCaps/>
      <w:color w:val="C0504D"/>
      <w:spacing w:val="10"/>
    </w:rPr>
  </w:style>
  <w:style w:type="character" w:customStyle="1" w:styleId="Heading8Char">
    <w:name w:val="Heading 8 Char"/>
    <w:link w:val="Heading8"/>
    <w:uiPriority w:val="9"/>
    <w:semiHidden/>
    <w:rsid w:val="001F2463"/>
    <w:rPr>
      <w:b/>
      <w:i/>
      <w:smallCaps/>
      <w:color w:val="943634"/>
    </w:rPr>
  </w:style>
  <w:style w:type="character" w:customStyle="1" w:styleId="Heading9Char">
    <w:name w:val="Heading 9 Char"/>
    <w:link w:val="Heading9"/>
    <w:uiPriority w:val="9"/>
    <w:semiHidden/>
    <w:rsid w:val="001F2463"/>
    <w:rPr>
      <w:b/>
      <w:i/>
      <w:smallCaps/>
      <w:color w:val="622423"/>
    </w:rPr>
  </w:style>
  <w:style w:type="paragraph" w:styleId="Caption">
    <w:name w:val="caption"/>
    <w:basedOn w:val="Normal"/>
    <w:next w:val="Normal"/>
    <w:uiPriority w:val="35"/>
    <w:qFormat/>
    <w:rsid w:val="001F2463"/>
    <w:rPr>
      <w:b/>
      <w:bCs/>
      <w:caps/>
      <w:sz w:val="16"/>
      <w:szCs w:val="18"/>
    </w:rPr>
  </w:style>
  <w:style w:type="paragraph" w:styleId="Title">
    <w:name w:val="Title"/>
    <w:basedOn w:val="Normal"/>
    <w:next w:val="Normal"/>
    <w:link w:val="TitleChar"/>
    <w:uiPriority w:val="10"/>
    <w:qFormat/>
    <w:rsid w:val="001F2463"/>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1F2463"/>
    <w:rPr>
      <w:smallCaps/>
      <w:sz w:val="48"/>
      <w:szCs w:val="48"/>
    </w:rPr>
  </w:style>
  <w:style w:type="paragraph" w:styleId="Subtitle">
    <w:name w:val="Subtitle"/>
    <w:basedOn w:val="Normal"/>
    <w:next w:val="Normal"/>
    <w:link w:val="SubtitleChar"/>
    <w:uiPriority w:val="11"/>
    <w:qFormat/>
    <w:rsid w:val="001F2463"/>
    <w:pPr>
      <w:spacing w:after="720" w:line="240" w:lineRule="auto"/>
      <w:jc w:val="right"/>
    </w:pPr>
    <w:rPr>
      <w:rFonts w:ascii="Cambria" w:hAnsi="Cambria"/>
      <w:szCs w:val="22"/>
    </w:rPr>
  </w:style>
  <w:style w:type="character" w:customStyle="1" w:styleId="SubtitleChar">
    <w:name w:val="Subtitle Char"/>
    <w:link w:val="Subtitle"/>
    <w:uiPriority w:val="11"/>
    <w:rsid w:val="001F2463"/>
    <w:rPr>
      <w:rFonts w:ascii="Cambria" w:eastAsia="Times New Roman" w:hAnsi="Cambria" w:cs="Times New Roman"/>
      <w:szCs w:val="22"/>
    </w:rPr>
  </w:style>
  <w:style w:type="character" w:styleId="Strong">
    <w:name w:val="Strong"/>
    <w:uiPriority w:val="22"/>
    <w:qFormat/>
    <w:rsid w:val="001F2463"/>
    <w:rPr>
      <w:b/>
      <w:color w:val="C0504D"/>
    </w:rPr>
  </w:style>
  <w:style w:type="character" w:styleId="Emphasis">
    <w:name w:val="Emphasis"/>
    <w:uiPriority w:val="20"/>
    <w:qFormat/>
    <w:rsid w:val="001F2463"/>
    <w:rPr>
      <w:b/>
      <w:i/>
      <w:spacing w:val="10"/>
    </w:rPr>
  </w:style>
  <w:style w:type="paragraph" w:customStyle="1" w:styleId="MediumGrid21">
    <w:name w:val="Medium Grid 21"/>
    <w:basedOn w:val="Normal"/>
    <w:link w:val="MediumGrid2Char"/>
    <w:uiPriority w:val="1"/>
    <w:qFormat/>
    <w:rsid w:val="001F2463"/>
    <w:pPr>
      <w:spacing w:after="0" w:line="240" w:lineRule="auto"/>
    </w:pPr>
  </w:style>
  <w:style w:type="character" w:customStyle="1" w:styleId="MediumGrid2Char">
    <w:name w:val="Medium Grid 2 Char"/>
    <w:link w:val="MediumGrid21"/>
    <w:uiPriority w:val="1"/>
    <w:rsid w:val="001F2463"/>
  </w:style>
  <w:style w:type="paragraph" w:customStyle="1" w:styleId="ColorfulGrid-Accent11">
    <w:name w:val="Colorful Grid - Accent 11"/>
    <w:basedOn w:val="Normal"/>
    <w:next w:val="Normal"/>
    <w:link w:val="ColorfulGrid-Accent1Char"/>
    <w:uiPriority w:val="29"/>
    <w:qFormat/>
    <w:rsid w:val="001F2463"/>
    <w:rPr>
      <w:i/>
    </w:rPr>
  </w:style>
  <w:style w:type="character" w:customStyle="1" w:styleId="ColorfulGrid-Accent1Char">
    <w:name w:val="Colorful Grid - Accent 1 Char"/>
    <w:link w:val="ColorfulGrid-Accent11"/>
    <w:uiPriority w:val="29"/>
    <w:rsid w:val="001F2463"/>
    <w:rPr>
      <w:i/>
    </w:rPr>
  </w:style>
  <w:style w:type="paragraph" w:customStyle="1" w:styleId="LightShading-Accent21">
    <w:name w:val="Light Shading - Accent 21"/>
    <w:basedOn w:val="Normal"/>
    <w:next w:val="Normal"/>
    <w:link w:val="LightShading-Accent2Char"/>
    <w:uiPriority w:val="30"/>
    <w:qFormat/>
    <w:rsid w:val="001F2463"/>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1"/>
    <w:uiPriority w:val="30"/>
    <w:rsid w:val="001F2463"/>
    <w:rPr>
      <w:b/>
      <w:i/>
      <w:color w:val="FFFFFF"/>
      <w:shd w:val="clear" w:color="auto" w:fill="C0504D"/>
    </w:rPr>
  </w:style>
  <w:style w:type="character" w:customStyle="1" w:styleId="PlainTable31">
    <w:name w:val="Plain Table 31"/>
    <w:uiPriority w:val="19"/>
    <w:qFormat/>
    <w:rsid w:val="001F2463"/>
    <w:rPr>
      <w:i/>
    </w:rPr>
  </w:style>
  <w:style w:type="character" w:customStyle="1" w:styleId="PlainTable41">
    <w:name w:val="Plain Table 41"/>
    <w:uiPriority w:val="21"/>
    <w:qFormat/>
    <w:rsid w:val="001F2463"/>
    <w:rPr>
      <w:b/>
      <w:i/>
      <w:color w:val="C0504D"/>
      <w:spacing w:val="10"/>
    </w:rPr>
  </w:style>
  <w:style w:type="character" w:customStyle="1" w:styleId="PlainTable51">
    <w:name w:val="Plain Table 51"/>
    <w:uiPriority w:val="31"/>
    <w:qFormat/>
    <w:rsid w:val="001F2463"/>
    <w:rPr>
      <w:b/>
    </w:rPr>
  </w:style>
  <w:style w:type="character" w:customStyle="1" w:styleId="TableGridLight1">
    <w:name w:val="Table Grid Light1"/>
    <w:uiPriority w:val="32"/>
    <w:qFormat/>
    <w:rsid w:val="001F2463"/>
    <w:rPr>
      <w:b/>
      <w:bCs/>
      <w:smallCaps/>
      <w:spacing w:val="5"/>
      <w:sz w:val="22"/>
      <w:szCs w:val="22"/>
      <w:u w:val="single"/>
    </w:rPr>
  </w:style>
  <w:style w:type="character" w:customStyle="1" w:styleId="GridTable1Light1">
    <w:name w:val="Grid Table 1 Light1"/>
    <w:uiPriority w:val="33"/>
    <w:qFormat/>
    <w:rsid w:val="001F2463"/>
    <w:rPr>
      <w:rFonts w:ascii="Calibri Light" w:eastAsia="Times New Roman" w:hAnsi="Calibri Light" w:cs="Times New Roman"/>
      <w:i/>
      <w:iCs/>
      <w:sz w:val="20"/>
      <w:szCs w:val="20"/>
    </w:rPr>
  </w:style>
  <w:style w:type="paragraph" w:customStyle="1" w:styleId="GridTable31">
    <w:name w:val="Grid Table 31"/>
    <w:basedOn w:val="Heading1"/>
    <w:next w:val="Normal"/>
    <w:uiPriority w:val="39"/>
    <w:semiHidden/>
    <w:unhideWhenUsed/>
    <w:qFormat/>
    <w:rsid w:val="001F2463"/>
    <w:pPr>
      <w:outlineLvl w:val="9"/>
    </w:pPr>
  </w:style>
  <w:style w:type="paragraph" w:customStyle="1" w:styleId="Bib">
    <w:name w:val="Bib"/>
    <w:qFormat/>
    <w:rsid w:val="00FA3756"/>
    <w:pPr>
      <w:spacing w:line="480" w:lineRule="auto"/>
      <w:ind w:left="720" w:hanging="720"/>
    </w:pPr>
    <w:rPr>
      <w:rFonts w:ascii="Times New Roman" w:hAnsi="Times New Roman"/>
      <w:sz w:val="24"/>
    </w:rPr>
  </w:style>
  <w:style w:type="paragraph" w:customStyle="1" w:styleId="MainBody">
    <w:name w:val="Main Body"/>
    <w:basedOn w:val="Normal"/>
    <w:qFormat/>
    <w:rsid w:val="004B6A55"/>
    <w:pPr>
      <w:spacing w:after="0" w:line="360" w:lineRule="auto"/>
      <w:ind w:right="630" w:firstLine="720"/>
    </w:pPr>
    <w:rPr>
      <w:rFonts w:ascii="Times New Roman" w:hAnsi="Times New Roman"/>
      <w:sz w:val="24"/>
      <w:szCs w:val="24"/>
    </w:rPr>
  </w:style>
  <w:style w:type="paragraph" w:styleId="Revision">
    <w:name w:val="Revision"/>
    <w:hidden/>
    <w:uiPriority w:val="71"/>
    <w:unhideWhenUsed/>
    <w:rsid w:val="00BA1BEE"/>
  </w:style>
  <w:style w:type="character" w:styleId="PlaceholderText">
    <w:name w:val="Placeholder Text"/>
    <w:basedOn w:val="DefaultParagraphFont"/>
    <w:uiPriority w:val="99"/>
    <w:unhideWhenUsed/>
    <w:rsid w:val="00444498"/>
    <w:rPr>
      <w:color w:val="808080"/>
    </w:rPr>
  </w:style>
  <w:style w:type="paragraph" w:styleId="TableofFigures">
    <w:name w:val="table of figures"/>
    <w:basedOn w:val="Normal"/>
    <w:next w:val="Normal"/>
    <w:uiPriority w:val="99"/>
    <w:unhideWhenUsed/>
    <w:rsid w:val="007F505D"/>
    <w:pPr>
      <w:ind w:left="400" w:hanging="400"/>
    </w:pPr>
  </w:style>
  <w:style w:type="paragraph" w:styleId="HTMLPreformatted">
    <w:name w:val="HTML Preformatted"/>
    <w:basedOn w:val="Normal"/>
    <w:link w:val="HTMLPreformattedChar"/>
    <w:uiPriority w:val="99"/>
    <w:rsid w:val="00783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left"/>
    </w:pPr>
    <w:rPr>
      <w:rFonts w:ascii="Arial Unicode MS" w:hAnsi="Arial Unicode MS" w:cs="Arial Unicode MS"/>
      <w:lang w:eastAsia="zh-CN"/>
    </w:rPr>
  </w:style>
  <w:style w:type="character" w:customStyle="1" w:styleId="HTMLPreformattedChar">
    <w:name w:val="HTML Preformatted Char"/>
    <w:basedOn w:val="DefaultParagraphFont"/>
    <w:link w:val="HTMLPreformatted"/>
    <w:uiPriority w:val="99"/>
    <w:rsid w:val="00783562"/>
    <w:rPr>
      <w:rFonts w:ascii="Arial Unicode MS" w:hAnsi="Arial Unicode MS" w:cs="Arial Unicode M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7179">
      <w:bodyDiv w:val="1"/>
      <w:marLeft w:val="0"/>
      <w:marRight w:val="0"/>
      <w:marTop w:val="0"/>
      <w:marBottom w:val="0"/>
      <w:divBdr>
        <w:top w:val="none" w:sz="0" w:space="0" w:color="auto"/>
        <w:left w:val="none" w:sz="0" w:space="0" w:color="auto"/>
        <w:bottom w:val="none" w:sz="0" w:space="0" w:color="auto"/>
        <w:right w:val="none" w:sz="0" w:space="0" w:color="auto"/>
      </w:divBdr>
    </w:div>
    <w:div w:id="44573250">
      <w:bodyDiv w:val="1"/>
      <w:marLeft w:val="0"/>
      <w:marRight w:val="0"/>
      <w:marTop w:val="0"/>
      <w:marBottom w:val="0"/>
      <w:divBdr>
        <w:top w:val="none" w:sz="0" w:space="0" w:color="auto"/>
        <w:left w:val="none" w:sz="0" w:space="0" w:color="auto"/>
        <w:bottom w:val="none" w:sz="0" w:space="0" w:color="auto"/>
        <w:right w:val="none" w:sz="0" w:space="0" w:color="auto"/>
      </w:divBdr>
    </w:div>
    <w:div w:id="88699645">
      <w:bodyDiv w:val="1"/>
      <w:marLeft w:val="0"/>
      <w:marRight w:val="0"/>
      <w:marTop w:val="0"/>
      <w:marBottom w:val="0"/>
      <w:divBdr>
        <w:top w:val="none" w:sz="0" w:space="0" w:color="auto"/>
        <w:left w:val="none" w:sz="0" w:space="0" w:color="auto"/>
        <w:bottom w:val="none" w:sz="0" w:space="0" w:color="auto"/>
        <w:right w:val="none" w:sz="0" w:space="0" w:color="auto"/>
      </w:divBdr>
    </w:div>
    <w:div w:id="103694027">
      <w:bodyDiv w:val="1"/>
      <w:marLeft w:val="0"/>
      <w:marRight w:val="0"/>
      <w:marTop w:val="0"/>
      <w:marBottom w:val="0"/>
      <w:divBdr>
        <w:top w:val="none" w:sz="0" w:space="0" w:color="auto"/>
        <w:left w:val="none" w:sz="0" w:space="0" w:color="auto"/>
        <w:bottom w:val="none" w:sz="0" w:space="0" w:color="auto"/>
        <w:right w:val="none" w:sz="0" w:space="0" w:color="auto"/>
      </w:divBdr>
    </w:div>
    <w:div w:id="208996717">
      <w:bodyDiv w:val="1"/>
      <w:marLeft w:val="0"/>
      <w:marRight w:val="0"/>
      <w:marTop w:val="0"/>
      <w:marBottom w:val="0"/>
      <w:divBdr>
        <w:top w:val="none" w:sz="0" w:space="0" w:color="auto"/>
        <w:left w:val="none" w:sz="0" w:space="0" w:color="auto"/>
        <w:bottom w:val="none" w:sz="0" w:space="0" w:color="auto"/>
        <w:right w:val="none" w:sz="0" w:space="0" w:color="auto"/>
      </w:divBdr>
    </w:div>
    <w:div w:id="254022716">
      <w:bodyDiv w:val="1"/>
      <w:marLeft w:val="0"/>
      <w:marRight w:val="0"/>
      <w:marTop w:val="0"/>
      <w:marBottom w:val="0"/>
      <w:divBdr>
        <w:top w:val="none" w:sz="0" w:space="0" w:color="auto"/>
        <w:left w:val="none" w:sz="0" w:space="0" w:color="auto"/>
        <w:bottom w:val="none" w:sz="0" w:space="0" w:color="auto"/>
        <w:right w:val="none" w:sz="0" w:space="0" w:color="auto"/>
      </w:divBdr>
    </w:div>
    <w:div w:id="280303213">
      <w:bodyDiv w:val="1"/>
      <w:marLeft w:val="0"/>
      <w:marRight w:val="0"/>
      <w:marTop w:val="0"/>
      <w:marBottom w:val="0"/>
      <w:divBdr>
        <w:top w:val="none" w:sz="0" w:space="0" w:color="auto"/>
        <w:left w:val="none" w:sz="0" w:space="0" w:color="auto"/>
        <w:bottom w:val="none" w:sz="0" w:space="0" w:color="auto"/>
        <w:right w:val="none" w:sz="0" w:space="0" w:color="auto"/>
      </w:divBdr>
    </w:div>
    <w:div w:id="337314144">
      <w:bodyDiv w:val="1"/>
      <w:marLeft w:val="0"/>
      <w:marRight w:val="0"/>
      <w:marTop w:val="0"/>
      <w:marBottom w:val="0"/>
      <w:divBdr>
        <w:top w:val="none" w:sz="0" w:space="0" w:color="auto"/>
        <w:left w:val="none" w:sz="0" w:space="0" w:color="auto"/>
        <w:bottom w:val="none" w:sz="0" w:space="0" w:color="auto"/>
        <w:right w:val="none" w:sz="0" w:space="0" w:color="auto"/>
      </w:divBdr>
    </w:div>
    <w:div w:id="338195460">
      <w:bodyDiv w:val="1"/>
      <w:marLeft w:val="0"/>
      <w:marRight w:val="0"/>
      <w:marTop w:val="0"/>
      <w:marBottom w:val="0"/>
      <w:divBdr>
        <w:top w:val="none" w:sz="0" w:space="0" w:color="auto"/>
        <w:left w:val="none" w:sz="0" w:space="0" w:color="auto"/>
        <w:bottom w:val="none" w:sz="0" w:space="0" w:color="auto"/>
        <w:right w:val="none" w:sz="0" w:space="0" w:color="auto"/>
      </w:divBdr>
    </w:div>
    <w:div w:id="370956096">
      <w:bodyDiv w:val="1"/>
      <w:marLeft w:val="0"/>
      <w:marRight w:val="0"/>
      <w:marTop w:val="0"/>
      <w:marBottom w:val="0"/>
      <w:divBdr>
        <w:top w:val="none" w:sz="0" w:space="0" w:color="auto"/>
        <w:left w:val="none" w:sz="0" w:space="0" w:color="auto"/>
        <w:bottom w:val="none" w:sz="0" w:space="0" w:color="auto"/>
        <w:right w:val="none" w:sz="0" w:space="0" w:color="auto"/>
      </w:divBdr>
    </w:div>
    <w:div w:id="402607668">
      <w:bodyDiv w:val="1"/>
      <w:marLeft w:val="0"/>
      <w:marRight w:val="0"/>
      <w:marTop w:val="0"/>
      <w:marBottom w:val="0"/>
      <w:divBdr>
        <w:top w:val="none" w:sz="0" w:space="0" w:color="auto"/>
        <w:left w:val="none" w:sz="0" w:space="0" w:color="auto"/>
        <w:bottom w:val="none" w:sz="0" w:space="0" w:color="auto"/>
        <w:right w:val="none" w:sz="0" w:space="0" w:color="auto"/>
      </w:divBdr>
    </w:div>
    <w:div w:id="409737944">
      <w:bodyDiv w:val="1"/>
      <w:marLeft w:val="0"/>
      <w:marRight w:val="0"/>
      <w:marTop w:val="0"/>
      <w:marBottom w:val="0"/>
      <w:divBdr>
        <w:top w:val="none" w:sz="0" w:space="0" w:color="auto"/>
        <w:left w:val="none" w:sz="0" w:space="0" w:color="auto"/>
        <w:bottom w:val="none" w:sz="0" w:space="0" w:color="auto"/>
        <w:right w:val="none" w:sz="0" w:space="0" w:color="auto"/>
      </w:divBdr>
    </w:div>
    <w:div w:id="426275036">
      <w:bodyDiv w:val="1"/>
      <w:marLeft w:val="0"/>
      <w:marRight w:val="0"/>
      <w:marTop w:val="0"/>
      <w:marBottom w:val="0"/>
      <w:divBdr>
        <w:top w:val="none" w:sz="0" w:space="0" w:color="auto"/>
        <w:left w:val="none" w:sz="0" w:space="0" w:color="auto"/>
        <w:bottom w:val="none" w:sz="0" w:space="0" w:color="auto"/>
        <w:right w:val="none" w:sz="0" w:space="0" w:color="auto"/>
      </w:divBdr>
    </w:div>
    <w:div w:id="427234400">
      <w:bodyDiv w:val="1"/>
      <w:marLeft w:val="0"/>
      <w:marRight w:val="0"/>
      <w:marTop w:val="0"/>
      <w:marBottom w:val="0"/>
      <w:divBdr>
        <w:top w:val="none" w:sz="0" w:space="0" w:color="auto"/>
        <w:left w:val="none" w:sz="0" w:space="0" w:color="auto"/>
        <w:bottom w:val="none" w:sz="0" w:space="0" w:color="auto"/>
        <w:right w:val="none" w:sz="0" w:space="0" w:color="auto"/>
      </w:divBdr>
    </w:div>
    <w:div w:id="435827132">
      <w:bodyDiv w:val="1"/>
      <w:marLeft w:val="0"/>
      <w:marRight w:val="0"/>
      <w:marTop w:val="0"/>
      <w:marBottom w:val="0"/>
      <w:divBdr>
        <w:top w:val="none" w:sz="0" w:space="0" w:color="auto"/>
        <w:left w:val="none" w:sz="0" w:space="0" w:color="auto"/>
        <w:bottom w:val="none" w:sz="0" w:space="0" w:color="auto"/>
        <w:right w:val="none" w:sz="0" w:space="0" w:color="auto"/>
      </w:divBdr>
    </w:div>
    <w:div w:id="437911651">
      <w:bodyDiv w:val="1"/>
      <w:marLeft w:val="0"/>
      <w:marRight w:val="0"/>
      <w:marTop w:val="0"/>
      <w:marBottom w:val="0"/>
      <w:divBdr>
        <w:top w:val="none" w:sz="0" w:space="0" w:color="auto"/>
        <w:left w:val="none" w:sz="0" w:space="0" w:color="auto"/>
        <w:bottom w:val="none" w:sz="0" w:space="0" w:color="auto"/>
        <w:right w:val="none" w:sz="0" w:space="0" w:color="auto"/>
      </w:divBdr>
    </w:div>
    <w:div w:id="459229327">
      <w:bodyDiv w:val="1"/>
      <w:marLeft w:val="0"/>
      <w:marRight w:val="0"/>
      <w:marTop w:val="0"/>
      <w:marBottom w:val="0"/>
      <w:divBdr>
        <w:top w:val="none" w:sz="0" w:space="0" w:color="auto"/>
        <w:left w:val="none" w:sz="0" w:space="0" w:color="auto"/>
        <w:bottom w:val="none" w:sz="0" w:space="0" w:color="auto"/>
        <w:right w:val="none" w:sz="0" w:space="0" w:color="auto"/>
      </w:divBdr>
    </w:div>
    <w:div w:id="481119749">
      <w:bodyDiv w:val="1"/>
      <w:marLeft w:val="0"/>
      <w:marRight w:val="0"/>
      <w:marTop w:val="0"/>
      <w:marBottom w:val="0"/>
      <w:divBdr>
        <w:top w:val="none" w:sz="0" w:space="0" w:color="auto"/>
        <w:left w:val="none" w:sz="0" w:space="0" w:color="auto"/>
        <w:bottom w:val="none" w:sz="0" w:space="0" w:color="auto"/>
        <w:right w:val="none" w:sz="0" w:space="0" w:color="auto"/>
      </w:divBdr>
    </w:div>
    <w:div w:id="501505457">
      <w:bodyDiv w:val="1"/>
      <w:marLeft w:val="0"/>
      <w:marRight w:val="0"/>
      <w:marTop w:val="0"/>
      <w:marBottom w:val="0"/>
      <w:divBdr>
        <w:top w:val="none" w:sz="0" w:space="0" w:color="auto"/>
        <w:left w:val="none" w:sz="0" w:space="0" w:color="auto"/>
        <w:bottom w:val="none" w:sz="0" w:space="0" w:color="auto"/>
        <w:right w:val="none" w:sz="0" w:space="0" w:color="auto"/>
      </w:divBdr>
    </w:div>
    <w:div w:id="512232213">
      <w:bodyDiv w:val="1"/>
      <w:marLeft w:val="0"/>
      <w:marRight w:val="0"/>
      <w:marTop w:val="0"/>
      <w:marBottom w:val="0"/>
      <w:divBdr>
        <w:top w:val="none" w:sz="0" w:space="0" w:color="auto"/>
        <w:left w:val="none" w:sz="0" w:space="0" w:color="auto"/>
        <w:bottom w:val="none" w:sz="0" w:space="0" w:color="auto"/>
        <w:right w:val="none" w:sz="0" w:space="0" w:color="auto"/>
      </w:divBdr>
    </w:div>
    <w:div w:id="540174066">
      <w:bodyDiv w:val="1"/>
      <w:marLeft w:val="0"/>
      <w:marRight w:val="0"/>
      <w:marTop w:val="0"/>
      <w:marBottom w:val="0"/>
      <w:divBdr>
        <w:top w:val="none" w:sz="0" w:space="0" w:color="auto"/>
        <w:left w:val="none" w:sz="0" w:space="0" w:color="auto"/>
        <w:bottom w:val="none" w:sz="0" w:space="0" w:color="auto"/>
        <w:right w:val="none" w:sz="0" w:space="0" w:color="auto"/>
      </w:divBdr>
    </w:div>
    <w:div w:id="541285304">
      <w:bodyDiv w:val="1"/>
      <w:marLeft w:val="0"/>
      <w:marRight w:val="0"/>
      <w:marTop w:val="0"/>
      <w:marBottom w:val="0"/>
      <w:divBdr>
        <w:top w:val="none" w:sz="0" w:space="0" w:color="auto"/>
        <w:left w:val="none" w:sz="0" w:space="0" w:color="auto"/>
        <w:bottom w:val="none" w:sz="0" w:space="0" w:color="auto"/>
        <w:right w:val="none" w:sz="0" w:space="0" w:color="auto"/>
      </w:divBdr>
    </w:div>
    <w:div w:id="616834291">
      <w:bodyDiv w:val="1"/>
      <w:marLeft w:val="0"/>
      <w:marRight w:val="0"/>
      <w:marTop w:val="0"/>
      <w:marBottom w:val="0"/>
      <w:divBdr>
        <w:top w:val="none" w:sz="0" w:space="0" w:color="auto"/>
        <w:left w:val="none" w:sz="0" w:space="0" w:color="auto"/>
        <w:bottom w:val="none" w:sz="0" w:space="0" w:color="auto"/>
        <w:right w:val="none" w:sz="0" w:space="0" w:color="auto"/>
      </w:divBdr>
    </w:div>
    <w:div w:id="620191774">
      <w:bodyDiv w:val="1"/>
      <w:marLeft w:val="0"/>
      <w:marRight w:val="0"/>
      <w:marTop w:val="0"/>
      <w:marBottom w:val="0"/>
      <w:divBdr>
        <w:top w:val="none" w:sz="0" w:space="0" w:color="auto"/>
        <w:left w:val="none" w:sz="0" w:space="0" w:color="auto"/>
        <w:bottom w:val="none" w:sz="0" w:space="0" w:color="auto"/>
        <w:right w:val="none" w:sz="0" w:space="0" w:color="auto"/>
      </w:divBdr>
    </w:div>
    <w:div w:id="682514200">
      <w:bodyDiv w:val="1"/>
      <w:marLeft w:val="0"/>
      <w:marRight w:val="0"/>
      <w:marTop w:val="0"/>
      <w:marBottom w:val="0"/>
      <w:divBdr>
        <w:top w:val="none" w:sz="0" w:space="0" w:color="auto"/>
        <w:left w:val="none" w:sz="0" w:space="0" w:color="auto"/>
        <w:bottom w:val="none" w:sz="0" w:space="0" w:color="auto"/>
        <w:right w:val="none" w:sz="0" w:space="0" w:color="auto"/>
      </w:divBdr>
    </w:div>
    <w:div w:id="692002548">
      <w:bodyDiv w:val="1"/>
      <w:marLeft w:val="0"/>
      <w:marRight w:val="0"/>
      <w:marTop w:val="0"/>
      <w:marBottom w:val="0"/>
      <w:divBdr>
        <w:top w:val="none" w:sz="0" w:space="0" w:color="auto"/>
        <w:left w:val="none" w:sz="0" w:space="0" w:color="auto"/>
        <w:bottom w:val="none" w:sz="0" w:space="0" w:color="auto"/>
        <w:right w:val="none" w:sz="0" w:space="0" w:color="auto"/>
      </w:divBdr>
    </w:div>
    <w:div w:id="703020695">
      <w:bodyDiv w:val="1"/>
      <w:marLeft w:val="0"/>
      <w:marRight w:val="0"/>
      <w:marTop w:val="0"/>
      <w:marBottom w:val="0"/>
      <w:divBdr>
        <w:top w:val="none" w:sz="0" w:space="0" w:color="auto"/>
        <w:left w:val="none" w:sz="0" w:space="0" w:color="auto"/>
        <w:bottom w:val="none" w:sz="0" w:space="0" w:color="auto"/>
        <w:right w:val="none" w:sz="0" w:space="0" w:color="auto"/>
      </w:divBdr>
    </w:div>
    <w:div w:id="717314567">
      <w:bodyDiv w:val="1"/>
      <w:marLeft w:val="0"/>
      <w:marRight w:val="0"/>
      <w:marTop w:val="0"/>
      <w:marBottom w:val="0"/>
      <w:divBdr>
        <w:top w:val="none" w:sz="0" w:space="0" w:color="auto"/>
        <w:left w:val="none" w:sz="0" w:space="0" w:color="auto"/>
        <w:bottom w:val="none" w:sz="0" w:space="0" w:color="auto"/>
        <w:right w:val="none" w:sz="0" w:space="0" w:color="auto"/>
      </w:divBdr>
      <w:divsChild>
        <w:div w:id="73859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05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621">
      <w:bodyDiv w:val="1"/>
      <w:marLeft w:val="0"/>
      <w:marRight w:val="0"/>
      <w:marTop w:val="0"/>
      <w:marBottom w:val="0"/>
      <w:divBdr>
        <w:top w:val="none" w:sz="0" w:space="0" w:color="auto"/>
        <w:left w:val="none" w:sz="0" w:space="0" w:color="auto"/>
        <w:bottom w:val="none" w:sz="0" w:space="0" w:color="auto"/>
        <w:right w:val="none" w:sz="0" w:space="0" w:color="auto"/>
      </w:divBdr>
    </w:div>
    <w:div w:id="777991558">
      <w:bodyDiv w:val="1"/>
      <w:marLeft w:val="0"/>
      <w:marRight w:val="0"/>
      <w:marTop w:val="0"/>
      <w:marBottom w:val="0"/>
      <w:divBdr>
        <w:top w:val="none" w:sz="0" w:space="0" w:color="auto"/>
        <w:left w:val="none" w:sz="0" w:space="0" w:color="auto"/>
        <w:bottom w:val="none" w:sz="0" w:space="0" w:color="auto"/>
        <w:right w:val="none" w:sz="0" w:space="0" w:color="auto"/>
      </w:divBdr>
    </w:div>
    <w:div w:id="824736121">
      <w:bodyDiv w:val="1"/>
      <w:marLeft w:val="0"/>
      <w:marRight w:val="0"/>
      <w:marTop w:val="0"/>
      <w:marBottom w:val="0"/>
      <w:divBdr>
        <w:top w:val="none" w:sz="0" w:space="0" w:color="auto"/>
        <w:left w:val="none" w:sz="0" w:space="0" w:color="auto"/>
        <w:bottom w:val="none" w:sz="0" w:space="0" w:color="auto"/>
        <w:right w:val="none" w:sz="0" w:space="0" w:color="auto"/>
      </w:divBdr>
    </w:div>
    <w:div w:id="893463291">
      <w:bodyDiv w:val="1"/>
      <w:marLeft w:val="0"/>
      <w:marRight w:val="0"/>
      <w:marTop w:val="0"/>
      <w:marBottom w:val="0"/>
      <w:divBdr>
        <w:top w:val="none" w:sz="0" w:space="0" w:color="auto"/>
        <w:left w:val="none" w:sz="0" w:space="0" w:color="auto"/>
        <w:bottom w:val="none" w:sz="0" w:space="0" w:color="auto"/>
        <w:right w:val="none" w:sz="0" w:space="0" w:color="auto"/>
      </w:divBdr>
    </w:div>
    <w:div w:id="896012545">
      <w:bodyDiv w:val="1"/>
      <w:marLeft w:val="0"/>
      <w:marRight w:val="0"/>
      <w:marTop w:val="0"/>
      <w:marBottom w:val="0"/>
      <w:divBdr>
        <w:top w:val="none" w:sz="0" w:space="0" w:color="auto"/>
        <w:left w:val="none" w:sz="0" w:space="0" w:color="auto"/>
        <w:bottom w:val="none" w:sz="0" w:space="0" w:color="auto"/>
        <w:right w:val="none" w:sz="0" w:space="0" w:color="auto"/>
      </w:divBdr>
    </w:div>
    <w:div w:id="896622154">
      <w:bodyDiv w:val="1"/>
      <w:marLeft w:val="0"/>
      <w:marRight w:val="0"/>
      <w:marTop w:val="0"/>
      <w:marBottom w:val="0"/>
      <w:divBdr>
        <w:top w:val="none" w:sz="0" w:space="0" w:color="auto"/>
        <w:left w:val="none" w:sz="0" w:space="0" w:color="auto"/>
        <w:bottom w:val="none" w:sz="0" w:space="0" w:color="auto"/>
        <w:right w:val="none" w:sz="0" w:space="0" w:color="auto"/>
      </w:divBdr>
    </w:div>
    <w:div w:id="931619467">
      <w:bodyDiv w:val="1"/>
      <w:marLeft w:val="0"/>
      <w:marRight w:val="0"/>
      <w:marTop w:val="0"/>
      <w:marBottom w:val="0"/>
      <w:divBdr>
        <w:top w:val="none" w:sz="0" w:space="0" w:color="auto"/>
        <w:left w:val="none" w:sz="0" w:space="0" w:color="auto"/>
        <w:bottom w:val="none" w:sz="0" w:space="0" w:color="auto"/>
        <w:right w:val="none" w:sz="0" w:space="0" w:color="auto"/>
      </w:divBdr>
    </w:div>
    <w:div w:id="933708689">
      <w:bodyDiv w:val="1"/>
      <w:marLeft w:val="0"/>
      <w:marRight w:val="0"/>
      <w:marTop w:val="0"/>
      <w:marBottom w:val="0"/>
      <w:divBdr>
        <w:top w:val="none" w:sz="0" w:space="0" w:color="auto"/>
        <w:left w:val="none" w:sz="0" w:space="0" w:color="auto"/>
        <w:bottom w:val="none" w:sz="0" w:space="0" w:color="auto"/>
        <w:right w:val="none" w:sz="0" w:space="0" w:color="auto"/>
      </w:divBdr>
    </w:div>
    <w:div w:id="957184201">
      <w:bodyDiv w:val="1"/>
      <w:marLeft w:val="0"/>
      <w:marRight w:val="0"/>
      <w:marTop w:val="0"/>
      <w:marBottom w:val="0"/>
      <w:divBdr>
        <w:top w:val="none" w:sz="0" w:space="0" w:color="auto"/>
        <w:left w:val="none" w:sz="0" w:space="0" w:color="auto"/>
        <w:bottom w:val="none" w:sz="0" w:space="0" w:color="auto"/>
        <w:right w:val="none" w:sz="0" w:space="0" w:color="auto"/>
      </w:divBdr>
    </w:div>
    <w:div w:id="974064951">
      <w:bodyDiv w:val="1"/>
      <w:marLeft w:val="0"/>
      <w:marRight w:val="0"/>
      <w:marTop w:val="0"/>
      <w:marBottom w:val="0"/>
      <w:divBdr>
        <w:top w:val="none" w:sz="0" w:space="0" w:color="auto"/>
        <w:left w:val="none" w:sz="0" w:space="0" w:color="auto"/>
        <w:bottom w:val="none" w:sz="0" w:space="0" w:color="auto"/>
        <w:right w:val="none" w:sz="0" w:space="0" w:color="auto"/>
      </w:divBdr>
    </w:div>
    <w:div w:id="990907361">
      <w:bodyDiv w:val="1"/>
      <w:marLeft w:val="0"/>
      <w:marRight w:val="0"/>
      <w:marTop w:val="0"/>
      <w:marBottom w:val="0"/>
      <w:divBdr>
        <w:top w:val="none" w:sz="0" w:space="0" w:color="auto"/>
        <w:left w:val="none" w:sz="0" w:space="0" w:color="auto"/>
        <w:bottom w:val="none" w:sz="0" w:space="0" w:color="auto"/>
        <w:right w:val="none" w:sz="0" w:space="0" w:color="auto"/>
      </w:divBdr>
    </w:div>
    <w:div w:id="991329614">
      <w:bodyDiv w:val="1"/>
      <w:marLeft w:val="0"/>
      <w:marRight w:val="0"/>
      <w:marTop w:val="0"/>
      <w:marBottom w:val="0"/>
      <w:divBdr>
        <w:top w:val="none" w:sz="0" w:space="0" w:color="auto"/>
        <w:left w:val="none" w:sz="0" w:space="0" w:color="auto"/>
        <w:bottom w:val="none" w:sz="0" w:space="0" w:color="auto"/>
        <w:right w:val="none" w:sz="0" w:space="0" w:color="auto"/>
      </w:divBdr>
    </w:div>
    <w:div w:id="997002922">
      <w:bodyDiv w:val="1"/>
      <w:marLeft w:val="0"/>
      <w:marRight w:val="0"/>
      <w:marTop w:val="0"/>
      <w:marBottom w:val="0"/>
      <w:divBdr>
        <w:top w:val="none" w:sz="0" w:space="0" w:color="auto"/>
        <w:left w:val="none" w:sz="0" w:space="0" w:color="auto"/>
        <w:bottom w:val="none" w:sz="0" w:space="0" w:color="auto"/>
        <w:right w:val="none" w:sz="0" w:space="0" w:color="auto"/>
      </w:divBdr>
      <w:divsChild>
        <w:div w:id="19166963">
          <w:marLeft w:val="0"/>
          <w:marRight w:val="0"/>
          <w:marTop w:val="0"/>
          <w:marBottom w:val="0"/>
          <w:divBdr>
            <w:top w:val="none" w:sz="0" w:space="0" w:color="auto"/>
            <w:left w:val="none" w:sz="0" w:space="0" w:color="auto"/>
            <w:bottom w:val="none" w:sz="0" w:space="0" w:color="auto"/>
            <w:right w:val="none" w:sz="0" w:space="0" w:color="auto"/>
          </w:divBdr>
        </w:div>
        <w:div w:id="142084295">
          <w:marLeft w:val="0"/>
          <w:marRight w:val="0"/>
          <w:marTop w:val="0"/>
          <w:marBottom w:val="0"/>
          <w:divBdr>
            <w:top w:val="none" w:sz="0" w:space="0" w:color="auto"/>
            <w:left w:val="none" w:sz="0" w:space="0" w:color="auto"/>
            <w:bottom w:val="none" w:sz="0" w:space="0" w:color="auto"/>
            <w:right w:val="none" w:sz="0" w:space="0" w:color="auto"/>
          </w:divBdr>
        </w:div>
        <w:div w:id="271715827">
          <w:marLeft w:val="0"/>
          <w:marRight w:val="0"/>
          <w:marTop w:val="0"/>
          <w:marBottom w:val="0"/>
          <w:divBdr>
            <w:top w:val="none" w:sz="0" w:space="0" w:color="auto"/>
            <w:left w:val="none" w:sz="0" w:space="0" w:color="auto"/>
            <w:bottom w:val="none" w:sz="0" w:space="0" w:color="auto"/>
            <w:right w:val="none" w:sz="0" w:space="0" w:color="auto"/>
          </w:divBdr>
        </w:div>
        <w:div w:id="511527328">
          <w:marLeft w:val="0"/>
          <w:marRight w:val="0"/>
          <w:marTop w:val="0"/>
          <w:marBottom w:val="0"/>
          <w:divBdr>
            <w:top w:val="none" w:sz="0" w:space="0" w:color="auto"/>
            <w:left w:val="none" w:sz="0" w:space="0" w:color="auto"/>
            <w:bottom w:val="none" w:sz="0" w:space="0" w:color="auto"/>
            <w:right w:val="none" w:sz="0" w:space="0" w:color="auto"/>
          </w:divBdr>
        </w:div>
        <w:div w:id="675963671">
          <w:marLeft w:val="0"/>
          <w:marRight w:val="0"/>
          <w:marTop w:val="0"/>
          <w:marBottom w:val="0"/>
          <w:divBdr>
            <w:top w:val="none" w:sz="0" w:space="0" w:color="auto"/>
            <w:left w:val="none" w:sz="0" w:space="0" w:color="auto"/>
            <w:bottom w:val="none" w:sz="0" w:space="0" w:color="auto"/>
            <w:right w:val="none" w:sz="0" w:space="0" w:color="auto"/>
          </w:divBdr>
        </w:div>
        <w:div w:id="1047753663">
          <w:marLeft w:val="0"/>
          <w:marRight w:val="0"/>
          <w:marTop w:val="0"/>
          <w:marBottom w:val="0"/>
          <w:divBdr>
            <w:top w:val="none" w:sz="0" w:space="0" w:color="auto"/>
            <w:left w:val="none" w:sz="0" w:space="0" w:color="auto"/>
            <w:bottom w:val="none" w:sz="0" w:space="0" w:color="auto"/>
            <w:right w:val="none" w:sz="0" w:space="0" w:color="auto"/>
          </w:divBdr>
        </w:div>
        <w:div w:id="1254970965">
          <w:marLeft w:val="0"/>
          <w:marRight w:val="0"/>
          <w:marTop w:val="0"/>
          <w:marBottom w:val="0"/>
          <w:divBdr>
            <w:top w:val="none" w:sz="0" w:space="0" w:color="auto"/>
            <w:left w:val="none" w:sz="0" w:space="0" w:color="auto"/>
            <w:bottom w:val="none" w:sz="0" w:space="0" w:color="auto"/>
            <w:right w:val="none" w:sz="0" w:space="0" w:color="auto"/>
          </w:divBdr>
        </w:div>
        <w:div w:id="1671716844">
          <w:marLeft w:val="0"/>
          <w:marRight w:val="0"/>
          <w:marTop w:val="0"/>
          <w:marBottom w:val="0"/>
          <w:divBdr>
            <w:top w:val="none" w:sz="0" w:space="0" w:color="auto"/>
            <w:left w:val="none" w:sz="0" w:space="0" w:color="auto"/>
            <w:bottom w:val="none" w:sz="0" w:space="0" w:color="auto"/>
            <w:right w:val="none" w:sz="0" w:space="0" w:color="auto"/>
          </w:divBdr>
        </w:div>
        <w:div w:id="1726296042">
          <w:marLeft w:val="0"/>
          <w:marRight w:val="0"/>
          <w:marTop w:val="0"/>
          <w:marBottom w:val="0"/>
          <w:divBdr>
            <w:top w:val="none" w:sz="0" w:space="0" w:color="auto"/>
            <w:left w:val="none" w:sz="0" w:space="0" w:color="auto"/>
            <w:bottom w:val="none" w:sz="0" w:space="0" w:color="auto"/>
            <w:right w:val="none" w:sz="0" w:space="0" w:color="auto"/>
          </w:divBdr>
        </w:div>
        <w:div w:id="2139951231">
          <w:marLeft w:val="0"/>
          <w:marRight w:val="0"/>
          <w:marTop w:val="0"/>
          <w:marBottom w:val="0"/>
          <w:divBdr>
            <w:top w:val="none" w:sz="0" w:space="0" w:color="auto"/>
            <w:left w:val="none" w:sz="0" w:space="0" w:color="auto"/>
            <w:bottom w:val="none" w:sz="0" w:space="0" w:color="auto"/>
            <w:right w:val="none" w:sz="0" w:space="0" w:color="auto"/>
          </w:divBdr>
        </w:div>
      </w:divsChild>
    </w:div>
    <w:div w:id="1021132255">
      <w:bodyDiv w:val="1"/>
      <w:marLeft w:val="0"/>
      <w:marRight w:val="0"/>
      <w:marTop w:val="0"/>
      <w:marBottom w:val="0"/>
      <w:divBdr>
        <w:top w:val="none" w:sz="0" w:space="0" w:color="auto"/>
        <w:left w:val="none" w:sz="0" w:space="0" w:color="auto"/>
        <w:bottom w:val="none" w:sz="0" w:space="0" w:color="auto"/>
        <w:right w:val="none" w:sz="0" w:space="0" w:color="auto"/>
      </w:divBdr>
    </w:div>
    <w:div w:id="1021316339">
      <w:bodyDiv w:val="1"/>
      <w:marLeft w:val="0"/>
      <w:marRight w:val="0"/>
      <w:marTop w:val="0"/>
      <w:marBottom w:val="0"/>
      <w:divBdr>
        <w:top w:val="none" w:sz="0" w:space="0" w:color="auto"/>
        <w:left w:val="none" w:sz="0" w:space="0" w:color="auto"/>
        <w:bottom w:val="none" w:sz="0" w:space="0" w:color="auto"/>
        <w:right w:val="none" w:sz="0" w:space="0" w:color="auto"/>
      </w:divBdr>
    </w:div>
    <w:div w:id="1021399594">
      <w:bodyDiv w:val="1"/>
      <w:marLeft w:val="0"/>
      <w:marRight w:val="0"/>
      <w:marTop w:val="0"/>
      <w:marBottom w:val="0"/>
      <w:divBdr>
        <w:top w:val="none" w:sz="0" w:space="0" w:color="auto"/>
        <w:left w:val="none" w:sz="0" w:space="0" w:color="auto"/>
        <w:bottom w:val="none" w:sz="0" w:space="0" w:color="auto"/>
        <w:right w:val="none" w:sz="0" w:space="0" w:color="auto"/>
      </w:divBdr>
    </w:div>
    <w:div w:id="1035159605">
      <w:bodyDiv w:val="1"/>
      <w:marLeft w:val="0"/>
      <w:marRight w:val="0"/>
      <w:marTop w:val="0"/>
      <w:marBottom w:val="0"/>
      <w:divBdr>
        <w:top w:val="none" w:sz="0" w:space="0" w:color="auto"/>
        <w:left w:val="none" w:sz="0" w:space="0" w:color="auto"/>
        <w:bottom w:val="none" w:sz="0" w:space="0" w:color="auto"/>
        <w:right w:val="none" w:sz="0" w:space="0" w:color="auto"/>
      </w:divBdr>
    </w:div>
    <w:div w:id="1097334797">
      <w:bodyDiv w:val="1"/>
      <w:marLeft w:val="0"/>
      <w:marRight w:val="0"/>
      <w:marTop w:val="0"/>
      <w:marBottom w:val="0"/>
      <w:divBdr>
        <w:top w:val="none" w:sz="0" w:space="0" w:color="auto"/>
        <w:left w:val="none" w:sz="0" w:space="0" w:color="auto"/>
        <w:bottom w:val="none" w:sz="0" w:space="0" w:color="auto"/>
        <w:right w:val="none" w:sz="0" w:space="0" w:color="auto"/>
      </w:divBdr>
    </w:div>
    <w:div w:id="1120800812">
      <w:bodyDiv w:val="1"/>
      <w:marLeft w:val="0"/>
      <w:marRight w:val="0"/>
      <w:marTop w:val="0"/>
      <w:marBottom w:val="0"/>
      <w:divBdr>
        <w:top w:val="none" w:sz="0" w:space="0" w:color="auto"/>
        <w:left w:val="none" w:sz="0" w:space="0" w:color="auto"/>
        <w:bottom w:val="none" w:sz="0" w:space="0" w:color="auto"/>
        <w:right w:val="none" w:sz="0" w:space="0" w:color="auto"/>
      </w:divBdr>
    </w:div>
    <w:div w:id="1131902485">
      <w:bodyDiv w:val="1"/>
      <w:marLeft w:val="0"/>
      <w:marRight w:val="0"/>
      <w:marTop w:val="0"/>
      <w:marBottom w:val="0"/>
      <w:divBdr>
        <w:top w:val="none" w:sz="0" w:space="0" w:color="auto"/>
        <w:left w:val="none" w:sz="0" w:space="0" w:color="auto"/>
        <w:bottom w:val="none" w:sz="0" w:space="0" w:color="auto"/>
        <w:right w:val="none" w:sz="0" w:space="0" w:color="auto"/>
      </w:divBdr>
    </w:div>
    <w:div w:id="1216163763">
      <w:bodyDiv w:val="1"/>
      <w:marLeft w:val="0"/>
      <w:marRight w:val="0"/>
      <w:marTop w:val="0"/>
      <w:marBottom w:val="0"/>
      <w:divBdr>
        <w:top w:val="none" w:sz="0" w:space="0" w:color="auto"/>
        <w:left w:val="none" w:sz="0" w:space="0" w:color="auto"/>
        <w:bottom w:val="none" w:sz="0" w:space="0" w:color="auto"/>
        <w:right w:val="none" w:sz="0" w:space="0" w:color="auto"/>
      </w:divBdr>
    </w:div>
    <w:div w:id="1234271529">
      <w:bodyDiv w:val="1"/>
      <w:marLeft w:val="0"/>
      <w:marRight w:val="0"/>
      <w:marTop w:val="0"/>
      <w:marBottom w:val="0"/>
      <w:divBdr>
        <w:top w:val="none" w:sz="0" w:space="0" w:color="auto"/>
        <w:left w:val="none" w:sz="0" w:space="0" w:color="auto"/>
        <w:bottom w:val="none" w:sz="0" w:space="0" w:color="auto"/>
        <w:right w:val="none" w:sz="0" w:space="0" w:color="auto"/>
      </w:divBdr>
    </w:div>
    <w:div w:id="1239710407">
      <w:bodyDiv w:val="1"/>
      <w:marLeft w:val="0"/>
      <w:marRight w:val="0"/>
      <w:marTop w:val="0"/>
      <w:marBottom w:val="0"/>
      <w:divBdr>
        <w:top w:val="none" w:sz="0" w:space="0" w:color="auto"/>
        <w:left w:val="none" w:sz="0" w:space="0" w:color="auto"/>
        <w:bottom w:val="none" w:sz="0" w:space="0" w:color="auto"/>
        <w:right w:val="none" w:sz="0" w:space="0" w:color="auto"/>
      </w:divBdr>
    </w:div>
    <w:div w:id="1274048885">
      <w:bodyDiv w:val="1"/>
      <w:marLeft w:val="0"/>
      <w:marRight w:val="0"/>
      <w:marTop w:val="0"/>
      <w:marBottom w:val="0"/>
      <w:divBdr>
        <w:top w:val="none" w:sz="0" w:space="0" w:color="auto"/>
        <w:left w:val="none" w:sz="0" w:space="0" w:color="auto"/>
        <w:bottom w:val="none" w:sz="0" w:space="0" w:color="auto"/>
        <w:right w:val="none" w:sz="0" w:space="0" w:color="auto"/>
      </w:divBdr>
    </w:div>
    <w:div w:id="1325889918">
      <w:bodyDiv w:val="1"/>
      <w:marLeft w:val="0"/>
      <w:marRight w:val="0"/>
      <w:marTop w:val="0"/>
      <w:marBottom w:val="0"/>
      <w:divBdr>
        <w:top w:val="none" w:sz="0" w:space="0" w:color="auto"/>
        <w:left w:val="none" w:sz="0" w:space="0" w:color="auto"/>
        <w:bottom w:val="none" w:sz="0" w:space="0" w:color="auto"/>
        <w:right w:val="none" w:sz="0" w:space="0" w:color="auto"/>
      </w:divBdr>
    </w:div>
    <w:div w:id="1336881884">
      <w:bodyDiv w:val="1"/>
      <w:marLeft w:val="0"/>
      <w:marRight w:val="0"/>
      <w:marTop w:val="0"/>
      <w:marBottom w:val="0"/>
      <w:divBdr>
        <w:top w:val="none" w:sz="0" w:space="0" w:color="auto"/>
        <w:left w:val="none" w:sz="0" w:space="0" w:color="auto"/>
        <w:bottom w:val="none" w:sz="0" w:space="0" w:color="auto"/>
        <w:right w:val="none" w:sz="0" w:space="0" w:color="auto"/>
      </w:divBdr>
    </w:div>
    <w:div w:id="1349794955">
      <w:bodyDiv w:val="1"/>
      <w:marLeft w:val="0"/>
      <w:marRight w:val="0"/>
      <w:marTop w:val="0"/>
      <w:marBottom w:val="0"/>
      <w:divBdr>
        <w:top w:val="none" w:sz="0" w:space="0" w:color="auto"/>
        <w:left w:val="none" w:sz="0" w:space="0" w:color="auto"/>
        <w:bottom w:val="none" w:sz="0" w:space="0" w:color="auto"/>
        <w:right w:val="none" w:sz="0" w:space="0" w:color="auto"/>
      </w:divBdr>
    </w:div>
    <w:div w:id="1385374704">
      <w:bodyDiv w:val="1"/>
      <w:marLeft w:val="0"/>
      <w:marRight w:val="0"/>
      <w:marTop w:val="0"/>
      <w:marBottom w:val="0"/>
      <w:divBdr>
        <w:top w:val="none" w:sz="0" w:space="0" w:color="auto"/>
        <w:left w:val="none" w:sz="0" w:space="0" w:color="auto"/>
        <w:bottom w:val="none" w:sz="0" w:space="0" w:color="auto"/>
        <w:right w:val="none" w:sz="0" w:space="0" w:color="auto"/>
      </w:divBdr>
      <w:divsChild>
        <w:div w:id="689571909">
          <w:marLeft w:val="0"/>
          <w:marRight w:val="0"/>
          <w:marTop w:val="0"/>
          <w:marBottom w:val="0"/>
          <w:divBdr>
            <w:top w:val="none" w:sz="0" w:space="0" w:color="auto"/>
            <w:left w:val="none" w:sz="0" w:space="0" w:color="auto"/>
            <w:bottom w:val="none" w:sz="0" w:space="0" w:color="auto"/>
            <w:right w:val="none" w:sz="0" w:space="0" w:color="auto"/>
          </w:divBdr>
        </w:div>
        <w:div w:id="1266110305">
          <w:marLeft w:val="0"/>
          <w:marRight w:val="0"/>
          <w:marTop w:val="0"/>
          <w:marBottom w:val="0"/>
          <w:divBdr>
            <w:top w:val="none" w:sz="0" w:space="0" w:color="auto"/>
            <w:left w:val="none" w:sz="0" w:space="0" w:color="auto"/>
            <w:bottom w:val="none" w:sz="0" w:space="0" w:color="auto"/>
            <w:right w:val="none" w:sz="0" w:space="0" w:color="auto"/>
          </w:divBdr>
        </w:div>
      </w:divsChild>
    </w:div>
    <w:div w:id="1409620759">
      <w:bodyDiv w:val="1"/>
      <w:marLeft w:val="0"/>
      <w:marRight w:val="0"/>
      <w:marTop w:val="0"/>
      <w:marBottom w:val="0"/>
      <w:divBdr>
        <w:top w:val="none" w:sz="0" w:space="0" w:color="auto"/>
        <w:left w:val="none" w:sz="0" w:space="0" w:color="auto"/>
        <w:bottom w:val="none" w:sz="0" w:space="0" w:color="auto"/>
        <w:right w:val="none" w:sz="0" w:space="0" w:color="auto"/>
      </w:divBdr>
      <w:divsChild>
        <w:div w:id="1716611962">
          <w:marLeft w:val="0"/>
          <w:marRight w:val="0"/>
          <w:marTop w:val="0"/>
          <w:marBottom w:val="0"/>
          <w:divBdr>
            <w:top w:val="none" w:sz="0" w:space="0" w:color="auto"/>
            <w:left w:val="none" w:sz="0" w:space="0" w:color="auto"/>
            <w:bottom w:val="none" w:sz="0" w:space="0" w:color="auto"/>
            <w:right w:val="none" w:sz="0" w:space="0" w:color="auto"/>
          </w:divBdr>
          <w:divsChild>
            <w:div w:id="491798095">
              <w:marLeft w:val="0"/>
              <w:marRight w:val="0"/>
              <w:marTop w:val="0"/>
              <w:marBottom w:val="0"/>
              <w:divBdr>
                <w:top w:val="none" w:sz="0" w:space="0" w:color="auto"/>
                <w:left w:val="none" w:sz="0" w:space="0" w:color="auto"/>
                <w:bottom w:val="none" w:sz="0" w:space="0" w:color="auto"/>
                <w:right w:val="none" w:sz="0" w:space="0" w:color="auto"/>
              </w:divBdr>
              <w:divsChild>
                <w:div w:id="9706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17215">
      <w:bodyDiv w:val="1"/>
      <w:marLeft w:val="0"/>
      <w:marRight w:val="0"/>
      <w:marTop w:val="0"/>
      <w:marBottom w:val="0"/>
      <w:divBdr>
        <w:top w:val="none" w:sz="0" w:space="0" w:color="auto"/>
        <w:left w:val="none" w:sz="0" w:space="0" w:color="auto"/>
        <w:bottom w:val="none" w:sz="0" w:space="0" w:color="auto"/>
        <w:right w:val="none" w:sz="0" w:space="0" w:color="auto"/>
      </w:divBdr>
    </w:div>
    <w:div w:id="1423141936">
      <w:bodyDiv w:val="1"/>
      <w:marLeft w:val="0"/>
      <w:marRight w:val="0"/>
      <w:marTop w:val="0"/>
      <w:marBottom w:val="0"/>
      <w:divBdr>
        <w:top w:val="none" w:sz="0" w:space="0" w:color="auto"/>
        <w:left w:val="none" w:sz="0" w:space="0" w:color="auto"/>
        <w:bottom w:val="none" w:sz="0" w:space="0" w:color="auto"/>
        <w:right w:val="none" w:sz="0" w:space="0" w:color="auto"/>
      </w:divBdr>
    </w:div>
    <w:div w:id="1424688115">
      <w:bodyDiv w:val="1"/>
      <w:marLeft w:val="0"/>
      <w:marRight w:val="0"/>
      <w:marTop w:val="0"/>
      <w:marBottom w:val="0"/>
      <w:divBdr>
        <w:top w:val="none" w:sz="0" w:space="0" w:color="auto"/>
        <w:left w:val="none" w:sz="0" w:space="0" w:color="auto"/>
        <w:bottom w:val="none" w:sz="0" w:space="0" w:color="auto"/>
        <w:right w:val="none" w:sz="0" w:space="0" w:color="auto"/>
      </w:divBdr>
    </w:div>
    <w:div w:id="1434326621">
      <w:bodyDiv w:val="1"/>
      <w:marLeft w:val="0"/>
      <w:marRight w:val="0"/>
      <w:marTop w:val="0"/>
      <w:marBottom w:val="0"/>
      <w:divBdr>
        <w:top w:val="none" w:sz="0" w:space="0" w:color="auto"/>
        <w:left w:val="none" w:sz="0" w:space="0" w:color="auto"/>
        <w:bottom w:val="none" w:sz="0" w:space="0" w:color="auto"/>
        <w:right w:val="none" w:sz="0" w:space="0" w:color="auto"/>
      </w:divBdr>
    </w:div>
    <w:div w:id="1472553519">
      <w:bodyDiv w:val="1"/>
      <w:marLeft w:val="0"/>
      <w:marRight w:val="0"/>
      <w:marTop w:val="0"/>
      <w:marBottom w:val="0"/>
      <w:divBdr>
        <w:top w:val="none" w:sz="0" w:space="0" w:color="auto"/>
        <w:left w:val="none" w:sz="0" w:space="0" w:color="auto"/>
        <w:bottom w:val="none" w:sz="0" w:space="0" w:color="auto"/>
        <w:right w:val="none" w:sz="0" w:space="0" w:color="auto"/>
      </w:divBdr>
      <w:divsChild>
        <w:div w:id="152141385">
          <w:marLeft w:val="0"/>
          <w:marRight w:val="0"/>
          <w:marTop w:val="0"/>
          <w:marBottom w:val="0"/>
          <w:divBdr>
            <w:top w:val="none" w:sz="0" w:space="0" w:color="auto"/>
            <w:left w:val="none" w:sz="0" w:space="0" w:color="auto"/>
            <w:bottom w:val="none" w:sz="0" w:space="0" w:color="auto"/>
            <w:right w:val="none" w:sz="0" w:space="0" w:color="auto"/>
          </w:divBdr>
        </w:div>
        <w:div w:id="228661107">
          <w:marLeft w:val="0"/>
          <w:marRight w:val="0"/>
          <w:marTop w:val="0"/>
          <w:marBottom w:val="0"/>
          <w:divBdr>
            <w:top w:val="none" w:sz="0" w:space="0" w:color="auto"/>
            <w:left w:val="none" w:sz="0" w:space="0" w:color="auto"/>
            <w:bottom w:val="none" w:sz="0" w:space="0" w:color="auto"/>
            <w:right w:val="none" w:sz="0" w:space="0" w:color="auto"/>
          </w:divBdr>
        </w:div>
        <w:div w:id="247731635">
          <w:marLeft w:val="0"/>
          <w:marRight w:val="0"/>
          <w:marTop w:val="0"/>
          <w:marBottom w:val="0"/>
          <w:divBdr>
            <w:top w:val="none" w:sz="0" w:space="0" w:color="auto"/>
            <w:left w:val="none" w:sz="0" w:space="0" w:color="auto"/>
            <w:bottom w:val="none" w:sz="0" w:space="0" w:color="auto"/>
            <w:right w:val="none" w:sz="0" w:space="0" w:color="auto"/>
          </w:divBdr>
        </w:div>
        <w:div w:id="262423501">
          <w:marLeft w:val="0"/>
          <w:marRight w:val="0"/>
          <w:marTop w:val="0"/>
          <w:marBottom w:val="0"/>
          <w:divBdr>
            <w:top w:val="none" w:sz="0" w:space="0" w:color="auto"/>
            <w:left w:val="none" w:sz="0" w:space="0" w:color="auto"/>
            <w:bottom w:val="none" w:sz="0" w:space="0" w:color="auto"/>
            <w:right w:val="none" w:sz="0" w:space="0" w:color="auto"/>
          </w:divBdr>
        </w:div>
        <w:div w:id="611598666">
          <w:marLeft w:val="0"/>
          <w:marRight w:val="0"/>
          <w:marTop w:val="0"/>
          <w:marBottom w:val="0"/>
          <w:divBdr>
            <w:top w:val="none" w:sz="0" w:space="0" w:color="auto"/>
            <w:left w:val="none" w:sz="0" w:space="0" w:color="auto"/>
            <w:bottom w:val="none" w:sz="0" w:space="0" w:color="auto"/>
            <w:right w:val="none" w:sz="0" w:space="0" w:color="auto"/>
          </w:divBdr>
        </w:div>
        <w:div w:id="701130538">
          <w:marLeft w:val="0"/>
          <w:marRight w:val="0"/>
          <w:marTop w:val="0"/>
          <w:marBottom w:val="0"/>
          <w:divBdr>
            <w:top w:val="none" w:sz="0" w:space="0" w:color="auto"/>
            <w:left w:val="none" w:sz="0" w:space="0" w:color="auto"/>
            <w:bottom w:val="none" w:sz="0" w:space="0" w:color="auto"/>
            <w:right w:val="none" w:sz="0" w:space="0" w:color="auto"/>
          </w:divBdr>
        </w:div>
        <w:div w:id="1417943325">
          <w:marLeft w:val="0"/>
          <w:marRight w:val="0"/>
          <w:marTop w:val="0"/>
          <w:marBottom w:val="0"/>
          <w:divBdr>
            <w:top w:val="none" w:sz="0" w:space="0" w:color="auto"/>
            <w:left w:val="none" w:sz="0" w:space="0" w:color="auto"/>
            <w:bottom w:val="none" w:sz="0" w:space="0" w:color="auto"/>
            <w:right w:val="none" w:sz="0" w:space="0" w:color="auto"/>
          </w:divBdr>
        </w:div>
        <w:div w:id="1649558036">
          <w:marLeft w:val="0"/>
          <w:marRight w:val="0"/>
          <w:marTop w:val="0"/>
          <w:marBottom w:val="0"/>
          <w:divBdr>
            <w:top w:val="none" w:sz="0" w:space="0" w:color="auto"/>
            <w:left w:val="none" w:sz="0" w:space="0" w:color="auto"/>
            <w:bottom w:val="none" w:sz="0" w:space="0" w:color="auto"/>
            <w:right w:val="none" w:sz="0" w:space="0" w:color="auto"/>
          </w:divBdr>
        </w:div>
        <w:div w:id="1920092605">
          <w:marLeft w:val="0"/>
          <w:marRight w:val="0"/>
          <w:marTop w:val="0"/>
          <w:marBottom w:val="0"/>
          <w:divBdr>
            <w:top w:val="none" w:sz="0" w:space="0" w:color="auto"/>
            <w:left w:val="none" w:sz="0" w:space="0" w:color="auto"/>
            <w:bottom w:val="none" w:sz="0" w:space="0" w:color="auto"/>
            <w:right w:val="none" w:sz="0" w:space="0" w:color="auto"/>
          </w:divBdr>
        </w:div>
        <w:div w:id="1930698429">
          <w:marLeft w:val="0"/>
          <w:marRight w:val="0"/>
          <w:marTop w:val="0"/>
          <w:marBottom w:val="0"/>
          <w:divBdr>
            <w:top w:val="none" w:sz="0" w:space="0" w:color="auto"/>
            <w:left w:val="none" w:sz="0" w:space="0" w:color="auto"/>
            <w:bottom w:val="none" w:sz="0" w:space="0" w:color="auto"/>
            <w:right w:val="none" w:sz="0" w:space="0" w:color="auto"/>
          </w:divBdr>
        </w:div>
      </w:divsChild>
    </w:div>
    <w:div w:id="1498349932">
      <w:bodyDiv w:val="1"/>
      <w:marLeft w:val="0"/>
      <w:marRight w:val="0"/>
      <w:marTop w:val="0"/>
      <w:marBottom w:val="0"/>
      <w:divBdr>
        <w:top w:val="none" w:sz="0" w:space="0" w:color="auto"/>
        <w:left w:val="none" w:sz="0" w:space="0" w:color="auto"/>
        <w:bottom w:val="none" w:sz="0" w:space="0" w:color="auto"/>
        <w:right w:val="none" w:sz="0" w:space="0" w:color="auto"/>
      </w:divBdr>
    </w:div>
    <w:div w:id="1512796749">
      <w:bodyDiv w:val="1"/>
      <w:marLeft w:val="0"/>
      <w:marRight w:val="0"/>
      <w:marTop w:val="0"/>
      <w:marBottom w:val="0"/>
      <w:divBdr>
        <w:top w:val="none" w:sz="0" w:space="0" w:color="auto"/>
        <w:left w:val="none" w:sz="0" w:space="0" w:color="auto"/>
        <w:bottom w:val="none" w:sz="0" w:space="0" w:color="auto"/>
        <w:right w:val="none" w:sz="0" w:space="0" w:color="auto"/>
      </w:divBdr>
    </w:div>
    <w:div w:id="1517814065">
      <w:bodyDiv w:val="1"/>
      <w:marLeft w:val="0"/>
      <w:marRight w:val="0"/>
      <w:marTop w:val="0"/>
      <w:marBottom w:val="0"/>
      <w:divBdr>
        <w:top w:val="none" w:sz="0" w:space="0" w:color="auto"/>
        <w:left w:val="none" w:sz="0" w:space="0" w:color="auto"/>
        <w:bottom w:val="none" w:sz="0" w:space="0" w:color="auto"/>
        <w:right w:val="none" w:sz="0" w:space="0" w:color="auto"/>
      </w:divBdr>
    </w:div>
    <w:div w:id="1530756475">
      <w:bodyDiv w:val="1"/>
      <w:marLeft w:val="0"/>
      <w:marRight w:val="0"/>
      <w:marTop w:val="0"/>
      <w:marBottom w:val="0"/>
      <w:divBdr>
        <w:top w:val="none" w:sz="0" w:space="0" w:color="auto"/>
        <w:left w:val="none" w:sz="0" w:space="0" w:color="auto"/>
        <w:bottom w:val="none" w:sz="0" w:space="0" w:color="auto"/>
        <w:right w:val="none" w:sz="0" w:space="0" w:color="auto"/>
      </w:divBdr>
      <w:divsChild>
        <w:div w:id="576523397">
          <w:marLeft w:val="0"/>
          <w:marRight w:val="0"/>
          <w:marTop w:val="0"/>
          <w:marBottom w:val="0"/>
          <w:divBdr>
            <w:top w:val="none" w:sz="0" w:space="0" w:color="auto"/>
            <w:left w:val="none" w:sz="0" w:space="0" w:color="auto"/>
            <w:bottom w:val="none" w:sz="0" w:space="0" w:color="auto"/>
            <w:right w:val="none" w:sz="0" w:space="0" w:color="auto"/>
          </w:divBdr>
        </w:div>
        <w:div w:id="1316450738">
          <w:marLeft w:val="0"/>
          <w:marRight w:val="0"/>
          <w:marTop w:val="0"/>
          <w:marBottom w:val="0"/>
          <w:divBdr>
            <w:top w:val="none" w:sz="0" w:space="0" w:color="auto"/>
            <w:left w:val="none" w:sz="0" w:space="0" w:color="auto"/>
            <w:bottom w:val="none" w:sz="0" w:space="0" w:color="auto"/>
            <w:right w:val="none" w:sz="0" w:space="0" w:color="auto"/>
          </w:divBdr>
        </w:div>
      </w:divsChild>
    </w:div>
    <w:div w:id="1544828997">
      <w:bodyDiv w:val="1"/>
      <w:marLeft w:val="0"/>
      <w:marRight w:val="0"/>
      <w:marTop w:val="0"/>
      <w:marBottom w:val="0"/>
      <w:divBdr>
        <w:top w:val="none" w:sz="0" w:space="0" w:color="auto"/>
        <w:left w:val="none" w:sz="0" w:space="0" w:color="auto"/>
        <w:bottom w:val="none" w:sz="0" w:space="0" w:color="auto"/>
        <w:right w:val="none" w:sz="0" w:space="0" w:color="auto"/>
      </w:divBdr>
    </w:div>
    <w:div w:id="1568564672">
      <w:bodyDiv w:val="1"/>
      <w:marLeft w:val="0"/>
      <w:marRight w:val="0"/>
      <w:marTop w:val="0"/>
      <w:marBottom w:val="0"/>
      <w:divBdr>
        <w:top w:val="none" w:sz="0" w:space="0" w:color="auto"/>
        <w:left w:val="none" w:sz="0" w:space="0" w:color="auto"/>
        <w:bottom w:val="none" w:sz="0" w:space="0" w:color="auto"/>
        <w:right w:val="none" w:sz="0" w:space="0" w:color="auto"/>
      </w:divBdr>
    </w:div>
    <w:div w:id="1576629322">
      <w:bodyDiv w:val="1"/>
      <w:marLeft w:val="0"/>
      <w:marRight w:val="0"/>
      <w:marTop w:val="0"/>
      <w:marBottom w:val="0"/>
      <w:divBdr>
        <w:top w:val="none" w:sz="0" w:space="0" w:color="auto"/>
        <w:left w:val="none" w:sz="0" w:space="0" w:color="auto"/>
        <w:bottom w:val="none" w:sz="0" w:space="0" w:color="auto"/>
        <w:right w:val="none" w:sz="0" w:space="0" w:color="auto"/>
      </w:divBdr>
    </w:div>
    <w:div w:id="1621644403">
      <w:bodyDiv w:val="1"/>
      <w:marLeft w:val="0"/>
      <w:marRight w:val="0"/>
      <w:marTop w:val="0"/>
      <w:marBottom w:val="0"/>
      <w:divBdr>
        <w:top w:val="none" w:sz="0" w:space="0" w:color="auto"/>
        <w:left w:val="none" w:sz="0" w:space="0" w:color="auto"/>
        <w:bottom w:val="none" w:sz="0" w:space="0" w:color="auto"/>
        <w:right w:val="none" w:sz="0" w:space="0" w:color="auto"/>
      </w:divBdr>
      <w:divsChild>
        <w:div w:id="1135681787">
          <w:marLeft w:val="0"/>
          <w:marRight w:val="0"/>
          <w:marTop w:val="0"/>
          <w:marBottom w:val="0"/>
          <w:divBdr>
            <w:top w:val="none" w:sz="0" w:space="0" w:color="auto"/>
            <w:left w:val="none" w:sz="0" w:space="0" w:color="auto"/>
            <w:bottom w:val="none" w:sz="0" w:space="0" w:color="auto"/>
            <w:right w:val="none" w:sz="0" w:space="0" w:color="auto"/>
          </w:divBdr>
          <w:divsChild>
            <w:div w:id="346518851">
              <w:marLeft w:val="0"/>
              <w:marRight w:val="0"/>
              <w:marTop w:val="0"/>
              <w:marBottom w:val="0"/>
              <w:divBdr>
                <w:top w:val="none" w:sz="0" w:space="0" w:color="auto"/>
                <w:left w:val="none" w:sz="0" w:space="0" w:color="auto"/>
                <w:bottom w:val="none" w:sz="0" w:space="0" w:color="auto"/>
                <w:right w:val="none" w:sz="0" w:space="0" w:color="auto"/>
              </w:divBdr>
              <w:divsChild>
                <w:div w:id="15726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5156">
      <w:bodyDiv w:val="1"/>
      <w:marLeft w:val="0"/>
      <w:marRight w:val="0"/>
      <w:marTop w:val="0"/>
      <w:marBottom w:val="0"/>
      <w:divBdr>
        <w:top w:val="none" w:sz="0" w:space="0" w:color="auto"/>
        <w:left w:val="none" w:sz="0" w:space="0" w:color="auto"/>
        <w:bottom w:val="none" w:sz="0" w:space="0" w:color="auto"/>
        <w:right w:val="none" w:sz="0" w:space="0" w:color="auto"/>
      </w:divBdr>
    </w:div>
    <w:div w:id="1648901280">
      <w:bodyDiv w:val="1"/>
      <w:marLeft w:val="0"/>
      <w:marRight w:val="0"/>
      <w:marTop w:val="0"/>
      <w:marBottom w:val="0"/>
      <w:divBdr>
        <w:top w:val="none" w:sz="0" w:space="0" w:color="auto"/>
        <w:left w:val="none" w:sz="0" w:space="0" w:color="auto"/>
        <w:bottom w:val="none" w:sz="0" w:space="0" w:color="auto"/>
        <w:right w:val="none" w:sz="0" w:space="0" w:color="auto"/>
      </w:divBdr>
    </w:div>
    <w:div w:id="1660965695">
      <w:bodyDiv w:val="1"/>
      <w:marLeft w:val="0"/>
      <w:marRight w:val="0"/>
      <w:marTop w:val="0"/>
      <w:marBottom w:val="0"/>
      <w:divBdr>
        <w:top w:val="none" w:sz="0" w:space="0" w:color="auto"/>
        <w:left w:val="none" w:sz="0" w:space="0" w:color="auto"/>
        <w:bottom w:val="none" w:sz="0" w:space="0" w:color="auto"/>
        <w:right w:val="none" w:sz="0" w:space="0" w:color="auto"/>
      </w:divBdr>
    </w:div>
    <w:div w:id="1734354590">
      <w:bodyDiv w:val="1"/>
      <w:marLeft w:val="0"/>
      <w:marRight w:val="0"/>
      <w:marTop w:val="0"/>
      <w:marBottom w:val="0"/>
      <w:divBdr>
        <w:top w:val="none" w:sz="0" w:space="0" w:color="auto"/>
        <w:left w:val="none" w:sz="0" w:space="0" w:color="auto"/>
        <w:bottom w:val="none" w:sz="0" w:space="0" w:color="auto"/>
        <w:right w:val="none" w:sz="0" w:space="0" w:color="auto"/>
      </w:divBdr>
    </w:div>
    <w:div w:id="1811364608">
      <w:bodyDiv w:val="1"/>
      <w:marLeft w:val="0"/>
      <w:marRight w:val="0"/>
      <w:marTop w:val="0"/>
      <w:marBottom w:val="0"/>
      <w:divBdr>
        <w:top w:val="none" w:sz="0" w:space="0" w:color="auto"/>
        <w:left w:val="none" w:sz="0" w:space="0" w:color="auto"/>
        <w:bottom w:val="none" w:sz="0" w:space="0" w:color="auto"/>
        <w:right w:val="none" w:sz="0" w:space="0" w:color="auto"/>
      </w:divBdr>
    </w:div>
    <w:div w:id="1832408700">
      <w:bodyDiv w:val="1"/>
      <w:marLeft w:val="0"/>
      <w:marRight w:val="0"/>
      <w:marTop w:val="0"/>
      <w:marBottom w:val="0"/>
      <w:divBdr>
        <w:top w:val="none" w:sz="0" w:space="0" w:color="auto"/>
        <w:left w:val="none" w:sz="0" w:space="0" w:color="auto"/>
        <w:bottom w:val="none" w:sz="0" w:space="0" w:color="auto"/>
        <w:right w:val="none" w:sz="0" w:space="0" w:color="auto"/>
      </w:divBdr>
    </w:div>
    <w:div w:id="1852258636">
      <w:bodyDiv w:val="1"/>
      <w:marLeft w:val="0"/>
      <w:marRight w:val="0"/>
      <w:marTop w:val="0"/>
      <w:marBottom w:val="0"/>
      <w:divBdr>
        <w:top w:val="none" w:sz="0" w:space="0" w:color="auto"/>
        <w:left w:val="none" w:sz="0" w:space="0" w:color="auto"/>
        <w:bottom w:val="none" w:sz="0" w:space="0" w:color="auto"/>
        <w:right w:val="none" w:sz="0" w:space="0" w:color="auto"/>
      </w:divBdr>
    </w:div>
    <w:div w:id="1861892448">
      <w:bodyDiv w:val="1"/>
      <w:marLeft w:val="0"/>
      <w:marRight w:val="0"/>
      <w:marTop w:val="0"/>
      <w:marBottom w:val="0"/>
      <w:divBdr>
        <w:top w:val="none" w:sz="0" w:space="0" w:color="auto"/>
        <w:left w:val="none" w:sz="0" w:space="0" w:color="auto"/>
        <w:bottom w:val="none" w:sz="0" w:space="0" w:color="auto"/>
        <w:right w:val="none" w:sz="0" w:space="0" w:color="auto"/>
      </w:divBdr>
    </w:div>
    <w:div w:id="1871989208">
      <w:bodyDiv w:val="1"/>
      <w:marLeft w:val="0"/>
      <w:marRight w:val="0"/>
      <w:marTop w:val="0"/>
      <w:marBottom w:val="0"/>
      <w:divBdr>
        <w:top w:val="none" w:sz="0" w:space="0" w:color="auto"/>
        <w:left w:val="none" w:sz="0" w:space="0" w:color="auto"/>
        <w:bottom w:val="none" w:sz="0" w:space="0" w:color="auto"/>
        <w:right w:val="none" w:sz="0" w:space="0" w:color="auto"/>
      </w:divBdr>
    </w:div>
    <w:div w:id="1978796242">
      <w:bodyDiv w:val="1"/>
      <w:marLeft w:val="0"/>
      <w:marRight w:val="0"/>
      <w:marTop w:val="0"/>
      <w:marBottom w:val="0"/>
      <w:divBdr>
        <w:top w:val="none" w:sz="0" w:space="0" w:color="auto"/>
        <w:left w:val="none" w:sz="0" w:space="0" w:color="auto"/>
        <w:bottom w:val="none" w:sz="0" w:space="0" w:color="auto"/>
        <w:right w:val="none" w:sz="0" w:space="0" w:color="auto"/>
      </w:divBdr>
      <w:divsChild>
        <w:div w:id="1204290787">
          <w:marLeft w:val="0"/>
          <w:marRight w:val="0"/>
          <w:marTop w:val="0"/>
          <w:marBottom w:val="0"/>
          <w:divBdr>
            <w:top w:val="none" w:sz="0" w:space="0" w:color="auto"/>
            <w:left w:val="none" w:sz="0" w:space="0" w:color="auto"/>
            <w:bottom w:val="none" w:sz="0" w:space="0" w:color="auto"/>
            <w:right w:val="none" w:sz="0" w:space="0" w:color="auto"/>
          </w:divBdr>
          <w:divsChild>
            <w:div w:id="864515162">
              <w:marLeft w:val="0"/>
              <w:marRight w:val="0"/>
              <w:marTop w:val="0"/>
              <w:marBottom w:val="0"/>
              <w:divBdr>
                <w:top w:val="none" w:sz="0" w:space="0" w:color="auto"/>
                <w:left w:val="none" w:sz="0" w:space="0" w:color="auto"/>
                <w:bottom w:val="none" w:sz="0" w:space="0" w:color="auto"/>
                <w:right w:val="none" w:sz="0" w:space="0" w:color="auto"/>
              </w:divBdr>
              <w:divsChild>
                <w:div w:id="5418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1831">
      <w:bodyDiv w:val="1"/>
      <w:marLeft w:val="0"/>
      <w:marRight w:val="0"/>
      <w:marTop w:val="0"/>
      <w:marBottom w:val="0"/>
      <w:divBdr>
        <w:top w:val="none" w:sz="0" w:space="0" w:color="auto"/>
        <w:left w:val="none" w:sz="0" w:space="0" w:color="auto"/>
        <w:bottom w:val="none" w:sz="0" w:space="0" w:color="auto"/>
        <w:right w:val="none" w:sz="0" w:space="0" w:color="auto"/>
      </w:divBdr>
    </w:div>
    <w:div w:id="2016952269">
      <w:bodyDiv w:val="1"/>
      <w:marLeft w:val="0"/>
      <w:marRight w:val="0"/>
      <w:marTop w:val="0"/>
      <w:marBottom w:val="0"/>
      <w:divBdr>
        <w:top w:val="none" w:sz="0" w:space="0" w:color="auto"/>
        <w:left w:val="none" w:sz="0" w:space="0" w:color="auto"/>
        <w:bottom w:val="none" w:sz="0" w:space="0" w:color="auto"/>
        <w:right w:val="none" w:sz="0" w:space="0" w:color="auto"/>
      </w:divBdr>
    </w:div>
    <w:div w:id="2024625602">
      <w:bodyDiv w:val="1"/>
      <w:marLeft w:val="0"/>
      <w:marRight w:val="0"/>
      <w:marTop w:val="0"/>
      <w:marBottom w:val="0"/>
      <w:divBdr>
        <w:top w:val="none" w:sz="0" w:space="0" w:color="auto"/>
        <w:left w:val="none" w:sz="0" w:space="0" w:color="auto"/>
        <w:bottom w:val="none" w:sz="0" w:space="0" w:color="auto"/>
        <w:right w:val="none" w:sz="0" w:space="0" w:color="auto"/>
      </w:divBdr>
    </w:div>
    <w:div w:id="2058700524">
      <w:bodyDiv w:val="1"/>
      <w:marLeft w:val="0"/>
      <w:marRight w:val="0"/>
      <w:marTop w:val="0"/>
      <w:marBottom w:val="0"/>
      <w:divBdr>
        <w:top w:val="none" w:sz="0" w:space="0" w:color="auto"/>
        <w:left w:val="none" w:sz="0" w:space="0" w:color="auto"/>
        <w:bottom w:val="none" w:sz="0" w:space="0" w:color="auto"/>
        <w:right w:val="none" w:sz="0" w:space="0" w:color="auto"/>
      </w:divBdr>
    </w:div>
    <w:div w:id="2077312852">
      <w:bodyDiv w:val="1"/>
      <w:marLeft w:val="0"/>
      <w:marRight w:val="0"/>
      <w:marTop w:val="0"/>
      <w:marBottom w:val="0"/>
      <w:divBdr>
        <w:top w:val="none" w:sz="0" w:space="0" w:color="auto"/>
        <w:left w:val="none" w:sz="0" w:space="0" w:color="auto"/>
        <w:bottom w:val="none" w:sz="0" w:space="0" w:color="auto"/>
        <w:right w:val="none" w:sz="0" w:space="0" w:color="auto"/>
      </w:divBdr>
    </w:div>
    <w:div w:id="2108692097">
      <w:bodyDiv w:val="1"/>
      <w:marLeft w:val="0"/>
      <w:marRight w:val="0"/>
      <w:marTop w:val="0"/>
      <w:marBottom w:val="0"/>
      <w:divBdr>
        <w:top w:val="none" w:sz="0" w:space="0" w:color="auto"/>
        <w:left w:val="none" w:sz="0" w:space="0" w:color="auto"/>
        <w:bottom w:val="none" w:sz="0" w:space="0" w:color="auto"/>
        <w:right w:val="none" w:sz="0" w:space="0" w:color="auto"/>
      </w:divBdr>
    </w:div>
    <w:div w:id="2119331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census.gov/population/apportionment/about/history.html" TargetMode="External"/><Relationship Id="rId1" Type="http://schemas.openxmlformats.org/officeDocument/2006/relationships/hyperlink" Target="https://www.census.gov/history/www/reference/apportionment/apportionment_legislation_1890_-_pres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1EAF2-61D1-442C-89BF-65D70E35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19</Pages>
  <Words>3259</Words>
  <Characters>17569</Characters>
  <Application>Microsoft Office Word</Application>
  <DocSecurity>0</DocSecurity>
  <Lines>302</Lines>
  <Paragraphs>79</Paragraphs>
  <ScaleCrop>false</ScaleCrop>
  <HeadingPairs>
    <vt:vector size="2" baseType="variant">
      <vt:variant>
        <vt:lpstr>Title</vt:lpstr>
      </vt:variant>
      <vt:variant>
        <vt:i4>1</vt:i4>
      </vt:variant>
    </vt:vector>
  </HeadingPairs>
  <TitlesOfParts>
    <vt:vector size="1" baseType="lpstr">
      <vt:lpstr>A Quantitative Assessment of Electoral College Effect in Historical Perspective: 1790-2016</vt:lpstr>
    </vt:vector>
  </TitlesOfParts>
  <Manager/>
  <Company>University of California Irvine</Company>
  <LinksUpToDate>false</LinksUpToDate>
  <CharactersWithSpaces>20749</CharactersWithSpaces>
  <SharedDoc>false</SharedDoc>
  <HyperlinkBase/>
  <HLinks>
    <vt:vector size="66" baseType="variant">
      <vt:variant>
        <vt:i4>1638520</vt:i4>
      </vt:variant>
      <vt:variant>
        <vt:i4>6</vt:i4>
      </vt:variant>
      <vt:variant>
        <vt:i4>0</vt:i4>
      </vt:variant>
      <vt:variant>
        <vt:i4>5</vt:i4>
      </vt:variant>
      <vt:variant>
        <vt:lpwstr>http://iresearch.worldbank.org/PovcalNet/povOnDemand.aspx).Of</vt:lpwstr>
      </vt:variant>
      <vt:variant>
        <vt:lpwstr/>
      </vt:variant>
      <vt:variant>
        <vt:i4>2949165</vt:i4>
      </vt:variant>
      <vt:variant>
        <vt:i4>3</vt:i4>
      </vt:variant>
      <vt:variant>
        <vt:i4>0</vt:i4>
      </vt:variant>
      <vt:variant>
        <vt:i4>5</vt:i4>
      </vt:variant>
      <vt:variant>
        <vt:lpwstr>https://www.census.gov/population/apportionment/about/history.html</vt:lpwstr>
      </vt:variant>
      <vt:variant>
        <vt:lpwstr/>
      </vt:variant>
      <vt:variant>
        <vt:i4>1245207</vt:i4>
      </vt:variant>
      <vt:variant>
        <vt:i4>0</vt:i4>
      </vt:variant>
      <vt:variant>
        <vt:i4>0</vt:i4>
      </vt:variant>
      <vt:variant>
        <vt:i4>5</vt:i4>
      </vt:variant>
      <vt:variant>
        <vt:lpwstr>https://www.census.gov/history/www/reference/apportionment/apportionment_legislation_1890_-_present.html</vt:lpwstr>
      </vt:variant>
      <vt:variant>
        <vt:lpwstr/>
      </vt:variant>
      <vt:variant>
        <vt:i4>6422652</vt:i4>
      </vt:variant>
      <vt:variant>
        <vt:i4>15346</vt:i4>
      </vt:variant>
      <vt:variant>
        <vt:i4>1033</vt:i4>
      </vt:variant>
      <vt:variant>
        <vt:i4>1</vt:i4>
      </vt:variant>
      <vt:variant>
        <vt:lpwstr>MaxMin</vt:lpwstr>
      </vt:variant>
      <vt:variant>
        <vt:lpwstr/>
      </vt:variant>
      <vt:variant>
        <vt:i4>7340048</vt:i4>
      </vt:variant>
      <vt:variant>
        <vt:i4>15629</vt:i4>
      </vt:variant>
      <vt:variant>
        <vt:i4>1034</vt:i4>
      </vt:variant>
      <vt:variant>
        <vt:i4>1</vt:i4>
      </vt:variant>
      <vt:variant>
        <vt:lpwstr>TPD</vt:lpwstr>
      </vt:variant>
      <vt:variant>
        <vt:lpwstr/>
      </vt:variant>
      <vt:variant>
        <vt:i4>6357097</vt:i4>
      </vt:variant>
      <vt:variant>
        <vt:i4>22420</vt:i4>
      </vt:variant>
      <vt:variant>
        <vt:i4>1039</vt:i4>
      </vt:variant>
      <vt:variant>
        <vt:i4>1</vt:i4>
      </vt:variant>
      <vt:variant>
        <vt:lpwstr>LHandG</vt:lpwstr>
      </vt:variant>
      <vt:variant>
        <vt:lpwstr/>
      </vt:variant>
      <vt:variant>
        <vt:i4>983070</vt:i4>
      </vt:variant>
      <vt:variant>
        <vt:i4>25562</vt:i4>
      </vt:variant>
      <vt:variant>
        <vt:i4>1059</vt:i4>
      </vt:variant>
      <vt:variant>
        <vt:i4>1</vt:i4>
      </vt:variant>
      <vt:variant>
        <vt:lpwstr>difLOOSE</vt:lpwstr>
      </vt:variant>
      <vt:variant>
        <vt:lpwstr/>
      </vt:variant>
      <vt:variant>
        <vt:i4>1638413</vt:i4>
      </vt:variant>
      <vt:variant>
        <vt:i4>25665</vt:i4>
      </vt:variant>
      <vt:variant>
        <vt:i4>1062</vt:i4>
      </vt:variant>
      <vt:variant>
        <vt:i4>1</vt:i4>
      </vt:variant>
      <vt:variant>
        <vt:lpwstr>difGALLAGHER</vt:lpwstr>
      </vt:variant>
      <vt:variant>
        <vt:lpwstr/>
      </vt:variant>
      <vt:variant>
        <vt:i4>1638413</vt:i4>
      </vt:variant>
      <vt:variant>
        <vt:i4>25666</vt:i4>
      </vt:variant>
      <vt:variant>
        <vt:i4>1037</vt:i4>
      </vt:variant>
      <vt:variant>
        <vt:i4>1</vt:i4>
      </vt:variant>
      <vt:variant>
        <vt:lpwstr>difGALLAGHER</vt:lpwstr>
      </vt:variant>
      <vt:variant>
        <vt:lpwstr/>
      </vt:variant>
      <vt:variant>
        <vt:i4>786528</vt:i4>
      </vt:variant>
      <vt:variant>
        <vt:i4>28091</vt:i4>
      </vt:variant>
      <vt:variant>
        <vt:i4>1064</vt:i4>
      </vt:variant>
      <vt:variant>
        <vt:i4>1</vt:i4>
      </vt:variant>
      <vt:variant>
        <vt:lpwstr>minEC</vt:lpwstr>
      </vt:variant>
      <vt:variant>
        <vt:lpwstr/>
      </vt:variant>
      <vt:variant>
        <vt:i4>9</vt:i4>
      </vt:variant>
      <vt:variant>
        <vt:i4>30863</vt:i4>
      </vt:variant>
      <vt:variant>
        <vt:i4>1042</vt:i4>
      </vt:variant>
      <vt:variant>
        <vt:i4>1</vt:i4>
      </vt:variant>
      <vt:variant>
        <vt:lpwstr>gini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Quantitative Assessment of Electoral College Effect in Historical Perspective: 1790-2016</dc:title>
  <dc:subject>Electoral College</dc:subject>
  <dc:creator>Cervas, Jonathan R., and Bernard Grofman</dc:creator>
  <cp:keywords/>
  <dc:description>This research was supported by the Jack W. Peltason Chair, University of California, Irvine, held by the second named author.  The first named author is a graduate student in the Department of Political Science at UCI.</dc:description>
  <cp:lastModifiedBy>bgrofman</cp:lastModifiedBy>
  <cp:revision>16</cp:revision>
  <cp:lastPrinted>2017-01-21T08:49:00Z</cp:lastPrinted>
  <dcterms:created xsi:type="dcterms:W3CDTF">2017-09-22T11:10:00Z</dcterms:created>
  <dcterms:modified xsi:type="dcterms:W3CDTF">2018-04-28T19:16:00Z</dcterms:modified>
  <cp:category/>
</cp:coreProperties>
</file>