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D865A" w14:textId="2882EA7C" w:rsidR="00FB5923" w:rsidRPr="00FB5923" w:rsidRDefault="00FB5923" w:rsidP="008C667E">
      <w:pPr>
        <w:spacing w:line="360" w:lineRule="auto"/>
        <w:jc w:val="center"/>
        <w:rPr>
          <w:rFonts w:ascii="Georgia" w:hAnsi="Georgia"/>
          <w:sz w:val="20"/>
          <w:szCs w:val="20"/>
          <w:lang w:bidi="th-TH"/>
        </w:rPr>
      </w:pPr>
      <w:r w:rsidRPr="00FB5923">
        <w:rPr>
          <w:rFonts w:ascii="Georgia" w:hAnsi="Georgia"/>
          <w:sz w:val="20"/>
          <w:szCs w:val="20"/>
          <w:lang w:bidi="th-TH"/>
        </w:rPr>
        <w:t>RESEARCH NOTE</w:t>
      </w:r>
    </w:p>
    <w:p w14:paraId="21BDD8AB" w14:textId="15BB0AB0" w:rsidR="00F8144A" w:rsidRPr="00FB5923" w:rsidRDefault="005167D1" w:rsidP="00FB5923">
      <w:pPr>
        <w:spacing w:line="360" w:lineRule="auto"/>
        <w:jc w:val="center"/>
        <w:rPr>
          <w:rFonts w:ascii="Georgia" w:hAnsi="Georgia"/>
          <w:b/>
          <w:bCs/>
          <w:sz w:val="28"/>
          <w:szCs w:val="28"/>
          <w:lang w:bidi="th-TH"/>
        </w:rPr>
      </w:pPr>
      <w:r w:rsidRPr="1BC0107E">
        <w:rPr>
          <w:rFonts w:ascii="Georgia" w:hAnsi="Georgia"/>
          <w:sz w:val="28"/>
          <w:szCs w:val="28"/>
          <w:lang w:bidi="th-TH"/>
        </w:rPr>
        <w:t xml:space="preserve"> </w:t>
      </w:r>
      <w:r w:rsidR="00453D8A" w:rsidRPr="00FB5923">
        <w:rPr>
          <w:rFonts w:ascii="Georgia" w:hAnsi="Georgia"/>
          <w:b/>
          <w:bCs/>
          <w:sz w:val="28"/>
          <w:szCs w:val="28"/>
          <w:lang w:bidi="th-TH"/>
        </w:rPr>
        <w:t>ZIP</w:t>
      </w:r>
      <w:r w:rsidR="000F31E2" w:rsidRPr="00FB5923">
        <w:rPr>
          <w:rFonts w:ascii="Georgia" w:hAnsi="Georgia"/>
          <w:b/>
          <w:bCs/>
          <w:sz w:val="28"/>
          <w:szCs w:val="28"/>
          <w:lang w:bidi="th-TH"/>
        </w:rPr>
        <w:t xml:space="preserve"> </w:t>
      </w:r>
      <w:r w:rsidR="003F78EC" w:rsidRPr="00FB5923">
        <w:rPr>
          <w:rFonts w:ascii="Georgia" w:hAnsi="Georgia"/>
          <w:b/>
          <w:bCs/>
          <w:sz w:val="28"/>
          <w:szCs w:val="28"/>
          <w:lang w:bidi="th-TH"/>
        </w:rPr>
        <w:t>C</w:t>
      </w:r>
      <w:r w:rsidR="000F31E2" w:rsidRPr="00FB5923">
        <w:rPr>
          <w:rFonts w:ascii="Georgia" w:hAnsi="Georgia"/>
          <w:b/>
          <w:bCs/>
          <w:sz w:val="28"/>
          <w:szCs w:val="28"/>
          <w:lang w:bidi="th-TH"/>
        </w:rPr>
        <w:t xml:space="preserve">odes </w:t>
      </w:r>
      <w:r w:rsidR="00D078E7" w:rsidRPr="00FB5923">
        <w:rPr>
          <w:rFonts w:ascii="Georgia" w:hAnsi="Georgia"/>
          <w:b/>
          <w:bCs/>
          <w:sz w:val="28"/>
          <w:szCs w:val="28"/>
          <w:lang w:bidi="th-TH"/>
        </w:rPr>
        <w:t xml:space="preserve">as </w:t>
      </w:r>
      <w:r w:rsidR="00F8144A" w:rsidRPr="00FB5923">
        <w:rPr>
          <w:rFonts w:ascii="Georgia" w:hAnsi="Georgia"/>
          <w:b/>
          <w:bCs/>
          <w:sz w:val="28"/>
          <w:szCs w:val="28"/>
          <w:lang w:bidi="th-TH"/>
        </w:rPr>
        <w:t>Geographic</w:t>
      </w:r>
      <w:r w:rsidR="00FB5923" w:rsidRPr="00FB5923">
        <w:rPr>
          <w:rFonts w:ascii="Georgia" w:hAnsi="Georgia"/>
          <w:b/>
          <w:bCs/>
          <w:sz w:val="28"/>
          <w:szCs w:val="28"/>
          <w:lang w:bidi="th-TH"/>
        </w:rPr>
        <w:t xml:space="preserve"> </w:t>
      </w:r>
      <w:r w:rsidR="00F8144A" w:rsidRPr="00FB5923">
        <w:rPr>
          <w:rFonts w:ascii="Georgia" w:hAnsi="Georgia"/>
          <w:b/>
          <w:bCs/>
          <w:sz w:val="28"/>
          <w:szCs w:val="28"/>
          <w:lang w:bidi="th-TH"/>
        </w:rPr>
        <w:t>Bases of Representation</w:t>
      </w:r>
    </w:p>
    <w:p w14:paraId="3E4B9D7D" w14:textId="3D5E44E0" w:rsidR="00F8144A" w:rsidRDefault="00F8144A" w:rsidP="008C667E">
      <w:pPr>
        <w:spacing w:line="360" w:lineRule="auto"/>
        <w:rPr>
          <w:rFonts w:ascii="Georgia" w:hAnsi="Georgia"/>
          <w:lang w:bidi="th-TH"/>
        </w:rPr>
      </w:pPr>
    </w:p>
    <w:p w14:paraId="64852881" w14:textId="77777777" w:rsidR="00F06C03" w:rsidRPr="00F8144A" w:rsidRDefault="00F06C03" w:rsidP="008C667E">
      <w:pPr>
        <w:spacing w:line="360" w:lineRule="auto"/>
        <w:rPr>
          <w:rFonts w:ascii="Georgia" w:hAnsi="Georgia"/>
          <w:lang w:bidi="th-TH"/>
        </w:rPr>
      </w:pPr>
    </w:p>
    <w:p w14:paraId="75E5AC08" w14:textId="6796C213" w:rsidR="00F8144A" w:rsidRPr="00F8144A" w:rsidRDefault="00D16366" w:rsidP="008C667E">
      <w:pPr>
        <w:spacing w:line="360" w:lineRule="auto"/>
        <w:jc w:val="center"/>
        <w:rPr>
          <w:rFonts w:ascii="Georgia" w:hAnsi="Georgia"/>
          <w:sz w:val="20"/>
          <w:szCs w:val="20"/>
          <w:lang w:bidi="th-TH"/>
        </w:rPr>
      </w:pPr>
      <w:r>
        <w:rPr>
          <w:rFonts w:ascii="Georgia" w:hAnsi="Georgia"/>
          <w:sz w:val="20"/>
          <w:szCs w:val="20"/>
          <w:lang w:bidi="th-TH"/>
        </w:rPr>
        <w:t xml:space="preserve">June </w:t>
      </w:r>
      <w:r w:rsidR="008A3BB1">
        <w:rPr>
          <w:rFonts w:ascii="Georgia" w:hAnsi="Georgia"/>
          <w:sz w:val="20"/>
          <w:szCs w:val="20"/>
          <w:lang w:bidi="th-TH"/>
        </w:rPr>
        <w:t>29</w:t>
      </w:r>
      <w:r w:rsidR="00F8144A" w:rsidRPr="00F8144A">
        <w:rPr>
          <w:rFonts w:ascii="Georgia" w:hAnsi="Georgia"/>
          <w:sz w:val="20"/>
          <w:szCs w:val="20"/>
          <w:lang w:bidi="th-TH"/>
        </w:rPr>
        <w:t>, 20</w:t>
      </w:r>
      <w:r w:rsidR="00F8144A">
        <w:rPr>
          <w:rFonts w:ascii="Georgia" w:hAnsi="Georgia"/>
          <w:sz w:val="20"/>
          <w:szCs w:val="20"/>
          <w:lang w:bidi="th-TH"/>
        </w:rPr>
        <w:t>20</w:t>
      </w:r>
    </w:p>
    <w:p w14:paraId="014F2929" w14:textId="636FC29D" w:rsidR="00F8144A" w:rsidRDefault="00F8144A" w:rsidP="008C667E">
      <w:pPr>
        <w:spacing w:line="360" w:lineRule="auto"/>
        <w:jc w:val="center"/>
        <w:rPr>
          <w:rFonts w:ascii="Georgia" w:hAnsi="Georgia"/>
          <w:sz w:val="20"/>
          <w:szCs w:val="20"/>
          <w:u w:val="single"/>
          <w:lang w:bidi="th-TH"/>
        </w:rPr>
      </w:pPr>
    </w:p>
    <w:p w14:paraId="5189F480" w14:textId="77777777" w:rsidR="00F06C03" w:rsidRPr="00F8144A" w:rsidRDefault="00F06C03" w:rsidP="008C667E">
      <w:pPr>
        <w:spacing w:line="360" w:lineRule="auto"/>
        <w:jc w:val="center"/>
        <w:rPr>
          <w:rFonts w:ascii="Georgia" w:hAnsi="Georgia"/>
          <w:lang w:bidi="th-TH"/>
        </w:rPr>
      </w:pPr>
    </w:p>
    <w:p w14:paraId="665E24BF" w14:textId="37A84488" w:rsidR="00F8144A" w:rsidRPr="00F8144A" w:rsidRDefault="00F8144A" w:rsidP="1E9CA6D6">
      <w:pPr>
        <w:spacing w:line="240" w:lineRule="auto"/>
        <w:jc w:val="center"/>
        <w:rPr>
          <w:rFonts w:ascii="Georgia" w:hAnsi="Georgia"/>
          <w:sz w:val="24"/>
          <w:szCs w:val="24"/>
          <w:lang w:bidi="th-TH"/>
        </w:rPr>
      </w:pPr>
      <w:r w:rsidRPr="1E9CA6D6">
        <w:rPr>
          <w:rFonts w:ascii="Georgia" w:hAnsi="Georgia"/>
          <w:sz w:val="24"/>
          <w:szCs w:val="24"/>
          <w:lang w:bidi="th-TH"/>
        </w:rPr>
        <w:t>ABSTRACT</w:t>
      </w:r>
    </w:p>
    <w:p w14:paraId="40193247" w14:textId="092611B2" w:rsidR="1E9CA6D6" w:rsidRDefault="1E9CA6D6" w:rsidP="1E9CA6D6">
      <w:pPr>
        <w:spacing w:line="240" w:lineRule="auto"/>
        <w:jc w:val="both"/>
        <w:rPr>
          <w:rFonts w:ascii="Georgia" w:hAnsi="Georgia"/>
          <w:sz w:val="24"/>
          <w:szCs w:val="24"/>
          <w:lang w:bidi="th-TH"/>
        </w:rPr>
      </w:pPr>
    </w:p>
    <w:p w14:paraId="020A53FD" w14:textId="2ADE5DCF" w:rsidR="00F8144A" w:rsidRPr="00F8144A" w:rsidRDefault="00F8144A" w:rsidP="1E9CA6D6">
      <w:pPr>
        <w:spacing w:line="360" w:lineRule="auto"/>
        <w:jc w:val="both"/>
        <w:rPr>
          <w:rFonts w:ascii="Georgia" w:hAnsi="Georgia"/>
          <w:sz w:val="24"/>
          <w:szCs w:val="24"/>
          <w:lang w:bidi="th-TH"/>
        </w:rPr>
        <w:sectPr w:rsidR="00F8144A" w:rsidRPr="00F8144A" w:rsidSect="008C19BD">
          <w:headerReference w:type="default" r:id="rId6"/>
          <w:footerReference w:type="even" r:id="rId7"/>
          <w:footerReference w:type="default" r:id="rId8"/>
          <w:footerReference w:type="first" r:id="rId9"/>
          <w:pgSz w:w="12240" w:h="15840"/>
          <w:pgMar w:top="1440" w:right="1440" w:bottom="1440" w:left="1440" w:header="720" w:footer="720" w:gutter="0"/>
          <w:pgNumType w:start="1"/>
          <w:cols w:space="720"/>
          <w:titlePg/>
          <w:docGrid w:linePitch="360"/>
        </w:sectPr>
      </w:pPr>
      <w:r w:rsidRPr="1E9CA6D6">
        <w:rPr>
          <w:rFonts w:ascii="Georgia" w:hAnsi="Georgia"/>
          <w:sz w:val="24"/>
          <w:szCs w:val="24"/>
          <w:lang w:bidi="th-TH"/>
        </w:rPr>
        <w:t xml:space="preserve">We consider the desirability of </w:t>
      </w:r>
      <w:r w:rsidR="00453D8A" w:rsidRPr="1E9CA6D6">
        <w:rPr>
          <w:rFonts w:ascii="Georgia" w:hAnsi="Georgia"/>
          <w:sz w:val="24"/>
          <w:szCs w:val="24"/>
          <w:lang w:bidi="th-TH"/>
        </w:rPr>
        <w:t>ZIP</w:t>
      </w:r>
      <w:r w:rsidR="000F31E2" w:rsidRPr="1E9CA6D6">
        <w:rPr>
          <w:rFonts w:ascii="Georgia" w:hAnsi="Georgia"/>
          <w:sz w:val="24"/>
          <w:szCs w:val="24"/>
          <w:lang w:bidi="th-TH"/>
        </w:rPr>
        <w:t xml:space="preserve"> codes </w:t>
      </w:r>
      <w:r w:rsidRPr="1E9CA6D6">
        <w:rPr>
          <w:rFonts w:ascii="Georgia" w:hAnsi="Georgia"/>
          <w:sz w:val="24"/>
          <w:szCs w:val="24"/>
          <w:lang w:bidi="th-TH"/>
        </w:rPr>
        <w:t>as</w:t>
      </w:r>
      <w:r w:rsidR="00D559A9" w:rsidRPr="1E9CA6D6">
        <w:rPr>
          <w:rFonts w:ascii="Georgia" w:hAnsi="Georgia"/>
          <w:sz w:val="24"/>
          <w:szCs w:val="24"/>
          <w:lang w:bidi="th-TH"/>
        </w:rPr>
        <w:t xml:space="preserve"> </w:t>
      </w:r>
      <w:r w:rsidRPr="1E9CA6D6">
        <w:rPr>
          <w:rFonts w:ascii="Georgia" w:hAnsi="Georgia"/>
          <w:sz w:val="24"/>
          <w:szCs w:val="24"/>
          <w:lang w:bidi="th-TH"/>
        </w:rPr>
        <w:t>the basis for configuring congressional districts.</w:t>
      </w:r>
      <w:r w:rsidR="00D559A9" w:rsidRPr="1E9CA6D6">
        <w:rPr>
          <w:rFonts w:ascii="Georgia" w:hAnsi="Georgia"/>
          <w:sz w:val="24"/>
          <w:szCs w:val="24"/>
          <w:lang w:bidi="th-TH"/>
        </w:rPr>
        <w:t xml:space="preserve"> </w:t>
      </w:r>
      <w:r w:rsidR="00A20CD0" w:rsidRPr="1E9CA6D6">
        <w:rPr>
          <w:rFonts w:ascii="Georgia" w:hAnsi="Georgia"/>
          <w:sz w:val="24"/>
          <w:szCs w:val="24"/>
          <w:lang w:bidi="th-TH"/>
        </w:rPr>
        <w:t xml:space="preserve">There </w:t>
      </w:r>
      <w:r w:rsidR="001A152A" w:rsidRPr="1E9CA6D6">
        <w:rPr>
          <w:rFonts w:ascii="Georgia" w:hAnsi="Georgia"/>
          <w:sz w:val="24"/>
          <w:szCs w:val="24"/>
          <w:lang w:bidi="th-TH"/>
        </w:rPr>
        <w:t xml:space="preserve">are </w:t>
      </w:r>
      <w:r w:rsidR="49A2FC25" w:rsidRPr="1E9CA6D6">
        <w:rPr>
          <w:rFonts w:ascii="Georgia" w:hAnsi="Georgia"/>
          <w:sz w:val="24"/>
          <w:szCs w:val="24"/>
          <w:lang w:bidi="th-TH"/>
        </w:rPr>
        <w:t>several</w:t>
      </w:r>
      <w:r w:rsidR="00D559A9" w:rsidRPr="1E9CA6D6">
        <w:rPr>
          <w:rFonts w:ascii="Georgia" w:hAnsi="Georgia"/>
          <w:sz w:val="24"/>
          <w:szCs w:val="24"/>
          <w:lang w:bidi="th-TH"/>
        </w:rPr>
        <w:t xml:space="preserve"> </w:t>
      </w:r>
      <w:r w:rsidR="001A152A" w:rsidRPr="1E9CA6D6">
        <w:rPr>
          <w:rFonts w:ascii="Georgia" w:hAnsi="Georgia"/>
          <w:sz w:val="24"/>
          <w:szCs w:val="24"/>
          <w:lang w:bidi="th-TH"/>
        </w:rPr>
        <w:t>issues</w:t>
      </w:r>
      <w:r w:rsidR="001A13BA" w:rsidRPr="1E9CA6D6">
        <w:rPr>
          <w:rFonts w:ascii="Georgia" w:hAnsi="Georgia"/>
          <w:sz w:val="24"/>
          <w:szCs w:val="24"/>
          <w:lang w:bidi="th-TH"/>
        </w:rPr>
        <w:t>.</w:t>
      </w:r>
      <w:r w:rsidR="00434677" w:rsidRPr="1E9CA6D6">
        <w:rPr>
          <w:rFonts w:ascii="Georgia" w:hAnsi="Georgia"/>
          <w:sz w:val="24"/>
          <w:szCs w:val="24"/>
          <w:lang w:bidi="th-TH"/>
        </w:rPr>
        <w:t xml:space="preserve"> </w:t>
      </w:r>
      <w:r w:rsidR="003F78EC" w:rsidRPr="1E9CA6D6">
        <w:rPr>
          <w:rFonts w:ascii="Georgia" w:hAnsi="Georgia"/>
          <w:sz w:val="24"/>
          <w:szCs w:val="24"/>
          <w:lang w:bidi="th-TH"/>
        </w:rPr>
        <w:t>First,</w:t>
      </w:r>
      <w:r w:rsidR="00F24D98" w:rsidRPr="1E9CA6D6">
        <w:rPr>
          <w:rFonts w:ascii="Georgia" w:hAnsi="Georgia"/>
          <w:sz w:val="24"/>
          <w:szCs w:val="24"/>
          <w:lang w:bidi="th-TH"/>
        </w:rPr>
        <w:t xml:space="preserve"> it is likely that voters </w:t>
      </w:r>
      <w:r w:rsidR="286DBA75" w:rsidRPr="1E9CA6D6">
        <w:rPr>
          <w:rFonts w:ascii="Georgia" w:hAnsi="Georgia"/>
          <w:sz w:val="24"/>
          <w:szCs w:val="24"/>
          <w:lang w:bidi="th-TH"/>
        </w:rPr>
        <w:t>lack</w:t>
      </w:r>
      <w:r w:rsidR="00F24D98" w:rsidRPr="1E9CA6D6">
        <w:rPr>
          <w:rFonts w:ascii="Georgia" w:hAnsi="Georgia"/>
          <w:sz w:val="24"/>
          <w:szCs w:val="24"/>
          <w:lang w:bidi="th-TH"/>
        </w:rPr>
        <w:t xml:space="preserve"> knowledge of </w:t>
      </w:r>
      <w:r w:rsidR="00453D8A" w:rsidRPr="1E9CA6D6">
        <w:rPr>
          <w:rFonts w:ascii="Georgia" w:hAnsi="Georgia"/>
          <w:sz w:val="24"/>
          <w:szCs w:val="24"/>
          <w:lang w:bidi="th-TH"/>
        </w:rPr>
        <w:t>ZIP</w:t>
      </w:r>
      <w:r w:rsidR="00F24D98" w:rsidRPr="1E9CA6D6">
        <w:rPr>
          <w:rFonts w:ascii="Georgia" w:hAnsi="Georgia"/>
          <w:sz w:val="24"/>
          <w:szCs w:val="24"/>
          <w:lang w:bidi="th-TH"/>
        </w:rPr>
        <w:t xml:space="preserve"> code boundaries. Second, </w:t>
      </w:r>
      <w:r w:rsidR="00453D8A" w:rsidRPr="1E9CA6D6">
        <w:rPr>
          <w:rFonts w:ascii="Georgia" w:hAnsi="Georgia"/>
          <w:sz w:val="24"/>
          <w:szCs w:val="24"/>
          <w:lang w:bidi="th-TH"/>
        </w:rPr>
        <w:t>ZIP</w:t>
      </w:r>
      <w:r w:rsidR="003F78EC" w:rsidRPr="1E9CA6D6">
        <w:rPr>
          <w:rFonts w:ascii="Georgia" w:hAnsi="Georgia"/>
          <w:sz w:val="24"/>
          <w:szCs w:val="24"/>
          <w:lang w:bidi="th-TH"/>
        </w:rPr>
        <w:t xml:space="preserve"> codes </w:t>
      </w:r>
      <w:r w:rsidR="009D444F" w:rsidRPr="1E9CA6D6">
        <w:rPr>
          <w:rFonts w:ascii="Georgia" w:hAnsi="Georgia"/>
          <w:sz w:val="24"/>
          <w:szCs w:val="24"/>
          <w:lang w:bidi="th-TH"/>
        </w:rPr>
        <w:t xml:space="preserve">may not </w:t>
      </w:r>
      <w:r w:rsidR="003F78EC" w:rsidRPr="1E9CA6D6">
        <w:rPr>
          <w:rFonts w:ascii="Georgia" w:hAnsi="Georgia"/>
          <w:sz w:val="24"/>
          <w:szCs w:val="24"/>
          <w:lang w:bidi="th-TH"/>
        </w:rPr>
        <w:t>coincide with existing political subunit boundaries, such as cities</w:t>
      </w:r>
      <w:r w:rsidR="009D444F" w:rsidRPr="1E9CA6D6">
        <w:rPr>
          <w:rFonts w:ascii="Georgia" w:hAnsi="Georgia"/>
          <w:sz w:val="24"/>
          <w:szCs w:val="24"/>
          <w:lang w:bidi="th-TH"/>
        </w:rPr>
        <w:t xml:space="preserve"> or counties</w:t>
      </w:r>
      <w:r w:rsidR="003F78EC" w:rsidRPr="1E9CA6D6">
        <w:rPr>
          <w:rFonts w:ascii="Georgia" w:hAnsi="Georgia"/>
          <w:sz w:val="24"/>
          <w:szCs w:val="24"/>
          <w:lang w:bidi="th-TH"/>
        </w:rPr>
        <w:t xml:space="preserve"> </w:t>
      </w:r>
      <w:r w:rsidR="009D444F" w:rsidRPr="1E9CA6D6">
        <w:rPr>
          <w:rFonts w:ascii="Georgia" w:hAnsi="Georgia"/>
          <w:sz w:val="24"/>
          <w:szCs w:val="24"/>
          <w:lang w:bidi="th-TH"/>
        </w:rPr>
        <w:t xml:space="preserve">whose non-fragmentation is legally </w:t>
      </w:r>
      <w:r w:rsidR="003F78EC" w:rsidRPr="1E9CA6D6">
        <w:rPr>
          <w:rFonts w:ascii="Georgia" w:hAnsi="Georgia"/>
          <w:sz w:val="24"/>
          <w:szCs w:val="24"/>
          <w:lang w:bidi="th-TH"/>
        </w:rPr>
        <w:t>important for redistricting</w:t>
      </w:r>
      <w:r w:rsidR="002946D0" w:rsidRPr="1E9CA6D6">
        <w:rPr>
          <w:rFonts w:ascii="Georgia" w:hAnsi="Georgia"/>
          <w:sz w:val="24"/>
          <w:szCs w:val="24"/>
          <w:lang w:bidi="th-TH"/>
        </w:rPr>
        <w:t xml:space="preserve">. </w:t>
      </w:r>
      <w:r w:rsidR="009D444F" w:rsidRPr="1E9CA6D6">
        <w:rPr>
          <w:rFonts w:ascii="Georgia" w:hAnsi="Georgia"/>
          <w:sz w:val="24"/>
          <w:szCs w:val="24"/>
          <w:lang w:bidi="th-TH"/>
        </w:rPr>
        <w:t xml:space="preserve">Thus, using </w:t>
      </w:r>
      <w:r w:rsidR="00453D8A" w:rsidRPr="1E9CA6D6">
        <w:rPr>
          <w:rFonts w:ascii="Georgia" w:hAnsi="Georgia"/>
          <w:sz w:val="24"/>
          <w:szCs w:val="24"/>
          <w:lang w:bidi="th-TH"/>
        </w:rPr>
        <w:t>ZIP</w:t>
      </w:r>
      <w:r w:rsidR="009D444F" w:rsidRPr="1E9CA6D6">
        <w:rPr>
          <w:rFonts w:ascii="Georgia" w:hAnsi="Georgia"/>
          <w:sz w:val="24"/>
          <w:szCs w:val="24"/>
          <w:lang w:bidi="th-TH"/>
        </w:rPr>
        <w:t xml:space="preserve"> codes </w:t>
      </w:r>
      <w:r w:rsidR="004712FD" w:rsidRPr="1E9CA6D6">
        <w:rPr>
          <w:rFonts w:ascii="Georgia" w:hAnsi="Georgia"/>
          <w:sz w:val="24"/>
          <w:szCs w:val="24"/>
          <w:lang w:bidi="th-TH"/>
        </w:rPr>
        <w:t xml:space="preserve">would </w:t>
      </w:r>
      <w:r w:rsidR="009D444F" w:rsidRPr="1E9CA6D6">
        <w:rPr>
          <w:rFonts w:ascii="Georgia" w:hAnsi="Georgia"/>
          <w:sz w:val="24"/>
          <w:szCs w:val="24"/>
          <w:lang w:bidi="th-TH"/>
        </w:rPr>
        <w:t>add</w:t>
      </w:r>
      <w:r w:rsidR="004712FD" w:rsidRPr="1E9CA6D6">
        <w:rPr>
          <w:rFonts w:ascii="Georgia" w:hAnsi="Georgia"/>
          <w:sz w:val="24"/>
          <w:szCs w:val="24"/>
          <w:lang w:bidi="th-TH"/>
        </w:rPr>
        <w:t xml:space="preserve"> </w:t>
      </w:r>
      <w:r w:rsidR="009D444F" w:rsidRPr="1E9CA6D6">
        <w:rPr>
          <w:rFonts w:ascii="Georgia" w:hAnsi="Georgia"/>
          <w:sz w:val="24"/>
          <w:szCs w:val="24"/>
          <w:lang w:bidi="th-TH"/>
        </w:rPr>
        <w:t xml:space="preserve">yet another layer of complexity to districting. </w:t>
      </w:r>
      <w:r w:rsidR="00F24D98" w:rsidRPr="1E9CA6D6">
        <w:rPr>
          <w:rFonts w:ascii="Georgia" w:hAnsi="Georgia"/>
          <w:sz w:val="24"/>
          <w:szCs w:val="24"/>
          <w:lang w:bidi="th-TH"/>
        </w:rPr>
        <w:t>Third</w:t>
      </w:r>
      <w:r w:rsidR="001A13BA" w:rsidRPr="1E9CA6D6">
        <w:rPr>
          <w:rFonts w:ascii="Georgia" w:hAnsi="Georgia"/>
          <w:sz w:val="24"/>
          <w:szCs w:val="24"/>
          <w:lang w:bidi="th-TH"/>
        </w:rPr>
        <w:t xml:space="preserve">, </w:t>
      </w:r>
      <w:r w:rsidR="00453D8A" w:rsidRPr="1E9CA6D6">
        <w:rPr>
          <w:rFonts w:ascii="Georgia" w:hAnsi="Georgia"/>
          <w:sz w:val="24"/>
          <w:szCs w:val="24"/>
          <w:lang w:bidi="th-TH"/>
        </w:rPr>
        <w:t>ZIP</w:t>
      </w:r>
      <w:r w:rsidR="00A20CD0" w:rsidRPr="1E9CA6D6">
        <w:rPr>
          <w:rFonts w:ascii="Georgia" w:hAnsi="Georgia"/>
          <w:sz w:val="24"/>
          <w:szCs w:val="24"/>
          <w:lang w:bidi="th-TH"/>
        </w:rPr>
        <w:t xml:space="preserve"> codes do not perfectly coincide with</w:t>
      </w:r>
      <w:r w:rsidR="00D559A9" w:rsidRPr="1E9CA6D6">
        <w:rPr>
          <w:rFonts w:ascii="Georgia" w:hAnsi="Georgia"/>
          <w:sz w:val="24"/>
          <w:szCs w:val="24"/>
          <w:lang w:bidi="th-TH"/>
        </w:rPr>
        <w:t xml:space="preserve"> </w:t>
      </w:r>
      <w:r w:rsidR="001A13BA" w:rsidRPr="1E9CA6D6">
        <w:rPr>
          <w:rFonts w:ascii="Georgia" w:hAnsi="Georgia"/>
          <w:sz w:val="24"/>
          <w:szCs w:val="24"/>
          <w:lang w:bidi="th-TH"/>
        </w:rPr>
        <w:t xml:space="preserve">larger </w:t>
      </w:r>
      <w:r w:rsidR="00275315" w:rsidRPr="1E9CA6D6">
        <w:rPr>
          <w:rFonts w:ascii="Georgia" w:hAnsi="Georgia"/>
          <w:sz w:val="24"/>
          <w:szCs w:val="24"/>
          <w:lang w:bidi="th-TH"/>
        </w:rPr>
        <w:t>C</w:t>
      </w:r>
      <w:r w:rsidR="00A20CD0" w:rsidRPr="1E9CA6D6">
        <w:rPr>
          <w:rFonts w:ascii="Georgia" w:hAnsi="Georgia"/>
          <w:sz w:val="24"/>
          <w:szCs w:val="24"/>
          <w:lang w:bidi="th-TH"/>
        </w:rPr>
        <w:t xml:space="preserve">ensus units, </w:t>
      </w:r>
      <w:r w:rsidR="001A13BA" w:rsidRPr="1E9CA6D6">
        <w:rPr>
          <w:rFonts w:ascii="Georgia" w:hAnsi="Georgia"/>
          <w:sz w:val="24"/>
          <w:szCs w:val="24"/>
          <w:lang w:bidi="th-TH"/>
        </w:rPr>
        <w:t>such as tracts, or even with</w:t>
      </w:r>
      <w:r w:rsidR="0056499B" w:rsidRPr="1E9CA6D6">
        <w:rPr>
          <w:rFonts w:ascii="Georgia" w:hAnsi="Georgia"/>
          <w:sz w:val="24"/>
          <w:szCs w:val="24"/>
          <w:lang w:bidi="th-TH"/>
        </w:rPr>
        <w:t xml:space="preserve"> </w:t>
      </w:r>
      <w:r w:rsidR="007F522B" w:rsidRPr="1E9CA6D6">
        <w:rPr>
          <w:rFonts w:ascii="Georgia" w:hAnsi="Georgia"/>
          <w:sz w:val="24"/>
          <w:szCs w:val="24"/>
          <w:lang w:bidi="th-TH"/>
        </w:rPr>
        <w:t xml:space="preserve">smaller units such as </w:t>
      </w:r>
      <w:r w:rsidR="00275315" w:rsidRPr="1E9CA6D6">
        <w:rPr>
          <w:rFonts w:ascii="Georgia" w:hAnsi="Georgia"/>
          <w:sz w:val="24"/>
          <w:szCs w:val="24"/>
          <w:lang w:bidi="th-TH"/>
        </w:rPr>
        <w:t>C</w:t>
      </w:r>
      <w:r w:rsidR="007F522B" w:rsidRPr="1E9CA6D6">
        <w:rPr>
          <w:rFonts w:ascii="Georgia" w:hAnsi="Georgia"/>
          <w:sz w:val="24"/>
          <w:szCs w:val="24"/>
          <w:lang w:bidi="th-TH"/>
        </w:rPr>
        <w:t>ensus block-groups</w:t>
      </w:r>
      <w:r w:rsidR="009D444F" w:rsidRPr="1E9CA6D6">
        <w:rPr>
          <w:rFonts w:ascii="Georgia" w:hAnsi="Georgia"/>
          <w:sz w:val="24"/>
          <w:szCs w:val="24"/>
          <w:lang w:bidi="th-TH"/>
        </w:rPr>
        <w:t xml:space="preserve">. </w:t>
      </w:r>
      <w:r w:rsidR="004712FD" w:rsidRPr="1E9CA6D6">
        <w:rPr>
          <w:rFonts w:ascii="Georgia" w:hAnsi="Georgia"/>
          <w:sz w:val="24"/>
          <w:szCs w:val="24"/>
          <w:lang w:bidi="th-TH"/>
        </w:rPr>
        <w:t xml:space="preserve">Moreover, while districts can be drawn using </w:t>
      </w:r>
      <w:r w:rsidR="00453D8A" w:rsidRPr="1E9CA6D6">
        <w:rPr>
          <w:rFonts w:ascii="Georgia" w:hAnsi="Georgia"/>
          <w:sz w:val="24"/>
          <w:szCs w:val="24"/>
          <w:lang w:bidi="th-TH"/>
        </w:rPr>
        <w:t>ZIP</w:t>
      </w:r>
      <w:r w:rsidR="004712FD" w:rsidRPr="1E9CA6D6">
        <w:rPr>
          <w:rFonts w:ascii="Georgia" w:hAnsi="Georgia"/>
          <w:sz w:val="24"/>
          <w:szCs w:val="24"/>
          <w:lang w:bidi="th-TH"/>
        </w:rPr>
        <w:t xml:space="preserve"> codes that seem better in many respects than existing maps, the same is </w:t>
      </w:r>
      <w:r w:rsidR="00204699" w:rsidRPr="1E9CA6D6">
        <w:rPr>
          <w:rFonts w:ascii="Georgia" w:hAnsi="Georgia"/>
          <w:sz w:val="24"/>
          <w:szCs w:val="24"/>
          <w:lang w:bidi="th-TH"/>
        </w:rPr>
        <w:t xml:space="preserve">at least as </w:t>
      </w:r>
      <w:r w:rsidR="004712FD" w:rsidRPr="1E9CA6D6">
        <w:rPr>
          <w:rFonts w:ascii="Georgia" w:hAnsi="Georgia"/>
          <w:sz w:val="24"/>
          <w:szCs w:val="24"/>
          <w:lang w:bidi="th-TH"/>
        </w:rPr>
        <w:t>true for line drawing using existing census geography</w:t>
      </w:r>
      <w:r w:rsidR="00204699" w:rsidRPr="1E9CA6D6">
        <w:rPr>
          <w:rFonts w:ascii="Georgia" w:hAnsi="Georgia"/>
          <w:sz w:val="24"/>
          <w:szCs w:val="24"/>
          <w:lang w:bidi="th-TH"/>
        </w:rPr>
        <w:t xml:space="preserve"> and maintaining city and county boundaries to the greatest extent </w:t>
      </w:r>
      <w:r w:rsidR="00A34591" w:rsidRPr="1E9CA6D6">
        <w:rPr>
          <w:rFonts w:ascii="Georgia" w:hAnsi="Georgia"/>
          <w:sz w:val="24"/>
          <w:szCs w:val="24"/>
          <w:lang w:bidi="th-TH"/>
        </w:rPr>
        <w:t>feasible</w:t>
      </w:r>
      <w:r w:rsidR="00204699" w:rsidRPr="1E9CA6D6">
        <w:rPr>
          <w:rFonts w:ascii="Georgia" w:hAnsi="Georgia"/>
          <w:sz w:val="24"/>
          <w:szCs w:val="24"/>
          <w:lang w:bidi="th-TH"/>
        </w:rPr>
        <w:t xml:space="preserve">. </w:t>
      </w:r>
      <w:r w:rsidR="00F24D98" w:rsidRPr="1E9CA6D6">
        <w:rPr>
          <w:rFonts w:ascii="Georgia" w:hAnsi="Georgia"/>
          <w:sz w:val="24"/>
          <w:szCs w:val="24"/>
          <w:lang w:bidi="th-TH"/>
        </w:rPr>
        <w:t>Four</w:t>
      </w:r>
      <w:r w:rsidR="00D90B27" w:rsidRPr="1E9CA6D6">
        <w:rPr>
          <w:rFonts w:ascii="Georgia" w:hAnsi="Georgia"/>
          <w:sz w:val="24"/>
          <w:szCs w:val="24"/>
          <w:lang w:bidi="th-TH"/>
        </w:rPr>
        <w:t>t</w:t>
      </w:r>
      <w:r w:rsidR="00F24D98" w:rsidRPr="1E9CA6D6">
        <w:rPr>
          <w:rFonts w:ascii="Georgia" w:hAnsi="Georgia"/>
          <w:sz w:val="24"/>
          <w:szCs w:val="24"/>
          <w:lang w:bidi="th-TH"/>
        </w:rPr>
        <w:t>h</w:t>
      </w:r>
      <w:r w:rsidR="009D444F" w:rsidRPr="1E9CA6D6">
        <w:rPr>
          <w:rFonts w:ascii="Georgia" w:hAnsi="Georgia"/>
          <w:sz w:val="24"/>
          <w:szCs w:val="24"/>
          <w:lang w:bidi="th-TH"/>
        </w:rPr>
        <w:t xml:space="preserve">, we find the </w:t>
      </w:r>
      <w:r w:rsidR="00F24D98" w:rsidRPr="1E9CA6D6">
        <w:rPr>
          <w:rFonts w:ascii="Georgia" w:hAnsi="Georgia"/>
          <w:sz w:val="24"/>
          <w:szCs w:val="24"/>
          <w:lang w:bidi="th-TH"/>
        </w:rPr>
        <w:t xml:space="preserve">empirical </w:t>
      </w:r>
      <w:r w:rsidR="009D444F" w:rsidRPr="1E9CA6D6">
        <w:rPr>
          <w:rFonts w:ascii="Georgia" w:hAnsi="Georgia"/>
          <w:sz w:val="24"/>
          <w:szCs w:val="24"/>
          <w:lang w:bidi="th-TH"/>
        </w:rPr>
        <w:t>evidence offered by Curiel and Steelman</w:t>
      </w:r>
      <w:r w:rsidR="005167D1" w:rsidRPr="1E9CA6D6">
        <w:rPr>
          <w:rFonts w:ascii="Georgia" w:hAnsi="Georgia"/>
          <w:sz w:val="24"/>
          <w:szCs w:val="24"/>
          <w:lang w:bidi="th-TH"/>
        </w:rPr>
        <w:t xml:space="preserve"> (2018)</w:t>
      </w:r>
      <w:r w:rsidR="009D444F" w:rsidRPr="1E9CA6D6">
        <w:rPr>
          <w:rFonts w:ascii="Georgia" w:hAnsi="Georgia"/>
          <w:sz w:val="24"/>
          <w:szCs w:val="24"/>
          <w:lang w:bidi="th-TH"/>
        </w:rPr>
        <w:t xml:space="preserve"> that </w:t>
      </w:r>
      <w:r w:rsidR="00453D8A" w:rsidRPr="1E9CA6D6">
        <w:rPr>
          <w:rFonts w:ascii="Georgia" w:hAnsi="Georgia"/>
          <w:sz w:val="24"/>
          <w:szCs w:val="24"/>
          <w:lang w:bidi="th-TH"/>
        </w:rPr>
        <w:t>ZIP</w:t>
      </w:r>
      <w:r w:rsidR="009D444F" w:rsidRPr="1E9CA6D6">
        <w:rPr>
          <w:rFonts w:ascii="Georgia" w:hAnsi="Georgia"/>
          <w:sz w:val="24"/>
          <w:szCs w:val="24"/>
          <w:lang w:bidi="th-TH"/>
        </w:rPr>
        <w:t xml:space="preserve"> code</w:t>
      </w:r>
      <w:r w:rsidR="00D90B27" w:rsidRPr="1E9CA6D6">
        <w:rPr>
          <w:rFonts w:ascii="Georgia" w:hAnsi="Georgia"/>
          <w:sz w:val="24"/>
          <w:szCs w:val="24"/>
          <w:lang w:bidi="th-TH"/>
        </w:rPr>
        <w:t xml:space="preserve"> splits </w:t>
      </w:r>
      <w:r w:rsidR="009D444F" w:rsidRPr="1E9CA6D6">
        <w:rPr>
          <w:rFonts w:ascii="Georgia" w:hAnsi="Georgia"/>
          <w:sz w:val="24"/>
          <w:szCs w:val="24"/>
          <w:lang w:bidi="th-TH"/>
        </w:rPr>
        <w:t xml:space="preserve">are a major aspect of the </w:t>
      </w:r>
      <w:r w:rsidR="00D90B27" w:rsidRPr="1E9CA6D6">
        <w:rPr>
          <w:rFonts w:ascii="Georgia" w:hAnsi="Georgia"/>
          <w:sz w:val="24"/>
          <w:szCs w:val="24"/>
          <w:lang w:bidi="th-TH"/>
        </w:rPr>
        <w:t xml:space="preserve">ability of voters to identify their legislator and engage in political communications with them to </w:t>
      </w:r>
      <w:r w:rsidR="004712FD" w:rsidRPr="1E9CA6D6">
        <w:rPr>
          <w:rFonts w:ascii="Georgia" w:hAnsi="Georgia"/>
          <w:sz w:val="24"/>
          <w:szCs w:val="24"/>
          <w:lang w:bidi="th-TH"/>
        </w:rPr>
        <w:t>be less than fully convincing, though we applaud their efforts at data gathering and the care with which they</w:t>
      </w:r>
      <w:r w:rsidR="00434677" w:rsidRPr="1E9CA6D6">
        <w:rPr>
          <w:rFonts w:ascii="Georgia" w:hAnsi="Georgia"/>
          <w:sz w:val="24"/>
          <w:szCs w:val="24"/>
          <w:lang w:bidi="th-TH"/>
        </w:rPr>
        <w:t xml:space="preserve"> </w:t>
      </w:r>
      <w:r w:rsidR="004712FD" w:rsidRPr="1E9CA6D6">
        <w:rPr>
          <w:rFonts w:ascii="Georgia" w:hAnsi="Georgia"/>
          <w:sz w:val="24"/>
          <w:szCs w:val="24"/>
          <w:lang w:bidi="th-TH"/>
        </w:rPr>
        <w:t>have sought to control for potential confounding</w:t>
      </w:r>
      <w:r w:rsidR="00434677" w:rsidRPr="1E9CA6D6">
        <w:rPr>
          <w:rFonts w:ascii="Georgia" w:hAnsi="Georgia"/>
          <w:sz w:val="24"/>
          <w:szCs w:val="24"/>
          <w:lang w:bidi="th-TH"/>
        </w:rPr>
        <w:t xml:space="preserve"> </w:t>
      </w:r>
      <w:r w:rsidR="004712FD" w:rsidRPr="1E9CA6D6">
        <w:rPr>
          <w:rFonts w:ascii="Georgia" w:hAnsi="Georgia"/>
          <w:sz w:val="24"/>
          <w:szCs w:val="24"/>
          <w:lang w:bidi="th-TH"/>
        </w:rPr>
        <w:t>factors</w:t>
      </w:r>
      <w:r w:rsidR="00D16366" w:rsidRPr="1E9CA6D6">
        <w:rPr>
          <w:rFonts w:ascii="Georgia" w:hAnsi="Georgia"/>
          <w:sz w:val="24"/>
          <w:szCs w:val="24"/>
          <w:lang w:bidi="th-TH"/>
        </w:rPr>
        <w:t>.</w:t>
      </w:r>
      <w:r w:rsidR="00D90B27" w:rsidRPr="1E9CA6D6">
        <w:rPr>
          <w:rFonts w:ascii="Georgia" w:hAnsi="Georgia"/>
          <w:sz w:val="24"/>
          <w:szCs w:val="24"/>
          <w:lang w:bidi="th-TH"/>
        </w:rPr>
        <w:t xml:space="preserve"> </w:t>
      </w:r>
      <w:r w:rsidR="7776FF42" w:rsidRPr="1E9CA6D6">
        <w:rPr>
          <w:rFonts w:ascii="Georgia" w:hAnsi="Georgia"/>
          <w:sz w:val="24"/>
          <w:szCs w:val="24"/>
          <w:lang w:bidi="th-TH"/>
        </w:rPr>
        <w:t>W</w:t>
      </w:r>
      <w:r w:rsidR="00D90B27" w:rsidRPr="1E9CA6D6">
        <w:rPr>
          <w:rFonts w:ascii="Georgia" w:hAnsi="Georgia"/>
          <w:sz w:val="24"/>
          <w:szCs w:val="24"/>
          <w:lang w:bidi="th-TH"/>
        </w:rPr>
        <w:t>e</w:t>
      </w:r>
      <w:r w:rsidR="7776FF42" w:rsidRPr="1E9CA6D6">
        <w:rPr>
          <w:rFonts w:ascii="Georgia" w:hAnsi="Georgia"/>
          <w:sz w:val="24"/>
          <w:szCs w:val="24"/>
          <w:lang w:bidi="th-TH"/>
        </w:rPr>
        <w:t xml:space="preserve"> further</w:t>
      </w:r>
      <w:r w:rsidR="00D90B27" w:rsidRPr="1E9CA6D6">
        <w:rPr>
          <w:rFonts w:ascii="Georgia" w:hAnsi="Georgia"/>
          <w:b/>
          <w:bCs/>
          <w:sz w:val="24"/>
          <w:szCs w:val="24"/>
          <w:lang w:bidi="th-TH"/>
        </w:rPr>
        <w:t xml:space="preserve"> </w:t>
      </w:r>
      <w:r w:rsidR="00D90B27" w:rsidRPr="1E9CA6D6">
        <w:rPr>
          <w:rFonts w:ascii="Georgia" w:hAnsi="Georgia"/>
          <w:sz w:val="24"/>
          <w:szCs w:val="24"/>
          <w:lang w:bidi="th-TH"/>
        </w:rPr>
        <w:t xml:space="preserve">commend them for their emphasis on the need to put </w:t>
      </w:r>
      <w:r w:rsidR="005167D1" w:rsidRPr="1E9CA6D6">
        <w:rPr>
          <w:rFonts w:ascii="Georgia" w:hAnsi="Georgia"/>
          <w:sz w:val="24"/>
          <w:szCs w:val="24"/>
          <w:lang w:bidi="th-TH"/>
        </w:rPr>
        <w:t>operational</w:t>
      </w:r>
      <w:r w:rsidR="00D90B27" w:rsidRPr="1E9CA6D6">
        <w:rPr>
          <w:rFonts w:ascii="Georgia" w:hAnsi="Georgia"/>
          <w:sz w:val="24"/>
          <w:szCs w:val="24"/>
          <w:lang w:bidi="th-TH"/>
        </w:rPr>
        <w:t xml:space="preserve"> content into the </w:t>
      </w:r>
      <w:r w:rsidR="005167D1" w:rsidRPr="1E9CA6D6">
        <w:rPr>
          <w:rFonts w:ascii="Georgia" w:hAnsi="Georgia"/>
          <w:sz w:val="24"/>
          <w:szCs w:val="24"/>
          <w:lang w:bidi="th-TH"/>
        </w:rPr>
        <w:t xml:space="preserve">abstract and multivocal </w:t>
      </w:r>
      <w:r w:rsidR="00D90B27" w:rsidRPr="1E9CA6D6">
        <w:rPr>
          <w:rFonts w:ascii="Georgia" w:hAnsi="Georgia"/>
          <w:sz w:val="24"/>
          <w:szCs w:val="24"/>
          <w:lang w:bidi="th-TH"/>
        </w:rPr>
        <w:t xml:space="preserve">concept of </w:t>
      </w:r>
      <w:r w:rsidR="00D90B27" w:rsidRPr="1E9CA6D6">
        <w:rPr>
          <w:rFonts w:ascii="Georgia" w:hAnsi="Georgia"/>
          <w:i/>
          <w:iCs/>
          <w:sz w:val="24"/>
          <w:szCs w:val="24"/>
          <w:lang w:bidi="th-TH"/>
        </w:rPr>
        <w:t>community of interes</w:t>
      </w:r>
      <w:r w:rsidR="1F6FF0F1" w:rsidRPr="1E9CA6D6">
        <w:rPr>
          <w:rFonts w:ascii="Georgia" w:hAnsi="Georgia"/>
          <w:i/>
          <w:iCs/>
          <w:sz w:val="24"/>
          <w:szCs w:val="24"/>
          <w:lang w:bidi="th-TH"/>
        </w:rPr>
        <w:t xml:space="preserve">t, </w:t>
      </w:r>
      <w:r w:rsidR="00D16366" w:rsidRPr="1E9CA6D6">
        <w:rPr>
          <w:rFonts w:ascii="Georgia" w:hAnsi="Georgia"/>
          <w:sz w:val="24"/>
          <w:szCs w:val="24"/>
          <w:lang w:bidi="th-TH"/>
        </w:rPr>
        <w:t xml:space="preserve">a concept which </w:t>
      </w:r>
      <w:r w:rsidR="4C652CA8" w:rsidRPr="1E9CA6D6">
        <w:rPr>
          <w:rFonts w:ascii="Georgia" w:hAnsi="Georgia"/>
          <w:sz w:val="24"/>
          <w:szCs w:val="24"/>
          <w:lang w:bidi="th-TH"/>
        </w:rPr>
        <w:t>still is</w:t>
      </w:r>
      <w:r w:rsidR="00D16366" w:rsidRPr="1E9CA6D6">
        <w:rPr>
          <w:rFonts w:ascii="Georgia" w:hAnsi="Georgia"/>
          <w:sz w:val="24"/>
          <w:szCs w:val="24"/>
          <w:lang w:bidi="th-TH"/>
        </w:rPr>
        <w:t xml:space="preserve"> undertheorized, especially in the legal context</w:t>
      </w:r>
      <w:r w:rsidR="1F6FF0F1" w:rsidRPr="1E9CA6D6">
        <w:rPr>
          <w:rFonts w:ascii="Georgia" w:hAnsi="Georgia"/>
          <w:sz w:val="24"/>
          <w:szCs w:val="24"/>
          <w:lang w:bidi="th-TH"/>
        </w:rPr>
        <w:t>.</w:t>
      </w:r>
    </w:p>
    <w:p w14:paraId="59B5866A" w14:textId="30F79A67" w:rsidR="00204699" w:rsidRDefault="00275315" w:rsidP="1E9CA6D6">
      <w:pPr>
        <w:autoSpaceDE w:val="0"/>
        <w:autoSpaceDN w:val="0"/>
        <w:adjustRightInd w:val="0"/>
        <w:spacing w:after="0" w:line="360" w:lineRule="auto"/>
        <w:ind w:firstLine="720"/>
        <w:jc w:val="both"/>
        <w:rPr>
          <w:rFonts w:ascii="Georgia" w:eastAsia="Times New Roman" w:hAnsi="Georgia" w:cs="Segoe UI"/>
          <w:sz w:val="24"/>
          <w:szCs w:val="24"/>
        </w:rPr>
      </w:pPr>
      <w:r w:rsidRPr="00DE137E">
        <w:rPr>
          <w:rFonts w:ascii="Georgia" w:eastAsia="Times New Roman" w:hAnsi="Georgia" w:cs="Segoe UI"/>
          <w:sz w:val="24"/>
          <w:szCs w:val="24"/>
        </w:rPr>
        <w:lastRenderedPageBreak/>
        <w:t>Redistricting is a key element of political representation</w:t>
      </w:r>
      <w:r w:rsidR="00F0487F">
        <w:rPr>
          <w:rFonts w:ascii="Georgia" w:eastAsia="Times New Roman" w:hAnsi="Georgia" w:cs="Segoe UI"/>
          <w:sz w:val="24"/>
          <w:szCs w:val="24"/>
        </w:rPr>
        <w:t>.</w:t>
      </w:r>
      <w:r w:rsidRPr="00DE137E">
        <w:rPr>
          <w:rFonts w:ascii="Georgia" w:eastAsia="Times New Roman" w:hAnsi="Georgia" w:cs="Segoe UI"/>
          <w:sz w:val="24"/>
          <w:szCs w:val="24"/>
        </w:rPr>
        <w:t xml:space="preserve"> </w:t>
      </w:r>
      <w:r w:rsidR="00717B84">
        <w:rPr>
          <w:rFonts w:ascii="Georgia" w:eastAsia="Times New Roman" w:hAnsi="Georgia" w:cs="Segoe UI"/>
          <w:sz w:val="24"/>
          <w:szCs w:val="24"/>
        </w:rPr>
        <w:t>I</w:t>
      </w:r>
      <w:r w:rsidRPr="00DE137E">
        <w:rPr>
          <w:rFonts w:ascii="Georgia" w:eastAsia="Times New Roman" w:hAnsi="Georgia" w:cs="Segoe UI"/>
          <w:sz w:val="24"/>
          <w:szCs w:val="24"/>
        </w:rPr>
        <w:t>n addition to congressional districts</w:t>
      </w:r>
      <w:r w:rsidR="00B41393">
        <w:rPr>
          <w:rFonts w:ascii="Georgia" w:eastAsia="Times New Roman" w:hAnsi="Georgia" w:cs="Segoe UI"/>
          <w:sz w:val="24"/>
          <w:szCs w:val="24"/>
        </w:rPr>
        <w:t xml:space="preserve">, </w:t>
      </w:r>
      <w:r w:rsidRPr="00DE137E">
        <w:rPr>
          <w:rFonts w:ascii="Georgia" w:eastAsia="Times New Roman" w:hAnsi="Georgia" w:cs="Segoe UI"/>
          <w:sz w:val="24"/>
          <w:szCs w:val="24"/>
        </w:rPr>
        <w:t xml:space="preserve">there are tens of thousands of legislative, county, </w:t>
      </w:r>
      <w:r w:rsidR="005167D1">
        <w:rPr>
          <w:rFonts w:ascii="Georgia" w:eastAsia="Times New Roman" w:hAnsi="Georgia" w:cs="Segoe UI"/>
          <w:sz w:val="24"/>
          <w:szCs w:val="24"/>
        </w:rPr>
        <w:t xml:space="preserve">township, and </w:t>
      </w:r>
      <w:r w:rsidRPr="00DE137E">
        <w:rPr>
          <w:rFonts w:ascii="Georgia" w:eastAsia="Times New Roman" w:hAnsi="Georgia" w:cs="Segoe UI"/>
          <w:sz w:val="24"/>
          <w:szCs w:val="24"/>
        </w:rPr>
        <w:t>city districts that are redrawn every ten years after each decennial census,</w:t>
      </w:r>
      <w:r w:rsidRPr="00DE137E">
        <w:rPr>
          <w:rStyle w:val="FootnoteReference"/>
          <w:rFonts w:ascii="Georgia" w:eastAsia="Times New Roman" w:hAnsi="Georgia" w:cs="Segoe UI"/>
          <w:sz w:val="24"/>
          <w:szCs w:val="24"/>
        </w:rPr>
        <w:footnoteReference w:id="2"/>
      </w:r>
      <w:r w:rsidRPr="00DE137E">
        <w:rPr>
          <w:rFonts w:ascii="Georgia" w:eastAsia="Times New Roman" w:hAnsi="Georgia" w:cs="Segoe UI"/>
          <w:sz w:val="24"/>
          <w:szCs w:val="24"/>
        </w:rPr>
        <w:t xml:space="preserve"> with</w:t>
      </w:r>
      <w:r w:rsidRPr="00DE137E">
        <w:rPr>
          <w:rFonts w:ascii="Georgia" w:hAnsi="Georgia"/>
          <w:color w:val="00B0F0"/>
          <w:sz w:val="24"/>
          <w:szCs w:val="24"/>
          <w:lang w:bidi="th-TH"/>
        </w:rPr>
        <w:t xml:space="preserve"> </w:t>
      </w:r>
      <w:r w:rsidRPr="00DE137E">
        <w:rPr>
          <w:rFonts w:ascii="Georgia" w:hAnsi="Georgia"/>
          <w:sz w:val="24"/>
          <w:szCs w:val="24"/>
          <w:lang w:bidi="th-TH"/>
        </w:rPr>
        <w:t>4,841 state legislative districts in the lower chambers of the state legislatures alone.</w:t>
      </w:r>
      <w:r w:rsidRPr="003F78EC">
        <w:rPr>
          <w:rStyle w:val="FootnoteReference"/>
          <w:rFonts w:ascii="Georgia" w:hAnsi="Georgia"/>
          <w:sz w:val="24"/>
          <w:szCs w:val="24"/>
          <w:lang w:bidi="th-TH"/>
        </w:rPr>
        <w:footnoteReference w:id="3"/>
      </w:r>
      <w:r w:rsidR="00434677">
        <w:rPr>
          <w:rFonts w:ascii="Georgia" w:hAnsi="Georgia"/>
          <w:sz w:val="24"/>
          <w:szCs w:val="24"/>
          <w:lang w:bidi="th-TH"/>
        </w:rPr>
        <w:t xml:space="preserve"> </w:t>
      </w:r>
      <w:r w:rsidR="005C6FD2" w:rsidRPr="00937568">
        <w:rPr>
          <w:rFonts w:ascii="Georgia" w:eastAsia="Times New Roman" w:hAnsi="Georgia" w:cs="Segoe UI"/>
          <w:sz w:val="24"/>
          <w:szCs w:val="24"/>
        </w:rPr>
        <w:t xml:space="preserve">In an innovative paper, Curiel and Steelman </w:t>
      </w:r>
      <w:r w:rsidR="00A20CD0" w:rsidRPr="00937568">
        <w:rPr>
          <w:rFonts w:ascii="Georgia" w:eastAsia="Times New Roman" w:hAnsi="Georgia" w:cs="Segoe UI"/>
          <w:sz w:val="24"/>
          <w:szCs w:val="24"/>
        </w:rPr>
        <w:t>(</w:t>
      </w:r>
      <w:r w:rsidR="00E04907">
        <w:rPr>
          <w:rFonts w:ascii="Georgia" w:eastAsia="Times New Roman" w:hAnsi="Georgia" w:cs="Segoe UI"/>
          <w:sz w:val="24"/>
          <w:szCs w:val="24"/>
        </w:rPr>
        <w:t>2018</w:t>
      </w:r>
      <w:r w:rsidR="00A20CD0" w:rsidRPr="00937568">
        <w:rPr>
          <w:rFonts w:ascii="Georgia" w:eastAsia="Times New Roman" w:hAnsi="Georgia" w:cs="Segoe UI"/>
          <w:sz w:val="24"/>
          <w:szCs w:val="24"/>
        </w:rPr>
        <w:t>)</w:t>
      </w:r>
      <w:r w:rsidR="00751E3A">
        <w:rPr>
          <w:rFonts w:ascii="Georgia" w:eastAsia="Times New Roman" w:hAnsi="Georgia" w:cs="Segoe UI"/>
          <w:sz w:val="24"/>
          <w:szCs w:val="24"/>
        </w:rPr>
        <w:t>,</w:t>
      </w:r>
      <w:r w:rsidR="00A20CD0" w:rsidRPr="00937568">
        <w:rPr>
          <w:rFonts w:ascii="Georgia" w:eastAsia="Times New Roman" w:hAnsi="Georgia" w:cs="Segoe UI"/>
          <w:sz w:val="24"/>
          <w:szCs w:val="24"/>
        </w:rPr>
        <w:t xml:space="preserve"> and</w:t>
      </w:r>
      <w:r w:rsidR="00751E3A">
        <w:rPr>
          <w:rFonts w:ascii="Georgia" w:eastAsia="Times New Roman" w:hAnsi="Georgia" w:cs="Segoe UI"/>
          <w:sz w:val="24"/>
          <w:szCs w:val="24"/>
        </w:rPr>
        <w:t xml:space="preserve"> in</w:t>
      </w:r>
      <w:r w:rsidR="00D559A9">
        <w:rPr>
          <w:rFonts w:ascii="Georgia" w:eastAsia="Times New Roman" w:hAnsi="Georgia" w:cs="Segoe UI"/>
          <w:sz w:val="24"/>
          <w:szCs w:val="24"/>
        </w:rPr>
        <w:t xml:space="preserve"> </w:t>
      </w:r>
      <w:r w:rsidR="00A20CD0" w:rsidRPr="00937568">
        <w:rPr>
          <w:rFonts w:ascii="Georgia" w:eastAsia="Times New Roman" w:hAnsi="Georgia" w:cs="Segoe UI"/>
          <w:sz w:val="24"/>
          <w:szCs w:val="24"/>
        </w:rPr>
        <w:t>the</w:t>
      </w:r>
      <w:r w:rsidR="00751E3A">
        <w:rPr>
          <w:rFonts w:ascii="Georgia" w:eastAsia="Times New Roman" w:hAnsi="Georgia" w:cs="Segoe UI"/>
          <w:sz w:val="24"/>
          <w:szCs w:val="24"/>
        </w:rPr>
        <w:t xml:space="preserve">ir </w:t>
      </w:r>
      <w:r w:rsidR="00A20CD0" w:rsidRPr="00937568">
        <w:rPr>
          <w:rFonts w:ascii="Georgia" w:eastAsia="Times New Roman" w:hAnsi="Georgia" w:cs="Segoe UI"/>
          <w:sz w:val="24"/>
          <w:szCs w:val="24"/>
        </w:rPr>
        <w:t>follow-up to it</w:t>
      </w:r>
      <w:r w:rsidR="00BF2E8A">
        <w:rPr>
          <w:rFonts w:ascii="Georgia" w:eastAsia="Times New Roman" w:hAnsi="Georgia" w:cs="Segoe UI"/>
          <w:sz w:val="24"/>
          <w:szCs w:val="24"/>
        </w:rPr>
        <w:t xml:space="preserve"> </w:t>
      </w:r>
      <w:r w:rsidR="00BF2E8A" w:rsidRPr="00937568">
        <w:rPr>
          <w:rFonts w:ascii="Georgia" w:eastAsia="Times New Roman" w:hAnsi="Georgia" w:cs="Segoe UI"/>
          <w:sz w:val="24"/>
          <w:szCs w:val="24"/>
        </w:rPr>
        <w:t>(</w:t>
      </w:r>
      <w:r w:rsidR="00BF2E8A" w:rsidRPr="00E04907">
        <w:rPr>
          <w:rFonts w:ascii="Georgia" w:eastAsia="Times New Roman" w:hAnsi="Georgia" w:cs="Segoe UI"/>
          <w:sz w:val="24"/>
          <w:szCs w:val="24"/>
        </w:rPr>
        <w:t>2020</w:t>
      </w:r>
      <w:r w:rsidR="00BF2E8A" w:rsidRPr="00937568">
        <w:rPr>
          <w:rFonts w:ascii="Georgia" w:eastAsia="Times New Roman" w:hAnsi="Georgia" w:cs="Segoe UI"/>
          <w:sz w:val="24"/>
          <w:szCs w:val="24"/>
        </w:rPr>
        <w:t>)</w:t>
      </w:r>
      <w:r w:rsidR="00751E3A">
        <w:rPr>
          <w:rFonts w:ascii="Georgia" w:eastAsia="Times New Roman" w:hAnsi="Georgia" w:cs="Segoe UI"/>
          <w:sz w:val="24"/>
          <w:szCs w:val="24"/>
        </w:rPr>
        <w:t>,</w:t>
      </w:r>
      <w:r w:rsidR="00D559A9">
        <w:rPr>
          <w:rFonts w:ascii="Georgia" w:eastAsia="Times New Roman" w:hAnsi="Georgia" w:cs="Segoe UI"/>
          <w:sz w:val="24"/>
          <w:szCs w:val="24"/>
        </w:rPr>
        <w:t xml:space="preserve"> </w:t>
      </w:r>
      <w:r w:rsidR="00751E3A">
        <w:rPr>
          <w:rFonts w:ascii="Georgia" w:eastAsia="Times New Roman" w:hAnsi="Georgia" w:cs="Segoe UI"/>
          <w:sz w:val="24"/>
          <w:szCs w:val="24"/>
        </w:rPr>
        <w:t xml:space="preserve">these authors </w:t>
      </w:r>
      <w:r w:rsidR="005C6FD2" w:rsidRPr="00937568">
        <w:rPr>
          <w:rFonts w:ascii="Georgia" w:hAnsi="Georgia" w:cs="Calibri"/>
          <w:sz w:val="24"/>
          <w:szCs w:val="24"/>
        </w:rPr>
        <w:t>emphasize the importance of legislator</w:t>
      </w:r>
      <w:r w:rsidR="005C6FD2" w:rsidRPr="00937568">
        <w:rPr>
          <w:rFonts w:ascii="Times New Roman" w:hAnsi="Times New Roman" w:cs="Times New Roman"/>
          <w:sz w:val="24"/>
          <w:szCs w:val="24"/>
        </w:rPr>
        <w:t>‐</w:t>
      </w:r>
      <w:r w:rsidR="005C6FD2" w:rsidRPr="00937568">
        <w:rPr>
          <w:rFonts w:ascii="Georgia" w:hAnsi="Georgia" w:cs="Calibri"/>
          <w:sz w:val="24"/>
          <w:szCs w:val="24"/>
        </w:rPr>
        <w:t>cons</w:t>
      </w:r>
      <w:r w:rsidR="005C6FD2" w:rsidRPr="00937568">
        <w:rPr>
          <w:rFonts w:ascii="Georgia" w:eastAsia="Calibri" w:hAnsi="Georgia" w:cs="Calibri"/>
          <w:sz w:val="24"/>
          <w:szCs w:val="24"/>
        </w:rPr>
        <w:t>ti</w:t>
      </w:r>
      <w:r w:rsidR="005C6FD2" w:rsidRPr="00937568">
        <w:rPr>
          <w:rFonts w:ascii="Georgia" w:hAnsi="Georgia" w:cs="Calibri"/>
          <w:sz w:val="24"/>
          <w:szCs w:val="24"/>
        </w:rPr>
        <w:t>tuent linkages as a counterpoint to the no</w:t>
      </w:r>
      <w:r w:rsidR="005C6FD2" w:rsidRPr="00937568">
        <w:rPr>
          <w:rFonts w:ascii="Georgia" w:eastAsia="Calibri" w:hAnsi="Georgia" w:cs="Calibri"/>
          <w:sz w:val="24"/>
          <w:szCs w:val="24"/>
        </w:rPr>
        <w:t>ti</w:t>
      </w:r>
      <w:r w:rsidR="005C6FD2" w:rsidRPr="00937568">
        <w:rPr>
          <w:rFonts w:ascii="Georgia" w:hAnsi="Georgia" w:cs="Calibri"/>
          <w:sz w:val="24"/>
          <w:szCs w:val="24"/>
        </w:rPr>
        <w:t>on of racial or ethnic membership or partisan voting patterns or existing political subunit boundaries</w:t>
      </w:r>
      <w:r w:rsidR="00717B84">
        <w:rPr>
          <w:rFonts w:ascii="Georgia" w:hAnsi="Georgia" w:cs="Calibri"/>
          <w:sz w:val="24"/>
          <w:szCs w:val="24"/>
        </w:rPr>
        <w:t>,</w:t>
      </w:r>
      <w:r w:rsidR="005C6FD2" w:rsidRPr="00937568">
        <w:rPr>
          <w:rFonts w:ascii="Georgia" w:hAnsi="Georgia" w:cs="Calibri"/>
          <w:sz w:val="24"/>
          <w:szCs w:val="24"/>
        </w:rPr>
        <w:t xml:space="preserve"> as the central basis for specifying geographically constructed units of representa</w:t>
      </w:r>
      <w:r w:rsidR="005C6FD2" w:rsidRPr="00937568">
        <w:rPr>
          <w:rFonts w:ascii="Georgia" w:eastAsia="Calibri" w:hAnsi="Georgia" w:cs="Calibri"/>
          <w:sz w:val="24"/>
          <w:szCs w:val="24"/>
        </w:rPr>
        <w:t>ti</w:t>
      </w:r>
      <w:r w:rsidR="005C6FD2" w:rsidRPr="00937568">
        <w:rPr>
          <w:rFonts w:ascii="Georgia" w:hAnsi="Georgia" w:cs="Calibri"/>
          <w:sz w:val="24"/>
          <w:szCs w:val="24"/>
        </w:rPr>
        <w:t xml:space="preserve">on, i.e., districts. But beyond their </w:t>
      </w:r>
      <w:r w:rsidR="00A20CD0" w:rsidRPr="00937568">
        <w:rPr>
          <w:rFonts w:ascii="Georgia" w:hAnsi="Georgia" w:cs="Calibri"/>
          <w:sz w:val="24"/>
          <w:szCs w:val="24"/>
        </w:rPr>
        <w:t xml:space="preserve">interesting </w:t>
      </w:r>
      <w:r w:rsidR="005C6FD2" w:rsidRPr="00937568">
        <w:rPr>
          <w:rFonts w:ascii="Georgia" w:hAnsi="Georgia" w:cs="Calibri"/>
          <w:sz w:val="24"/>
          <w:szCs w:val="24"/>
        </w:rPr>
        <w:t xml:space="preserve">discussion of principles of representation, </w:t>
      </w:r>
      <w:r w:rsidR="005C6FD2" w:rsidRPr="00937568">
        <w:rPr>
          <w:rFonts w:ascii="Georgia" w:eastAsia="Times New Roman" w:hAnsi="Georgia" w:cs="Segoe UI"/>
          <w:sz w:val="24"/>
          <w:szCs w:val="24"/>
        </w:rPr>
        <w:t xml:space="preserve">Curiel and Steelman have </w:t>
      </w:r>
      <w:r w:rsidR="00A20CD0" w:rsidRPr="00937568">
        <w:rPr>
          <w:rFonts w:ascii="Georgia" w:eastAsia="Times New Roman" w:hAnsi="Georgia" w:cs="Segoe UI"/>
          <w:sz w:val="24"/>
          <w:szCs w:val="24"/>
        </w:rPr>
        <w:t xml:space="preserve">what we take to be their main point </w:t>
      </w:r>
      <w:r w:rsidRPr="17D1ED95" w:rsidDel="005C6FD2">
        <w:rPr>
          <w:rFonts w:ascii="Georgia" w:eastAsia="Times New Roman" w:hAnsi="Georgia" w:cs="Segoe UI"/>
          <w:sz w:val="24"/>
          <w:szCs w:val="24"/>
        </w:rPr>
        <w:t xml:space="preserve">a </w:t>
      </w:r>
      <w:r w:rsidR="07F200F0" w:rsidRPr="00937568">
        <w:rPr>
          <w:rFonts w:ascii="Georgia" w:eastAsia="Times New Roman" w:hAnsi="Georgia" w:cs="Segoe UI"/>
          <w:sz w:val="24"/>
          <w:szCs w:val="24"/>
        </w:rPr>
        <w:t>specific</w:t>
      </w:r>
      <w:r w:rsidR="005C6FD2" w:rsidRPr="00937568">
        <w:rPr>
          <w:rFonts w:ascii="Georgia" w:eastAsia="Times New Roman" w:hAnsi="Georgia" w:cs="Segoe UI"/>
          <w:sz w:val="24"/>
          <w:szCs w:val="24"/>
        </w:rPr>
        <w:t xml:space="preserve"> proposal</w:t>
      </w:r>
      <w:r w:rsidR="00A20CD0" w:rsidRPr="00937568">
        <w:rPr>
          <w:rFonts w:ascii="Georgia" w:eastAsia="Times New Roman" w:hAnsi="Georgia" w:cs="Segoe UI"/>
          <w:sz w:val="24"/>
          <w:szCs w:val="24"/>
        </w:rPr>
        <w:t>:</w:t>
      </w:r>
      <w:r w:rsidR="005C6FD2" w:rsidRPr="00937568">
        <w:rPr>
          <w:rFonts w:ascii="Georgia" w:eastAsia="Times New Roman" w:hAnsi="Georgia" w:cs="Segoe UI"/>
          <w:sz w:val="24"/>
          <w:szCs w:val="24"/>
        </w:rPr>
        <w:t xml:space="preserve"> they wish to </w:t>
      </w:r>
      <w:r w:rsidR="005C6FD2" w:rsidRPr="489FFC7A">
        <w:rPr>
          <w:rFonts w:ascii="Georgia" w:eastAsia="Times New Roman" w:hAnsi="Georgia" w:cs="Segoe UI"/>
          <w:i/>
          <w:iCs/>
          <w:sz w:val="24"/>
          <w:szCs w:val="24"/>
        </w:rPr>
        <w:t xml:space="preserve">make use of </w:t>
      </w:r>
      <w:r w:rsidR="00453D8A" w:rsidRPr="489FFC7A">
        <w:rPr>
          <w:rFonts w:ascii="Georgia" w:eastAsia="Times New Roman" w:hAnsi="Georgia" w:cs="Segoe UI"/>
          <w:i/>
          <w:iCs/>
          <w:sz w:val="24"/>
          <w:szCs w:val="24"/>
        </w:rPr>
        <w:t>ZIP</w:t>
      </w:r>
      <w:r w:rsidR="000F31E2" w:rsidRPr="489FFC7A">
        <w:rPr>
          <w:rFonts w:ascii="Georgia" w:eastAsia="Times New Roman" w:hAnsi="Georgia" w:cs="Segoe UI"/>
          <w:i/>
          <w:iCs/>
          <w:sz w:val="24"/>
          <w:szCs w:val="24"/>
        </w:rPr>
        <w:t xml:space="preserve"> codes </w:t>
      </w:r>
      <w:r w:rsidR="005C6FD2" w:rsidRPr="489FFC7A">
        <w:rPr>
          <w:rFonts w:ascii="Georgia" w:eastAsia="Times New Roman" w:hAnsi="Georgia" w:cs="Segoe UI"/>
          <w:i/>
          <w:iCs/>
          <w:sz w:val="24"/>
          <w:szCs w:val="24"/>
        </w:rPr>
        <w:t>in creating congressional districts</w:t>
      </w:r>
      <w:r w:rsidR="005C6FD2" w:rsidRPr="00937568">
        <w:rPr>
          <w:rFonts w:ascii="Georgia" w:eastAsia="Times New Roman" w:hAnsi="Georgia" w:cs="Segoe UI"/>
          <w:sz w:val="24"/>
          <w:szCs w:val="24"/>
        </w:rPr>
        <w:t>.</w:t>
      </w:r>
    </w:p>
    <w:p w14:paraId="4A15BEDE" w14:textId="7F3C096C" w:rsidR="00A20CD0" w:rsidRPr="00204699" w:rsidRDefault="00204699" w:rsidP="1E9CA6D6">
      <w:pPr>
        <w:autoSpaceDE w:val="0"/>
        <w:autoSpaceDN w:val="0"/>
        <w:adjustRightInd w:val="0"/>
        <w:spacing w:after="0" w:line="360" w:lineRule="auto"/>
        <w:ind w:firstLine="720"/>
        <w:jc w:val="both"/>
        <w:rPr>
          <w:rFonts w:ascii="Georgia" w:hAnsi="Georgia" w:cs="Roboto-Bold"/>
          <w:color w:val="292B2C"/>
          <w:sz w:val="24"/>
          <w:szCs w:val="24"/>
        </w:rPr>
      </w:pPr>
      <w:r w:rsidRPr="1E9CA6D6">
        <w:rPr>
          <w:rFonts w:ascii="Georgia" w:hAnsi="Georgia"/>
          <w:sz w:val="24"/>
          <w:szCs w:val="24"/>
          <w:lang w:bidi="th-TH"/>
        </w:rPr>
        <w:t xml:space="preserve">Curiel and Steelman (2020) make </w:t>
      </w:r>
      <w:r w:rsidR="64D6BC1D" w:rsidRPr="1E9CA6D6">
        <w:rPr>
          <w:rFonts w:ascii="Georgia" w:hAnsi="Georgia"/>
          <w:sz w:val="24"/>
          <w:szCs w:val="24"/>
          <w:lang w:bidi="th-TH"/>
        </w:rPr>
        <w:t>several</w:t>
      </w:r>
      <w:r w:rsidRPr="1E9CA6D6">
        <w:rPr>
          <w:rFonts w:ascii="Georgia" w:hAnsi="Georgia"/>
          <w:sz w:val="24"/>
          <w:szCs w:val="24"/>
          <w:lang w:bidi="th-TH"/>
        </w:rPr>
        <w:t xml:space="preserve"> quite strong claims for </w:t>
      </w:r>
      <w:r w:rsidR="00453D8A" w:rsidRPr="1E9CA6D6">
        <w:rPr>
          <w:rFonts w:ascii="Georgia" w:hAnsi="Georgia"/>
          <w:sz w:val="24"/>
          <w:szCs w:val="24"/>
          <w:lang w:bidi="th-TH"/>
        </w:rPr>
        <w:t>ZIP</w:t>
      </w:r>
      <w:r w:rsidRPr="1E9CA6D6">
        <w:rPr>
          <w:rFonts w:ascii="Georgia" w:hAnsi="Georgia"/>
          <w:sz w:val="24"/>
          <w:szCs w:val="24"/>
          <w:lang w:bidi="th-TH"/>
        </w:rPr>
        <w:t xml:space="preserve"> codes. They assert, for example, that: “</w:t>
      </w:r>
      <w:r w:rsidR="00453D8A" w:rsidRPr="1E9CA6D6">
        <w:rPr>
          <w:rFonts w:ascii="Georgia" w:hAnsi="Georgia" w:cs="Roboto-Bold"/>
          <w:color w:val="292B2C"/>
          <w:sz w:val="24"/>
          <w:szCs w:val="24"/>
        </w:rPr>
        <w:t>ZIP</w:t>
      </w:r>
      <w:r w:rsidRPr="1E9CA6D6">
        <w:rPr>
          <w:rFonts w:ascii="Georgia" w:hAnsi="Georgia" w:cs="Roboto-Bold"/>
          <w:color w:val="292B2C"/>
          <w:sz w:val="24"/>
          <w:szCs w:val="24"/>
        </w:rPr>
        <w:t xml:space="preserve"> codes act as one of the primary means by which constituents identify their representatives, and representatives their constituents,” and that “Splitting </w:t>
      </w:r>
      <w:r w:rsidR="00453D8A" w:rsidRPr="1E9CA6D6">
        <w:rPr>
          <w:rFonts w:ascii="Georgia" w:hAnsi="Georgia" w:cs="Roboto-Bold"/>
          <w:color w:val="292B2C"/>
          <w:sz w:val="24"/>
          <w:szCs w:val="24"/>
        </w:rPr>
        <w:t>ZIP</w:t>
      </w:r>
      <w:r w:rsidRPr="1E9CA6D6">
        <w:rPr>
          <w:rFonts w:ascii="Georgia" w:hAnsi="Georgia" w:cs="Roboto-Bold"/>
          <w:color w:val="292B2C"/>
          <w:sz w:val="24"/>
          <w:szCs w:val="24"/>
        </w:rPr>
        <w:t xml:space="preserve"> codes between multiple districts impairs the ability for constituents and representatives to identify each other"</w:t>
      </w:r>
      <w:r w:rsidR="00717B84" w:rsidRPr="1E9CA6D6">
        <w:rPr>
          <w:rFonts w:ascii="Georgia" w:hAnsi="Georgia" w:cs="Roboto-Bold"/>
          <w:color w:val="292B2C"/>
          <w:sz w:val="24"/>
          <w:szCs w:val="24"/>
        </w:rPr>
        <w:t xml:space="preserve"> </w:t>
      </w:r>
      <w:r w:rsidR="00717B84" w:rsidRPr="1E9CA6D6">
        <w:rPr>
          <w:rFonts w:ascii="Georgia" w:hAnsi="Georgia"/>
          <w:sz w:val="24"/>
          <w:szCs w:val="24"/>
          <w:lang w:bidi="th-TH"/>
        </w:rPr>
        <w:t xml:space="preserve">(2020: </w:t>
      </w:r>
      <w:r w:rsidR="2B3D8172" w:rsidRPr="1E9CA6D6">
        <w:rPr>
          <w:rFonts w:ascii="Georgia" w:hAnsi="Georgia"/>
          <w:sz w:val="24"/>
          <w:szCs w:val="24"/>
          <w:lang w:bidi="th-TH"/>
        </w:rPr>
        <w:t>3</w:t>
      </w:r>
      <w:r w:rsidR="00717B84" w:rsidRPr="1E9CA6D6">
        <w:rPr>
          <w:rFonts w:ascii="Georgia" w:hAnsi="Georgia"/>
          <w:sz w:val="24"/>
          <w:szCs w:val="24"/>
          <w:lang w:bidi="th-TH"/>
        </w:rPr>
        <w:t>).</w:t>
      </w:r>
    </w:p>
    <w:p w14:paraId="640D0EFA" w14:textId="695E7602" w:rsidR="00717B84" w:rsidRDefault="00A20CD0" w:rsidP="1E9CA6D6">
      <w:pPr>
        <w:autoSpaceDE w:val="0"/>
        <w:autoSpaceDN w:val="0"/>
        <w:adjustRightInd w:val="0"/>
        <w:spacing w:after="0" w:line="360" w:lineRule="auto"/>
        <w:ind w:firstLine="720"/>
        <w:jc w:val="both"/>
        <w:rPr>
          <w:rFonts w:ascii="Georgia" w:hAnsi="Georgia" w:cs="Times New Roman"/>
          <w:sz w:val="24"/>
          <w:szCs w:val="24"/>
          <w:lang w:bidi="th-TH"/>
        </w:rPr>
      </w:pPr>
      <w:r w:rsidRPr="00D90839">
        <w:rPr>
          <w:rFonts w:ascii="Georgia" w:hAnsi="Georgia" w:cs="Times New Roman"/>
          <w:sz w:val="24"/>
          <w:szCs w:val="24"/>
          <w:lang w:bidi="th-TH"/>
        </w:rPr>
        <w:t xml:space="preserve">We recognize that </w:t>
      </w:r>
      <w:r w:rsidR="00ED327C">
        <w:rPr>
          <w:rFonts w:ascii="Georgia" w:hAnsi="Georgia" w:cs="Times New Roman"/>
          <w:sz w:val="24"/>
          <w:szCs w:val="24"/>
          <w:lang w:bidi="th-TH"/>
        </w:rPr>
        <w:t xml:space="preserve">using </w:t>
      </w:r>
      <w:r w:rsidR="00453D8A">
        <w:rPr>
          <w:rFonts w:ascii="Georgia" w:hAnsi="Georgia" w:cs="Times New Roman"/>
          <w:sz w:val="24"/>
          <w:szCs w:val="24"/>
          <w:lang w:bidi="th-TH"/>
        </w:rPr>
        <w:t>ZIP</w:t>
      </w:r>
      <w:r w:rsidR="00ED327C">
        <w:rPr>
          <w:rFonts w:ascii="Georgia" w:hAnsi="Georgia" w:cs="Times New Roman"/>
          <w:sz w:val="24"/>
          <w:szCs w:val="24"/>
          <w:lang w:bidi="th-TH"/>
        </w:rPr>
        <w:t xml:space="preserve"> codes</w:t>
      </w:r>
      <w:r w:rsidRPr="00D90839">
        <w:rPr>
          <w:rFonts w:ascii="Georgia" w:hAnsi="Georgia" w:cs="Times New Roman"/>
          <w:sz w:val="24"/>
          <w:szCs w:val="24"/>
          <w:lang w:bidi="th-TH"/>
        </w:rPr>
        <w:t xml:space="preserve"> does offer a neutral principle that allows line drawers to avoid making race the preponderant motive in redistricting,</w:t>
      </w:r>
      <w:r w:rsidR="003B6C58">
        <w:rPr>
          <w:rStyle w:val="FootnoteReference"/>
          <w:rFonts w:ascii="Georgia" w:hAnsi="Georgia" w:cs="Times New Roman"/>
          <w:sz w:val="24"/>
          <w:szCs w:val="24"/>
          <w:lang w:bidi="th-TH"/>
        </w:rPr>
        <w:footnoteReference w:id="4"/>
      </w:r>
      <w:r w:rsidRPr="00D90839">
        <w:rPr>
          <w:rFonts w:ascii="Georgia" w:hAnsi="Georgia" w:cs="Times New Roman"/>
          <w:sz w:val="24"/>
          <w:szCs w:val="24"/>
          <w:lang w:bidi="th-TH"/>
        </w:rPr>
        <w:t xml:space="preserve"> and </w:t>
      </w:r>
      <w:r w:rsidR="00215944" w:rsidRPr="00D90839">
        <w:rPr>
          <w:rFonts w:ascii="Georgia" w:hAnsi="Georgia" w:cs="Times New Roman"/>
          <w:sz w:val="24"/>
          <w:szCs w:val="24"/>
          <w:lang w:bidi="th-TH"/>
        </w:rPr>
        <w:t xml:space="preserve">it is one </w:t>
      </w:r>
      <w:r w:rsidRPr="00D90839">
        <w:rPr>
          <w:rFonts w:ascii="Georgia" w:hAnsi="Georgia" w:cs="Times New Roman"/>
          <w:sz w:val="24"/>
          <w:szCs w:val="24"/>
          <w:lang w:bidi="th-TH"/>
        </w:rPr>
        <w:t xml:space="preserve">that </w:t>
      </w:r>
      <w:r w:rsidR="00215944" w:rsidRPr="00D90839">
        <w:rPr>
          <w:rFonts w:ascii="Georgia" w:hAnsi="Georgia" w:cs="Times New Roman"/>
          <w:sz w:val="24"/>
          <w:szCs w:val="24"/>
          <w:lang w:bidi="th-TH"/>
        </w:rPr>
        <w:t xml:space="preserve">is not political. Moreover, we recognize that </w:t>
      </w:r>
      <w:r w:rsidRPr="00D90839">
        <w:rPr>
          <w:rFonts w:ascii="Georgia" w:hAnsi="Georgia" w:cs="Times New Roman"/>
          <w:sz w:val="24"/>
          <w:szCs w:val="24"/>
          <w:lang w:bidi="th-TH"/>
        </w:rPr>
        <w:t>other approaches, e.g., avoiding the fragmentation of existing</w:t>
      </w:r>
      <w:r w:rsidR="00D559A9">
        <w:rPr>
          <w:rFonts w:ascii="Georgia" w:hAnsi="Georgia" w:cs="Times New Roman"/>
          <w:sz w:val="24"/>
          <w:szCs w:val="24"/>
          <w:lang w:bidi="th-TH"/>
        </w:rPr>
        <w:t xml:space="preserve"> </w:t>
      </w:r>
      <w:r w:rsidRPr="00D90839">
        <w:rPr>
          <w:rFonts w:ascii="Georgia" w:hAnsi="Georgia" w:cs="Times New Roman"/>
          <w:sz w:val="24"/>
          <w:szCs w:val="24"/>
          <w:lang w:bidi="th-TH"/>
        </w:rPr>
        <w:t>political subunits, drawing districts that encompass geographically compact racial minorities, avoiding the drawing of districts that intentionally or unintentionally create partisan bias in electoral outcomes, are far from perfect</w:t>
      </w:r>
      <w:r w:rsidR="00F0487F">
        <w:rPr>
          <w:rFonts w:ascii="Georgia" w:hAnsi="Georgia" w:cs="Times New Roman"/>
          <w:sz w:val="24"/>
          <w:szCs w:val="24"/>
          <w:lang w:bidi="th-TH"/>
        </w:rPr>
        <w:t xml:space="preserve">; </w:t>
      </w:r>
      <w:r w:rsidR="00F0487F" w:rsidRPr="1BC0107E">
        <w:rPr>
          <w:rFonts w:ascii="Georgia" w:hAnsi="Georgia" w:cs="Times New Roman"/>
          <w:sz w:val="24"/>
          <w:szCs w:val="24"/>
          <w:lang w:bidi="th-TH"/>
        </w:rPr>
        <w:t>furthermore,</w:t>
      </w:r>
      <w:r w:rsidR="00717B84" w:rsidRPr="1BC0107E">
        <w:rPr>
          <w:rFonts w:ascii="Georgia" w:hAnsi="Georgia" w:cs="Times New Roman"/>
          <w:sz w:val="24"/>
          <w:szCs w:val="24"/>
          <w:lang w:bidi="th-TH"/>
        </w:rPr>
        <w:t xml:space="preserve"> we recognize that</w:t>
      </w:r>
      <w:r w:rsidR="00F0487F" w:rsidRPr="1BC0107E">
        <w:rPr>
          <w:rFonts w:ascii="Georgia" w:hAnsi="Georgia" w:cs="Times New Roman"/>
          <w:sz w:val="24"/>
          <w:szCs w:val="24"/>
          <w:lang w:bidi="th-TH"/>
        </w:rPr>
        <w:t xml:space="preserve"> the criticism of </w:t>
      </w:r>
      <w:r w:rsidR="00453D8A">
        <w:rPr>
          <w:rFonts w:ascii="Georgia" w:hAnsi="Georgia" w:cs="Times New Roman"/>
          <w:sz w:val="24"/>
          <w:szCs w:val="24"/>
          <w:lang w:bidi="th-TH"/>
        </w:rPr>
        <w:t>ZIP</w:t>
      </w:r>
      <w:r w:rsidR="00F0487F" w:rsidRPr="1BC0107E">
        <w:rPr>
          <w:rFonts w:ascii="Georgia" w:hAnsi="Georgia" w:cs="Times New Roman"/>
          <w:sz w:val="24"/>
          <w:szCs w:val="24"/>
          <w:lang w:bidi="th-TH"/>
        </w:rPr>
        <w:t xml:space="preserve"> code use in </w:t>
      </w:r>
      <w:proofErr w:type="spellStart"/>
      <w:r w:rsidR="00F0487F" w:rsidRPr="1BC0107E">
        <w:rPr>
          <w:rFonts w:ascii="Georgia" w:hAnsi="Georgia" w:cs="Times New Roman"/>
          <w:sz w:val="24"/>
          <w:szCs w:val="24"/>
          <w:lang w:bidi="th-TH"/>
        </w:rPr>
        <w:t>Grofman</w:t>
      </w:r>
      <w:proofErr w:type="spellEnd"/>
      <w:r w:rsidR="00F0487F" w:rsidRPr="1BC0107E">
        <w:rPr>
          <w:rFonts w:ascii="Georgia" w:hAnsi="Georgia" w:cs="Times New Roman"/>
          <w:sz w:val="24"/>
          <w:szCs w:val="24"/>
          <w:lang w:bidi="th-TH"/>
        </w:rPr>
        <w:t xml:space="preserve"> (2019), that </w:t>
      </w:r>
      <w:r w:rsidR="00453D8A">
        <w:rPr>
          <w:rFonts w:ascii="Georgia" w:hAnsi="Georgia" w:cs="Times New Roman"/>
          <w:sz w:val="24"/>
          <w:szCs w:val="24"/>
          <w:lang w:bidi="th-TH"/>
        </w:rPr>
        <w:t>ZIP</w:t>
      </w:r>
      <w:r w:rsidR="00F0487F" w:rsidRPr="1BC0107E">
        <w:rPr>
          <w:rFonts w:ascii="Georgia" w:hAnsi="Georgia" w:cs="Times New Roman"/>
          <w:sz w:val="24"/>
          <w:szCs w:val="24"/>
          <w:lang w:bidi="th-TH"/>
        </w:rPr>
        <w:t xml:space="preserve"> code use does not stop </w:t>
      </w:r>
      <w:r w:rsidR="00F0487F" w:rsidRPr="489FFC7A">
        <w:rPr>
          <w:rFonts w:ascii="Georgia" w:hAnsi="Georgia" w:cs="Times New Roman"/>
          <w:i/>
          <w:iCs/>
          <w:sz w:val="24"/>
          <w:szCs w:val="24"/>
          <w:lang w:bidi="th-TH"/>
        </w:rPr>
        <w:t>stealth gerrymandering</w:t>
      </w:r>
      <w:r w:rsidR="00F0487F" w:rsidRPr="1BC0107E">
        <w:rPr>
          <w:rFonts w:ascii="Georgia" w:hAnsi="Georgia" w:cs="Times New Roman"/>
          <w:sz w:val="24"/>
          <w:szCs w:val="24"/>
          <w:lang w:bidi="th-TH"/>
        </w:rPr>
        <w:t xml:space="preserve">, applies to </w:t>
      </w:r>
      <w:r w:rsidR="00717B84" w:rsidRPr="1BC0107E">
        <w:rPr>
          <w:rFonts w:ascii="Georgia" w:hAnsi="Georgia" w:cs="Times New Roman"/>
          <w:sz w:val="24"/>
          <w:szCs w:val="24"/>
          <w:lang w:bidi="th-TH"/>
        </w:rPr>
        <w:t xml:space="preserve">virtually all </w:t>
      </w:r>
      <w:r w:rsidR="00F0487F" w:rsidRPr="1BC0107E">
        <w:rPr>
          <w:rFonts w:ascii="Georgia" w:hAnsi="Georgia" w:cs="Times New Roman"/>
          <w:sz w:val="24"/>
          <w:szCs w:val="24"/>
          <w:lang w:bidi="th-TH"/>
        </w:rPr>
        <w:t>other kinds of constraints as well.</w:t>
      </w:r>
      <w:r w:rsidR="00F0487F" w:rsidRPr="00F0487F">
        <w:rPr>
          <w:rFonts w:ascii="Georgia" w:hAnsi="Georgia" w:cs="Times New Roman"/>
          <w:b/>
          <w:bCs/>
          <w:sz w:val="24"/>
          <w:szCs w:val="24"/>
          <w:lang w:bidi="th-TH"/>
        </w:rPr>
        <w:t xml:space="preserve"> </w:t>
      </w:r>
      <w:r w:rsidR="00F0487F" w:rsidRPr="1BC0107E">
        <w:rPr>
          <w:rFonts w:ascii="Georgia" w:hAnsi="Georgia" w:cs="Times New Roman"/>
          <w:sz w:val="24"/>
          <w:szCs w:val="24"/>
          <w:lang w:bidi="th-TH"/>
        </w:rPr>
        <w:t xml:space="preserve">We also agree with Curiel and Steelman (2020) that the criticism in </w:t>
      </w:r>
      <w:proofErr w:type="spellStart"/>
      <w:r w:rsidR="00F0487F" w:rsidRPr="1BC0107E">
        <w:rPr>
          <w:rFonts w:ascii="Georgia" w:hAnsi="Georgia" w:cs="Times New Roman"/>
          <w:sz w:val="24"/>
          <w:szCs w:val="24"/>
          <w:lang w:bidi="th-TH"/>
        </w:rPr>
        <w:t>Grofman</w:t>
      </w:r>
      <w:proofErr w:type="spellEnd"/>
      <w:r w:rsidR="00F0487F" w:rsidRPr="1BC0107E">
        <w:rPr>
          <w:rFonts w:ascii="Georgia" w:hAnsi="Georgia" w:cs="Times New Roman"/>
          <w:sz w:val="24"/>
          <w:szCs w:val="24"/>
          <w:lang w:bidi="th-TH"/>
        </w:rPr>
        <w:t xml:space="preserve"> (2019) that using </w:t>
      </w:r>
      <w:r w:rsidR="00453D8A">
        <w:rPr>
          <w:rFonts w:ascii="Georgia" w:hAnsi="Georgia" w:cs="Times New Roman"/>
          <w:sz w:val="24"/>
          <w:szCs w:val="24"/>
          <w:lang w:bidi="th-TH"/>
        </w:rPr>
        <w:t>ZIP</w:t>
      </w:r>
      <w:r w:rsidR="00F0487F" w:rsidRPr="1BC0107E">
        <w:rPr>
          <w:rFonts w:ascii="Georgia" w:hAnsi="Georgia" w:cs="Times New Roman"/>
          <w:sz w:val="24"/>
          <w:szCs w:val="24"/>
          <w:lang w:bidi="th-TH"/>
        </w:rPr>
        <w:t xml:space="preserve"> codes for redistricting necessarily involves state-wide analyses was misguided</w:t>
      </w:r>
      <w:r w:rsidR="00F0487F">
        <w:rPr>
          <w:rFonts w:ascii="Georgia" w:hAnsi="Georgia" w:cs="Times New Roman"/>
          <w:sz w:val="24"/>
          <w:szCs w:val="24"/>
          <w:lang w:bidi="th-TH"/>
        </w:rPr>
        <w:t xml:space="preserve">; </w:t>
      </w:r>
      <w:r w:rsidR="00F0487F" w:rsidRPr="1BC0107E">
        <w:rPr>
          <w:rFonts w:ascii="Georgia" w:hAnsi="Georgia" w:cs="Times New Roman"/>
          <w:sz w:val="24"/>
          <w:szCs w:val="24"/>
          <w:lang w:bidi="th-TH"/>
        </w:rPr>
        <w:t>unnecessary</w:t>
      </w:r>
      <w:r w:rsidR="00F0487F">
        <w:rPr>
          <w:rFonts w:ascii="Georgia" w:hAnsi="Georgia" w:cs="Times New Roman"/>
          <w:sz w:val="24"/>
          <w:szCs w:val="24"/>
          <w:lang w:bidi="th-TH"/>
        </w:rPr>
        <w:t xml:space="preserve"> </w:t>
      </w:r>
      <w:r w:rsidR="00F0487F" w:rsidRPr="1BC0107E">
        <w:rPr>
          <w:rFonts w:ascii="Georgia" w:hAnsi="Georgia" w:cs="Times New Roman"/>
          <w:sz w:val="24"/>
          <w:szCs w:val="24"/>
          <w:lang w:bidi="th-TH"/>
        </w:rPr>
        <w:t xml:space="preserve">splitting of </w:t>
      </w:r>
      <w:r w:rsidR="00453D8A">
        <w:rPr>
          <w:rFonts w:ascii="Georgia" w:hAnsi="Georgia" w:cs="Times New Roman"/>
          <w:sz w:val="24"/>
          <w:szCs w:val="24"/>
          <w:lang w:bidi="th-TH"/>
        </w:rPr>
        <w:t>ZIP</w:t>
      </w:r>
      <w:r w:rsidR="00F0487F" w:rsidRPr="1BC0107E">
        <w:rPr>
          <w:rFonts w:ascii="Georgia" w:hAnsi="Georgia" w:cs="Times New Roman"/>
          <w:sz w:val="24"/>
          <w:szCs w:val="24"/>
          <w:lang w:bidi="th-TH"/>
        </w:rPr>
        <w:t xml:space="preserve"> codes can also be examined within any given district.</w:t>
      </w:r>
      <w:r w:rsidR="00F0487F" w:rsidRPr="1BC0107E">
        <w:rPr>
          <w:rStyle w:val="FootnoteReference"/>
          <w:rFonts w:ascii="Georgia" w:hAnsi="Georgia" w:cs="Times New Roman"/>
          <w:sz w:val="24"/>
          <w:szCs w:val="24"/>
          <w:lang w:bidi="th-TH"/>
        </w:rPr>
        <w:footnoteReference w:id="5"/>
      </w:r>
      <w:r w:rsidR="00F0487F" w:rsidRPr="5037D466">
        <w:rPr>
          <w:rFonts w:ascii="Georgia" w:hAnsi="Georgia" w:cs="Times New Roman"/>
          <w:sz w:val="24"/>
          <w:szCs w:val="24"/>
          <w:lang w:bidi="th-TH"/>
        </w:rPr>
        <w:t xml:space="preserve"> </w:t>
      </w:r>
    </w:p>
    <w:p w14:paraId="398B26F4" w14:textId="36ADD07E" w:rsidR="00384E81" w:rsidRPr="00453D8A" w:rsidRDefault="00F0487F" w:rsidP="1E9CA6D6">
      <w:pPr>
        <w:autoSpaceDE w:val="0"/>
        <w:autoSpaceDN w:val="0"/>
        <w:adjustRightInd w:val="0"/>
        <w:spacing w:after="0" w:line="360" w:lineRule="auto"/>
        <w:ind w:firstLine="720"/>
        <w:jc w:val="both"/>
        <w:rPr>
          <w:rFonts w:ascii="Georgia" w:hAnsi="Georgia" w:cs="Times New Roman"/>
          <w:sz w:val="24"/>
          <w:szCs w:val="24"/>
        </w:rPr>
      </w:pPr>
      <w:r>
        <w:rPr>
          <w:rFonts w:ascii="Georgia" w:hAnsi="Georgia" w:cs="Times New Roman"/>
          <w:sz w:val="24"/>
          <w:szCs w:val="24"/>
          <w:lang w:bidi="th-TH"/>
        </w:rPr>
        <w:t xml:space="preserve"> </w:t>
      </w:r>
      <w:r w:rsidR="001F6FB7" w:rsidRPr="00D90839">
        <w:rPr>
          <w:rFonts w:ascii="Georgia" w:hAnsi="Georgia" w:cs="Times New Roman"/>
          <w:sz w:val="24"/>
          <w:szCs w:val="24"/>
          <w:lang w:bidi="th-TH"/>
        </w:rPr>
        <w:t xml:space="preserve">And we </w:t>
      </w:r>
      <w:r w:rsidRPr="1BC0107E">
        <w:rPr>
          <w:rFonts w:ascii="Georgia" w:hAnsi="Georgia" w:cs="Times New Roman"/>
          <w:sz w:val="24"/>
          <w:szCs w:val="24"/>
          <w:lang w:bidi="th-TH"/>
        </w:rPr>
        <w:t>certainly agree with</w:t>
      </w:r>
      <w:r w:rsidR="001F6FB7" w:rsidRPr="00D90839">
        <w:rPr>
          <w:rFonts w:ascii="Georgia" w:hAnsi="Georgia" w:cs="Times New Roman"/>
          <w:sz w:val="24"/>
          <w:szCs w:val="24"/>
          <w:lang w:bidi="th-TH"/>
        </w:rPr>
        <w:t xml:space="preserve"> the point emphasized by Curiel and Steelman (2020) that it is desirable that voters </w:t>
      </w:r>
      <w:r w:rsidR="00D47BE7" w:rsidRPr="00D90839">
        <w:rPr>
          <w:rFonts w:ascii="Georgia" w:hAnsi="Georgia" w:cs="Times New Roman"/>
          <w:sz w:val="24"/>
          <w:szCs w:val="24"/>
          <w:lang w:bidi="th-TH"/>
        </w:rPr>
        <w:t xml:space="preserve">(as well as legislators) </w:t>
      </w:r>
      <w:r w:rsidR="001F6FB7" w:rsidRPr="00D90839">
        <w:rPr>
          <w:rFonts w:ascii="Georgia" w:hAnsi="Georgia" w:cs="Times New Roman"/>
          <w:sz w:val="24"/>
          <w:szCs w:val="24"/>
          <w:lang w:bidi="th-TH"/>
        </w:rPr>
        <w:t>be able to identify the boundaries of the constituencies in which they find themselves</w:t>
      </w:r>
      <w:r w:rsidR="00D47BE7" w:rsidRPr="00D90839">
        <w:rPr>
          <w:rFonts w:ascii="Georgia" w:hAnsi="Georgia" w:cs="Times New Roman"/>
          <w:sz w:val="24"/>
          <w:szCs w:val="24"/>
          <w:lang w:bidi="th-TH"/>
        </w:rPr>
        <w:t>.</w:t>
      </w:r>
      <w:r w:rsidR="00D90839" w:rsidRPr="00D90839">
        <w:rPr>
          <w:rStyle w:val="FootnoteReference"/>
          <w:rFonts w:ascii="Georgia" w:hAnsi="Georgia" w:cs="Times New Roman"/>
          <w:sz w:val="24"/>
          <w:szCs w:val="24"/>
          <w:lang w:bidi="th-TH"/>
        </w:rPr>
        <w:footnoteReference w:id="6"/>
      </w:r>
      <w:r w:rsidR="00D47BE7" w:rsidRPr="00D90839">
        <w:rPr>
          <w:rFonts w:ascii="Georgia" w:hAnsi="Georgia" w:cs="Times New Roman"/>
          <w:sz w:val="24"/>
          <w:szCs w:val="24"/>
          <w:lang w:bidi="th-TH"/>
        </w:rPr>
        <w:t xml:space="preserve"> </w:t>
      </w:r>
      <w:r w:rsidR="001F6FB7" w:rsidRPr="00D90839">
        <w:rPr>
          <w:rFonts w:ascii="Georgia" w:hAnsi="Georgia" w:cs="Times New Roman"/>
          <w:sz w:val="24"/>
          <w:szCs w:val="24"/>
          <w:lang w:bidi="th-TH"/>
        </w:rPr>
        <w:t xml:space="preserve">Indeed, this is a point with which </w:t>
      </w:r>
      <w:r w:rsidR="00D47BE7" w:rsidRPr="00D90839">
        <w:rPr>
          <w:rFonts w:ascii="Georgia" w:hAnsi="Georgia" w:cs="Times New Roman"/>
          <w:sz w:val="24"/>
          <w:szCs w:val="24"/>
          <w:lang w:bidi="th-TH"/>
        </w:rPr>
        <w:t>one of</w:t>
      </w:r>
      <w:r w:rsidR="5EC86FFB" w:rsidRPr="00D90839">
        <w:rPr>
          <w:rFonts w:ascii="Georgia" w:hAnsi="Georgia" w:cs="Times New Roman"/>
          <w:sz w:val="24"/>
          <w:szCs w:val="24"/>
          <w:lang w:bidi="th-TH"/>
        </w:rPr>
        <w:t xml:space="preserve"> </w:t>
      </w:r>
      <w:r w:rsidR="5EC86FFB" w:rsidRPr="00445201">
        <w:rPr>
          <w:rFonts w:ascii="Georgia" w:hAnsi="Georgia" w:cs="Times New Roman"/>
          <w:sz w:val="24"/>
          <w:szCs w:val="24"/>
          <w:lang w:bidi="th-TH"/>
        </w:rPr>
        <w:t>us</w:t>
      </w:r>
      <w:r w:rsidR="00D47BE7" w:rsidRPr="00D90839">
        <w:rPr>
          <w:rFonts w:ascii="Georgia" w:hAnsi="Georgia" w:cs="Times New Roman"/>
          <w:sz w:val="24"/>
          <w:szCs w:val="24"/>
          <w:lang w:bidi="th-TH"/>
        </w:rPr>
        <w:t xml:space="preserve"> has long </w:t>
      </w:r>
      <w:r w:rsidR="6385A992" w:rsidRPr="00E46F46">
        <w:rPr>
          <w:rFonts w:ascii="Georgia" w:hAnsi="Georgia" w:cs="Times New Roman"/>
          <w:sz w:val="24"/>
          <w:szCs w:val="24"/>
          <w:lang w:bidi="th-TH"/>
        </w:rPr>
        <w:t>agreed</w:t>
      </w:r>
      <w:r w:rsidR="00D47BE7" w:rsidRPr="00E46F46">
        <w:rPr>
          <w:rFonts w:ascii="Georgia" w:hAnsi="Georgia" w:cs="Times New Roman"/>
          <w:sz w:val="24"/>
          <w:szCs w:val="24"/>
          <w:lang w:bidi="th-TH"/>
        </w:rPr>
        <w:t>.</w:t>
      </w:r>
      <w:r w:rsidR="001F6FB7" w:rsidRPr="00D90839">
        <w:rPr>
          <w:rFonts w:ascii="Georgia" w:hAnsi="Georgia" w:cs="Times New Roman"/>
          <w:sz w:val="24"/>
          <w:szCs w:val="24"/>
          <w:lang w:bidi="th-TH"/>
        </w:rPr>
        <w:t xml:space="preserve"> </w:t>
      </w:r>
      <w:proofErr w:type="spellStart"/>
      <w:r w:rsidR="00D47BE7" w:rsidRPr="00D90839">
        <w:rPr>
          <w:rFonts w:ascii="Georgia" w:hAnsi="Georgia" w:cs="Times New Roman"/>
          <w:sz w:val="24"/>
          <w:szCs w:val="24"/>
          <w:lang w:bidi="th-TH"/>
        </w:rPr>
        <w:t>Grofman</w:t>
      </w:r>
      <w:proofErr w:type="spellEnd"/>
      <w:r w:rsidR="00D47BE7" w:rsidRPr="00D90839">
        <w:rPr>
          <w:rFonts w:ascii="Georgia" w:hAnsi="Georgia" w:cs="Times New Roman"/>
          <w:sz w:val="24"/>
          <w:szCs w:val="24"/>
          <w:lang w:bidi="th-TH"/>
        </w:rPr>
        <w:t xml:space="preserve"> (1992), in his declaration in</w:t>
      </w:r>
      <w:r w:rsidR="00D559A9">
        <w:rPr>
          <w:rFonts w:ascii="Georgia" w:hAnsi="Georgia" w:cs="Times New Roman"/>
          <w:sz w:val="24"/>
          <w:szCs w:val="24"/>
          <w:lang w:bidi="th-TH"/>
        </w:rPr>
        <w:t xml:space="preserve"> </w:t>
      </w:r>
      <w:r w:rsidR="00D47BE7" w:rsidRPr="00D90839">
        <w:rPr>
          <w:rFonts w:ascii="Georgia" w:hAnsi="Georgia" w:cs="Times New Roman"/>
          <w:sz w:val="24"/>
          <w:szCs w:val="24"/>
          <w:lang w:bidi="th-TH"/>
        </w:rPr>
        <w:t>a pre</w:t>
      </w:r>
      <w:r w:rsidR="00D90839" w:rsidRPr="00D90839">
        <w:rPr>
          <w:rFonts w:ascii="Georgia" w:hAnsi="Georgia" w:cs="Times New Roman"/>
          <w:sz w:val="24"/>
          <w:szCs w:val="24"/>
          <w:lang w:bidi="th-TH"/>
        </w:rPr>
        <w:t>-</w:t>
      </w:r>
      <w:r w:rsidR="00D47BE7" w:rsidRPr="489FFC7A">
        <w:rPr>
          <w:rFonts w:ascii="Georgia" w:hAnsi="Georgia" w:cs="Times New Roman"/>
          <w:i/>
          <w:iCs/>
          <w:sz w:val="24"/>
          <w:szCs w:val="24"/>
          <w:lang w:bidi="th-TH"/>
        </w:rPr>
        <w:t>Shaw v. Reno</w:t>
      </w:r>
      <w:r w:rsidR="00D559A9" w:rsidRPr="489FFC7A">
        <w:rPr>
          <w:rFonts w:ascii="Georgia" w:hAnsi="Georgia" w:cs="Times New Roman"/>
          <w:i/>
          <w:iCs/>
          <w:sz w:val="24"/>
          <w:szCs w:val="24"/>
          <w:lang w:bidi="th-TH"/>
        </w:rPr>
        <w:t xml:space="preserve"> </w:t>
      </w:r>
      <w:r w:rsidR="00D47BE7" w:rsidRPr="00D90839">
        <w:rPr>
          <w:rFonts w:ascii="Georgia" w:hAnsi="Georgia" w:cs="Times New Roman"/>
          <w:sz w:val="24"/>
          <w:szCs w:val="24"/>
          <w:lang w:bidi="th-TH"/>
        </w:rPr>
        <w:t>case</w:t>
      </w:r>
      <w:r w:rsidR="00D47BE7" w:rsidRPr="489FFC7A">
        <w:rPr>
          <w:rFonts w:ascii="Georgia" w:hAnsi="Georgia" w:cs="Times New Roman"/>
          <w:i/>
          <w:iCs/>
          <w:sz w:val="24"/>
          <w:szCs w:val="24"/>
          <w:lang w:bidi="th-TH"/>
        </w:rPr>
        <w:t>,</w:t>
      </w:r>
      <w:r w:rsidR="00D47BE7" w:rsidRPr="00D90839">
        <w:rPr>
          <w:rFonts w:ascii="Georgia" w:hAnsi="Georgia" w:cs="Times New Roman"/>
          <w:sz w:val="24"/>
          <w:szCs w:val="24"/>
          <w:lang w:bidi="th-TH"/>
        </w:rPr>
        <w:t xml:space="preserve"> </w:t>
      </w:r>
      <w:r w:rsidR="00D47BE7" w:rsidRPr="489FFC7A">
        <w:rPr>
          <w:rFonts w:ascii="Georgia" w:hAnsi="Georgia" w:cs="Times New Roman"/>
          <w:i/>
          <w:iCs/>
          <w:sz w:val="24"/>
          <w:szCs w:val="24"/>
          <w:lang w:bidi="th-TH"/>
        </w:rPr>
        <w:t>Pope v. Blue</w:t>
      </w:r>
      <w:r w:rsidR="00D47BE7" w:rsidRPr="1BC0107E">
        <w:rPr>
          <w:rFonts w:ascii="Georgia" w:hAnsi="Georgia" w:cs="Times New Roman"/>
          <w:sz w:val="24"/>
          <w:szCs w:val="24"/>
          <w:lang w:bidi="th-TH"/>
        </w:rPr>
        <w:t xml:space="preserve">, </w:t>
      </w:r>
      <w:r w:rsidR="00D90839" w:rsidRPr="00D90839">
        <w:rPr>
          <w:rFonts w:ascii="Georgia" w:hAnsi="Georgia" w:cs="Times New Roman"/>
          <w:color w:val="1A1A1A"/>
          <w:sz w:val="24"/>
          <w:szCs w:val="24"/>
        </w:rPr>
        <w:t>809 F. Supp. 392 (W.D.N.C. 1992)</w:t>
      </w:r>
      <w:r w:rsidR="00D90839">
        <w:rPr>
          <w:rFonts w:ascii="Georgia" w:hAnsi="Georgia" w:cs="Times New Roman"/>
          <w:color w:val="1A1A1A"/>
          <w:sz w:val="24"/>
          <w:szCs w:val="24"/>
        </w:rPr>
        <w:t xml:space="preserve"> </w:t>
      </w:r>
      <w:r w:rsidR="00D47BE7">
        <w:rPr>
          <w:rFonts w:ascii="Georgia" w:hAnsi="Georgia"/>
          <w:sz w:val="24"/>
          <w:szCs w:val="24"/>
          <w:lang w:bidi="th-TH"/>
        </w:rPr>
        <w:t>that challenged North Carolina’s congressional district</w:t>
      </w:r>
      <w:r w:rsidR="00B76756">
        <w:rPr>
          <w:rFonts w:ascii="Georgia" w:hAnsi="Georgia"/>
          <w:sz w:val="24"/>
          <w:szCs w:val="24"/>
          <w:lang w:bidi="th-TH"/>
        </w:rPr>
        <w:t>ing</w:t>
      </w:r>
      <w:r w:rsidR="00D47BE7">
        <w:rPr>
          <w:rFonts w:ascii="Georgia" w:hAnsi="Georgia"/>
          <w:sz w:val="24"/>
          <w:szCs w:val="24"/>
          <w:lang w:bidi="th-TH"/>
        </w:rPr>
        <w:t xml:space="preserve"> on political rather than racial grounds</w:t>
      </w:r>
      <w:r w:rsidR="00B76756">
        <w:rPr>
          <w:rFonts w:ascii="Georgia" w:hAnsi="Georgia"/>
          <w:sz w:val="24"/>
          <w:szCs w:val="24"/>
          <w:lang w:bidi="th-TH"/>
        </w:rPr>
        <w:t>,</w:t>
      </w:r>
      <w:r w:rsidR="00D47BE7">
        <w:rPr>
          <w:rFonts w:ascii="Georgia" w:hAnsi="Georgia"/>
          <w:sz w:val="24"/>
          <w:szCs w:val="24"/>
          <w:lang w:bidi="th-TH"/>
        </w:rPr>
        <w:t xml:space="preserve"> proposed that </w:t>
      </w:r>
      <w:r w:rsidR="0056499B">
        <w:rPr>
          <w:rFonts w:ascii="Georgia" w:hAnsi="Georgia"/>
          <w:sz w:val="24"/>
          <w:szCs w:val="24"/>
          <w:lang w:bidi="th-TH"/>
        </w:rPr>
        <w:t xml:space="preserve">the </w:t>
      </w:r>
      <w:r w:rsidR="00B76756">
        <w:rPr>
          <w:rFonts w:ascii="Georgia" w:hAnsi="Georgia"/>
          <w:sz w:val="24"/>
          <w:szCs w:val="24"/>
          <w:lang w:bidi="th-TH"/>
        </w:rPr>
        <w:t>infamous 12</w:t>
      </w:r>
      <w:r w:rsidR="00B76756" w:rsidRPr="00D47BE7">
        <w:rPr>
          <w:rFonts w:ascii="Georgia" w:hAnsi="Georgia"/>
          <w:sz w:val="24"/>
          <w:szCs w:val="24"/>
          <w:vertAlign w:val="superscript"/>
          <w:lang w:bidi="th-TH"/>
        </w:rPr>
        <w:t>th</w:t>
      </w:r>
      <w:r w:rsidR="00D559A9">
        <w:rPr>
          <w:rFonts w:ascii="Georgia" w:hAnsi="Georgia"/>
          <w:sz w:val="24"/>
          <w:szCs w:val="24"/>
          <w:vertAlign w:val="superscript"/>
          <w:lang w:bidi="th-TH"/>
        </w:rPr>
        <w:t xml:space="preserve"> </w:t>
      </w:r>
      <w:r w:rsidR="00B76756">
        <w:rPr>
          <w:rFonts w:ascii="Georgia" w:hAnsi="Georgia"/>
          <w:sz w:val="24"/>
          <w:szCs w:val="24"/>
          <w:lang w:bidi="th-TH"/>
        </w:rPr>
        <w:t>congressional district in North Carolina</w:t>
      </w:r>
      <w:r w:rsidR="00D559A9">
        <w:rPr>
          <w:rFonts w:ascii="Georgia" w:hAnsi="Georgia"/>
          <w:sz w:val="24"/>
          <w:szCs w:val="24"/>
          <w:lang w:bidi="th-TH"/>
        </w:rPr>
        <w:t xml:space="preserve"> </w:t>
      </w:r>
      <w:r w:rsidR="00D47BE7">
        <w:rPr>
          <w:rFonts w:ascii="Georgia" w:hAnsi="Georgia"/>
          <w:sz w:val="24"/>
          <w:szCs w:val="24"/>
          <w:lang w:bidi="th-TH"/>
        </w:rPr>
        <w:t>should be struck down as</w:t>
      </w:r>
      <w:r w:rsidR="00D559A9">
        <w:rPr>
          <w:rFonts w:ascii="Georgia" w:hAnsi="Georgia"/>
          <w:sz w:val="24"/>
          <w:szCs w:val="24"/>
          <w:lang w:bidi="th-TH"/>
        </w:rPr>
        <w:t xml:space="preserve"> </w:t>
      </w:r>
      <w:r w:rsidR="00D47BE7" w:rsidRPr="489FFC7A">
        <w:rPr>
          <w:rFonts w:ascii="Georgia" w:hAnsi="Georgia"/>
          <w:i/>
          <w:iCs/>
          <w:sz w:val="24"/>
          <w:szCs w:val="24"/>
          <w:lang w:bidi="th-TH"/>
        </w:rPr>
        <w:t>non</w:t>
      </w:r>
      <w:r w:rsidR="00EE28D1" w:rsidRPr="489FFC7A">
        <w:rPr>
          <w:rFonts w:ascii="Georgia" w:hAnsi="Georgia"/>
          <w:i/>
          <w:iCs/>
          <w:sz w:val="24"/>
          <w:szCs w:val="24"/>
          <w:lang w:bidi="th-TH"/>
        </w:rPr>
        <w:t>-</w:t>
      </w:r>
      <w:r w:rsidR="00D47BE7" w:rsidRPr="489FFC7A">
        <w:rPr>
          <w:rFonts w:ascii="Georgia" w:hAnsi="Georgia"/>
          <w:i/>
          <w:iCs/>
          <w:sz w:val="24"/>
          <w:szCs w:val="24"/>
          <w:lang w:bidi="th-TH"/>
        </w:rPr>
        <w:t>cognizable</w:t>
      </w:r>
      <w:r w:rsidR="00D47BE7">
        <w:rPr>
          <w:rFonts w:ascii="Georgia" w:hAnsi="Georgia"/>
          <w:sz w:val="24"/>
          <w:szCs w:val="24"/>
          <w:lang w:bidi="th-TH"/>
        </w:rPr>
        <w:t>.</w:t>
      </w:r>
      <w:r w:rsidR="00B76756">
        <w:rPr>
          <w:rStyle w:val="FootnoteReference"/>
          <w:rFonts w:ascii="Georgia" w:hAnsi="Georgia"/>
          <w:sz w:val="24"/>
          <w:szCs w:val="24"/>
          <w:lang w:bidi="th-TH"/>
        </w:rPr>
        <w:footnoteReference w:id="7"/>
      </w:r>
      <w:r w:rsidR="00D47BE7">
        <w:rPr>
          <w:rFonts w:ascii="Georgia" w:hAnsi="Georgia"/>
          <w:sz w:val="24"/>
          <w:szCs w:val="24"/>
          <w:lang w:bidi="th-TH"/>
        </w:rPr>
        <w:t xml:space="preserve"> This term he defined as applying to a district which was so peculiarly configured that voters would be unable to figure out its boundaries</w:t>
      </w:r>
      <w:r w:rsidR="00D47BE7" w:rsidRPr="00445201">
        <w:rPr>
          <w:rFonts w:ascii="Georgia" w:hAnsi="Georgia"/>
          <w:sz w:val="24"/>
          <w:szCs w:val="24"/>
          <w:lang w:bidi="th-TH"/>
        </w:rPr>
        <w:t>.</w:t>
      </w:r>
      <w:r w:rsidR="00D47BE7" w:rsidRPr="1BC0107E">
        <w:rPr>
          <w:rFonts w:ascii="Georgia" w:hAnsi="Georgia"/>
          <w:sz w:val="24"/>
          <w:szCs w:val="24"/>
          <w:lang w:bidi="th-TH"/>
        </w:rPr>
        <w:t xml:space="preserve"> </w:t>
      </w:r>
      <w:r w:rsidR="00C23A51" w:rsidRPr="1BC0107E">
        <w:rPr>
          <w:rFonts w:ascii="Georgia" w:hAnsi="Georgia"/>
          <w:sz w:val="24"/>
          <w:szCs w:val="24"/>
          <w:lang w:bidi="th-TH"/>
        </w:rPr>
        <w:t>More precisely, in later work (</w:t>
      </w:r>
      <w:proofErr w:type="spellStart"/>
      <w:r w:rsidR="00C23A51" w:rsidRPr="1BC0107E">
        <w:rPr>
          <w:rFonts w:ascii="Georgia" w:hAnsi="Georgia"/>
          <w:sz w:val="24"/>
          <w:szCs w:val="24"/>
          <w:lang w:bidi="th-TH"/>
        </w:rPr>
        <w:t>Grofman</w:t>
      </w:r>
      <w:proofErr w:type="spellEnd"/>
      <w:r w:rsidR="00C23A51" w:rsidRPr="1BC0107E">
        <w:rPr>
          <w:rFonts w:ascii="Georgia" w:hAnsi="Georgia"/>
          <w:sz w:val="24"/>
          <w:szCs w:val="24"/>
          <w:lang w:bidi="th-TH"/>
        </w:rPr>
        <w:t xml:space="preserve">, 1993: 1261; quoted in Bowen, 2014) </w:t>
      </w:r>
      <w:proofErr w:type="spellStart"/>
      <w:r w:rsidR="00C23A51" w:rsidRPr="489FFC7A">
        <w:rPr>
          <w:rFonts w:ascii="Georgia" w:hAnsi="Georgia" w:cs="Times New Roman"/>
          <w:i/>
          <w:iCs/>
          <w:sz w:val="24"/>
          <w:szCs w:val="24"/>
        </w:rPr>
        <w:t>cognizability</w:t>
      </w:r>
      <w:proofErr w:type="spellEnd"/>
      <w:r w:rsidR="005167D1" w:rsidRPr="1BC0107E">
        <w:rPr>
          <w:rFonts w:ascii="Georgia" w:hAnsi="Georgia" w:cs="Times New Roman"/>
          <w:sz w:val="24"/>
          <w:szCs w:val="24"/>
        </w:rPr>
        <w:t xml:space="preserve"> is defined </w:t>
      </w:r>
      <w:r w:rsidR="00C23A51" w:rsidRPr="1BC0107E">
        <w:rPr>
          <w:rFonts w:ascii="Georgia" w:hAnsi="Georgia" w:cs="Times New Roman"/>
          <w:sz w:val="24"/>
          <w:szCs w:val="24"/>
        </w:rPr>
        <w:t>as “the ability to characterize the district boundaries in a manner that can be readily communicated to ordinary citizens of the district in commonsense terms based on geographic referents.”</w:t>
      </w:r>
      <w:r w:rsidR="00C23A51" w:rsidRPr="1BC0107E">
        <w:rPr>
          <w:rStyle w:val="FootnoteReference"/>
          <w:rFonts w:ascii="Georgia" w:hAnsi="Georgia" w:cs="Times New Roman"/>
          <w:sz w:val="24"/>
          <w:szCs w:val="24"/>
        </w:rPr>
        <w:footnoteReference w:id="8"/>
      </w:r>
      <w:r w:rsidR="005167D1" w:rsidRPr="1BC0107E">
        <w:rPr>
          <w:rFonts w:ascii="Georgia" w:hAnsi="Georgia" w:cs="Times New Roman"/>
          <w:sz w:val="24"/>
          <w:szCs w:val="24"/>
        </w:rPr>
        <w:t xml:space="preserve"> </w:t>
      </w:r>
      <w:r w:rsidR="0D67FFD1" w:rsidRPr="00E46F46">
        <w:rPr>
          <w:rFonts w:ascii="Georgia" w:hAnsi="Georgia" w:cs="Times New Roman"/>
          <w:sz w:val="24"/>
          <w:szCs w:val="24"/>
        </w:rPr>
        <w:t xml:space="preserve">A clear operational test for </w:t>
      </w:r>
      <w:proofErr w:type="spellStart"/>
      <w:r w:rsidR="0D67FFD1" w:rsidRPr="489FFC7A">
        <w:rPr>
          <w:rFonts w:ascii="Georgia" w:hAnsi="Georgia" w:cs="Times New Roman"/>
          <w:i/>
          <w:iCs/>
          <w:sz w:val="24"/>
          <w:szCs w:val="24"/>
        </w:rPr>
        <w:t>c</w:t>
      </w:r>
      <w:r w:rsidR="573CA539" w:rsidRPr="489FFC7A">
        <w:rPr>
          <w:rFonts w:ascii="Georgia" w:hAnsi="Georgia" w:cs="Times New Roman"/>
          <w:i/>
          <w:iCs/>
          <w:sz w:val="24"/>
          <w:szCs w:val="24"/>
        </w:rPr>
        <w:t>ognizability</w:t>
      </w:r>
      <w:proofErr w:type="spellEnd"/>
      <w:r w:rsidR="573CA539" w:rsidRPr="489FFC7A">
        <w:rPr>
          <w:rFonts w:ascii="Georgia" w:hAnsi="Georgia" w:cs="Times New Roman"/>
          <w:i/>
          <w:iCs/>
          <w:sz w:val="24"/>
          <w:szCs w:val="24"/>
        </w:rPr>
        <w:t xml:space="preserve"> </w:t>
      </w:r>
      <w:r w:rsidR="573CA539" w:rsidRPr="00E46F46">
        <w:rPr>
          <w:rFonts w:ascii="Georgia" w:hAnsi="Georgia" w:cs="Times New Roman"/>
          <w:sz w:val="24"/>
          <w:szCs w:val="24"/>
        </w:rPr>
        <w:t>has yet to</w:t>
      </w:r>
      <w:r w:rsidR="74B8EFC8" w:rsidRPr="00E46F46">
        <w:rPr>
          <w:rFonts w:ascii="Georgia" w:hAnsi="Georgia" w:cs="Times New Roman"/>
          <w:sz w:val="24"/>
          <w:szCs w:val="24"/>
        </w:rPr>
        <w:t xml:space="preserve"> be developed</w:t>
      </w:r>
      <w:r w:rsidR="573CA539" w:rsidRPr="00E46F46">
        <w:rPr>
          <w:rFonts w:ascii="Georgia" w:hAnsi="Georgia" w:cs="Times New Roman"/>
          <w:sz w:val="24"/>
          <w:szCs w:val="24"/>
        </w:rPr>
        <w:t xml:space="preserve"> </w:t>
      </w:r>
      <w:r w:rsidR="3C4018BF" w:rsidRPr="00E46F46">
        <w:rPr>
          <w:rFonts w:ascii="Georgia" w:hAnsi="Georgia" w:cs="Times New Roman"/>
          <w:sz w:val="24"/>
          <w:szCs w:val="24"/>
        </w:rPr>
        <w:t>and u</w:t>
      </w:r>
      <w:r w:rsidR="00D47BE7">
        <w:rPr>
          <w:rFonts w:ascii="Georgia" w:hAnsi="Georgia"/>
          <w:sz w:val="24"/>
          <w:szCs w:val="24"/>
          <w:lang w:bidi="th-TH"/>
        </w:rPr>
        <w:t xml:space="preserve">nfortunately, </w:t>
      </w:r>
      <w:r w:rsidR="005167D1" w:rsidRPr="1BC0107E">
        <w:rPr>
          <w:rFonts w:ascii="Georgia" w:hAnsi="Georgia"/>
          <w:sz w:val="24"/>
          <w:szCs w:val="24"/>
          <w:lang w:bidi="th-TH"/>
        </w:rPr>
        <w:t>in our view</w:t>
      </w:r>
      <w:r w:rsidR="005167D1">
        <w:rPr>
          <w:rFonts w:ascii="Georgia" w:hAnsi="Georgia"/>
          <w:sz w:val="24"/>
          <w:szCs w:val="24"/>
          <w:lang w:bidi="th-TH"/>
        </w:rPr>
        <w:t xml:space="preserve">, </w:t>
      </w:r>
      <w:r w:rsidR="00D47BE7">
        <w:rPr>
          <w:rFonts w:ascii="Georgia" w:hAnsi="Georgia"/>
          <w:sz w:val="24"/>
          <w:szCs w:val="24"/>
          <w:lang w:bidi="th-TH"/>
        </w:rPr>
        <w:t xml:space="preserve">the concept of </w:t>
      </w:r>
      <w:r w:rsidR="00D47BE7" w:rsidRPr="489FFC7A">
        <w:rPr>
          <w:rFonts w:ascii="Georgia" w:hAnsi="Georgia"/>
          <w:i/>
          <w:iCs/>
          <w:sz w:val="24"/>
          <w:szCs w:val="24"/>
          <w:lang w:bidi="th-TH"/>
        </w:rPr>
        <w:t>non</w:t>
      </w:r>
      <w:r w:rsidR="00EE28D1" w:rsidRPr="489FFC7A">
        <w:rPr>
          <w:rFonts w:ascii="Georgia" w:hAnsi="Georgia"/>
          <w:i/>
          <w:iCs/>
          <w:sz w:val="24"/>
          <w:szCs w:val="24"/>
          <w:lang w:bidi="th-TH"/>
        </w:rPr>
        <w:t>-</w:t>
      </w:r>
      <w:proofErr w:type="spellStart"/>
      <w:r w:rsidR="00D47BE7" w:rsidRPr="489FFC7A">
        <w:rPr>
          <w:rFonts w:ascii="Georgia" w:hAnsi="Georgia"/>
          <w:i/>
          <w:iCs/>
          <w:sz w:val="24"/>
          <w:szCs w:val="24"/>
          <w:lang w:bidi="th-TH"/>
        </w:rPr>
        <w:t>cognizability</w:t>
      </w:r>
      <w:proofErr w:type="spellEnd"/>
      <w:r w:rsidR="00D47BE7">
        <w:rPr>
          <w:rFonts w:ascii="Georgia" w:hAnsi="Georgia"/>
          <w:sz w:val="24"/>
          <w:szCs w:val="24"/>
          <w:lang w:bidi="th-TH"/>
        </w:rPr>
        <w:t xml:space="preserve"> never gained any legal traction</w:t>
      </w:r>
      <w:r w:rsidR="00B76756">
        <w:rPr>
          <w:rFonts w:ascii="Georgia" w:hAnsi="Georgia"/>
          <w:sz w:val="24"/>
          <w:szCs w:val="24"/>
          <w:lang w:bidi="th-TH"/>
        </w:rPr>
        <w:t xml:space="preserve"> in federal case law</w:t>
      </w:r>
      <w:r w:rsidR="00D47BE7">
        <w:rPr>
          <w:rFonts w:ascii="Georgia" w:hAnsi="Georgia"/>
          <w:sz w:val="24"/>
          <w:szCs w:val="24"/>
          <w:lang w:bidi="th-TH"/>
        </w:rPr>
        <w:t>.</w:t>
      </w:r>
      <w:r w:rsidR="00D90839">
        <w:rPr>
          <w:rStyle w:val="FootnoteReference"/>
          <w:rFonts w:ascii="Georgia" w:hAnsi="Georgia"/>
          <w:sz w:val="24"/>
          <w:szCs w:val="24"/>
          <w:lang w:bidi="th-TH"/>
        </w:rPr>
        <w:footnoteReference w:id="9"/>
      </w:r>
      <w:r w:rsidR="00453D8A">
        <w:rPr>
          <w:rFonts w:ascii="Georgia" w:hAnsi="Georgia"/>
          <w:sz w:val="24"/>
          <w:szCs w:val="24"/>
          <w:lang w:bidi="th-TH"/>
        </w:rPr>
        <w:t xml:space="preserve"> But is not clear that ZIP codes </w:t>
      </w:r>
      <w:r w:rsidRPr="17D1ED95">
        <w:rPr>
          <w:rFonts w:ascii="Georgia" w:hAnsi="Georgia"/>
          <w:sz w:val="24"/>
          <w:szCs w:val="24"/>
          <w:lang w:bidi="th-TH"/>
        </w:rPr>
        <w:t>provide</w:t>
      </w:r>
      <w:r w:rsidR="00453D8A">
        <w:rPr>
          <w:rFonts w:ascii="Georgia" w:hAnsi="Georgia"/>
          <w:sz w:val="24"/>
          <w:szCs w:val="24"/>
          <w:lang w:bidi="th-TH"/>
        </w:rPr>
        <w:t xml:space="preserve"> the best solution for </w:t>
      </w:r>
      <w:proofErr w:type="spellStart"/>
      <w:r w:rsidR="00453D8A">
        <w:rPr>
          <w:rFonts w:ascii="Georgia" w:hAnsi="Georgia"/>
          <w:sz w:val="24"/>
          <w:szCs w:val="24"/>
          <w:lang w:bidi="th-TH"/>
        </w:rPr>
        <w:t>cognizability</w:t>
      </w:r>
      <w:proofErr w:type="spellEnd"/>
      <w:r w:rsidR="00453D8A">
        <w:rPr>
          <w:rFonts w:ascii="Georgia" w:hAnsi="Georgia"/>
          <w:sz w:val="24"/>
          <w:szCs w:val="24"/>
          <w:lang w:bidi="th-TH"/>
        </w:rPr>
        <w:t>.</w:t>
      </w:r>
      <w:r w:rsidR="00453D8A">
        <w:rPr>
          <w:rFonts w:ascii="Georgia" w:hAnsi="Georgia" w:cs="Times New Roman"/>
          <w:sz w:val="24"/>
          <w:szCs w:val="24"/>
        </w:rPr>
        <w:t xml:space="preserve"> </w:t>
      </w:r>
      <w:r w:rsidR="00453D8A">
        <w:rPr>
          <w:rFonts w:ascii="Georgia" w:hAnsi="Georgia"/>
          <w:sz w:val="24"/>
          <w:szCs w:val="24"/>
          <w:lang w:bidi="th-TH"/>
        </w:rPr>
        <w:t>T</w:t>
      </w:r>
      <w:r w:rsidR="00A20CD0" w:rsidRPr="1BC0107E">
        <w:rPr>
          <w:rFonts w:ascii="Georgia" w:hAnsi="Georgia"/>
          <w:sz w:val="24"/>
          <w:szCs w:val="24"/>
          <w:lang w:bidi="th-TH"/>
        </w:rPr>
        <w:t xml:space="preserve">here are </w:t>
      </w:r>
      <w:r w:rsidR="6EF50B48" w:rsidRPr="1BC0107E">
        <w:rPr>
          <w:rFonts w:ascii="Georgia" w:hAnsi="Georgia"/>
          <w:sz w:val="24"/>
          <w:szCs w:val="24"/>
          <w:lang w:bidi="th-TH"/>
        </w:rPr>
        <w:t>several</w:t>
      </w:r>
      <w:r w:rsidR="00A20CD0" w:rsidRPr="1BC0107E">
        <w:rPr>
          <w:rFonts w:ascii="Georgia" w:hAnsi="Georgia"/>
          <w:sz w:val="24"/>
          <w:szCs w:val="24"/>
          <w:lang w:bidi="th-TH"/>
        </w:rPr>
        <w:t xml:space="preserve"> issues with respect to making </w:t>
      </w:r>
      <w:r w:rsidR="00453D8A">
        <w:rPr>
          <w:rFonts w:ascii="Georgia" w:hAnsi="Georgia"/>
          <w:sz w:val="24"/>
          <w:szCs w:val="24"/>
          <w:lang w:bidi="th-TH"/>
        </w:rPr>
        <w:t>ZIP</w:t>
      </w:r>
      <w:r w:rsidR="000F31E2" w:rsidRPr="1BC0107E">
        <w:rPr>
          <w:rFonts w:ascii="Georgia" w:hAnsi="Georgia"/>
          <w:sz w:val="24"/>
          <w:szCs w:val="24"/>
          <w:lang w:bidi="th-TH"/>
        </w:rPr>
        <w:t xml:space="preserve"> codes </w:t>
      </w:r>
      <w:r w:rsidR="00A20CD0" w:rsidRPr="1BC0107E">
        <w:rPr>
          <w:rFonts w:ascii="Georgia" w:hAnsi="Georgia"/>
          <w:sz w:val="24"/>
          <w:szCs w:val="24"/>
          <w:lang w:bidi="th-TH"/>
        </w:rPr>
        <w:t>the first resort</w:t>
      </w:r>
      <w:r w:rsidR="004712FD" w:rsidRPr="1BC0107E">
        <w:rPr>
          <w:rFonts w:ascii="Georgia" w:hAnsi="Georgia"/>
          <w:sz w:val="24"/>
          <w:szCs w:val="24"/>
          <w:lang w:bidi="th-TH"/>
        </w:rPr>
        <w:t>,</w:t>
      </w:r>
      <w:r w:rsidR="00A20CD0" w:rsidRPr="1BC0107E">
        <w:rPr>
          <w:rFonts w:ascii="Georgia" w:hAnsi="Georgia"/>
          <w:sz w:val="24"/>
          <w:szCs w:val="24"/>
          <w:lang w:bidi="th-TH"/>
        </w:rPr>
        <w:t xml:space="preserve"> </w:t>
      </w:r>
      <w:r w:rsidR="00607FCD" w:rsidRPr="1BC0107E">
        <w:rPr>
          <w:rFonts w:ascii="Georgia" w:hAnsi="Georgia"/>
          <w:sz w:val="24"/>
          <w:szCs w:val="24"/>
          <w:lang w:bidi="th-TH"/>
        </w:rPr>
        <w:t xml:space="preserve">or even a </w:t>
      </w:r>
      <w:r w:rsidR="003F78EC" w:rsidRPr="1BC0107E">
        <w:rPr>
          <w:rFonts w:ascii="Georgia" w:hAnsi="Georgia"/>
          <w:sz w:val="24"/>
          <w:szCs w:val="24"/>
          <w:lang w:bidi="th-TH"/>
        </w:rPr>
        <w:t>central</w:t>
      </w:r>
      <w:r w:rsidR="00607FCD" w:rsidRPr="1BC0107E">
        <w:rPr>
          <w:rFonts w:ascii="Georgia" w:hAnsi="Georgia"/>
          <w:sz w:val="24"/>
          <w:szCs w:val="24"/>
          <w:lang w:bidi="th-TH"/>
        </w:rPr>
        <w:t xml:space="preserve"> resort</w:t>
      </w:r>
      <w:r w:rsidR="004712FD" w:rsidRPr="1BC0107E">
        <w:rPr>
          <w:rFonts w:ascii="Georgia" w:hAnsi="Georgia"/>
          <w:sz w:val="24"/>
          <w:szCs w:val="24"/>
          <w:lang w:bidi="th-TH"/>
        </w:rPr>
        <w:t>,</w:t>
      </w:r>
      <w:r w:rsidR="00607FCD" w:rsidRPr="1BC0107E">
        <w:rPr>
          <w:rFonts w:ascii="Georgia" w:hAnsi="Georgia"/>
          <w:sz w:val="24"/>
          <w:szCs w:val="24"/>
          <w:lang w:bidi="th-TH"/>
        </w:rPr>
        <w:t xml:space="preserve"> </w:t>
      </w:r>
      <w:r w:rsidR="00A20CD0" w:rsidRPr="1BC0107E">
        <w:rPr>
          <w:rFonts w:ascii="Georgia" w:hAnsi="Georgia"/>
          <w:sz w:val="24"/>
          <w:szCs w:val="24"/>
          <w:lang w:bidi="th-TH"/>
        </w:rPr>
        <w:t xml:space="preserve">in line drawing. </w:t>
      </w:r>
    </w:p>
    <w:p w14:paraId="3ED85A40" w14:textId="4C846671" w:rsidR="00445201" w:rsidRDefault="00384E81" w:rsidP="1E9CA6D6">
      <w:pPr>
        <w:autoSpaceDE w:val="0"/>
        <w:autoSpaceDN w:val="0"/>
        <w:adjustRightInd w:val="0"/>
        <w:spacing w:after="0" w:line="360" w:lineRule="auto"/>
        <w:ind w:firstLine="720"/>
        <w:jc w:val="both"/>
        <w:rPr>
          <w:rFonts w:ascii="Georgia" w:hAnsi="Georgia" w:cs="AdvPSA88A"/>
          <w:sz w:val="24"/>
          <w:szCs w:val="24"/>
        </w:rPr>
      </w:pPr>
      <w:r w:rsidRPr="1E9CA6D6">
        <w:rPr>
          <w:rFonts w:ascii="Georgia" w:hAnsi="Georgia"/>
          <w:sz w:val="24"/>
          <w:szCs w:val="24"/>
          <w:lang w:bidi="th-TH"/>
        </w:rPr>
        <w:t xml:space="preserve">First, and most importantly, Curiel and Steelman (2020) make </w:t>
      </w:r>
      <w:r w:rsidR="155B2DE9" w:rsidRPr="1E9CA6D6">
        <w:rPr>
          <w:rFonts w:ascii="Georgia" w:hAnsi="Georgia"/>
          <w:sz w:val="24"/>
          <w:szCs w:val="24"/>
          <w:lang w:bidi="th-TH"/>
        </w:rPr>
        <w:t>a few</w:t>
      </w:r>
      <w:r w:rsidRPr="1E9CA6D6">
        <w:rPr>
          <w:rFonts w:ascii="Georgia" w:hAnsi="Georgia"/>
          <w:sz w:val="24"/>
          <w:szCs w:val="24"/>
          <w:lang w:bidi="th-TH"/>
        </w:rPr>
        <w:t xml:space="preserve"> quite </w:t>
      </w:r>
      <w:r w:rsidR="008C3647" w:rsidRPr="1E9CA6D6">
        <w:rPr>
          <w:rFonts w:ascii="Georgia" w:hAnsi="Georgia"/>
          <w:sz w:val="24"/>
          <w:szCs w:val="24"/>
          <w:lang w:bidi="th-TH"/>
        </w:rPr>
        <w:t xml:space="preserve">strong </w:t>
      </w:r>
      <w:r w:rsidRPr="1E9CA6D6">
        <w:rPr>
          <w:rFonts w:ascii="Georgia" w:hAnsi="Georgia"/>
          <w:sz w:val="24"/>
          <w:szCs w:val="24"/>
          <w:lang w:bidi="th-TH"/>
        </w:rPr>
        <w:t xml:space="preserve">claims for </w:t>
      </w:r>
      <w:r w:rsidR="00453D8A" w:rsidRPr="1E9CA6D6">
        <w:rPr>
          <w:rFonts w:ascii="Georgia" w:hAnsi="Georgia"/>
          <w:sz w:val="24"/>
          <w:szCs w:val="24"/>
          <w:lang w:bidi="th-TH"/>
        </w:rPr>
        <w:t>ZIP</w:t>
      </w:r>
      <w:r w:rsidRPr="1E9CA6D6">
        <w:rPr>
          <w:rFonts w:ascii="Georgia" w:hAnsi="Georgia"/>
          <w:sz w:val="24"/>
          <w:szCs w:val="24"/>
          <w:lang w:bidi="th-TH"/>
        </w:rPr>
        <w:t xml:space="preserve"> codes. They assert, for example, that: “</w:t>
      </w:r>
      <w:r w:rsidR="00453D8A" w:rsidRPr="1E9CA6D6">
        <w:rPr>
          <w:rFonts w:ascii="Georgia" w:hAnsi="Georgia" w:cs="Roboto-Bold"/>
          <w:color w:val="292B2C"/>
          <w:sz w:val="24"/>
          <w:szCs w:val="24"/>
        </w:rPr>
        <w:t>ZIP</w:t>
      </w:r>
      <w:r w:rsidRPr="1E9CA6D6">
        <w:rPr>
          <w:rFonts w:ascii="Georgia" w:hAnsi="Georgia" w:cs="Roboto-Bold"/>
          <w:color w:val="292B2C"/>
          <w:sz w:val="24"/>
          <w:szCs w:val="24"/>
        </w:rPr>
        <w:t xml:space="preserve"> codes act as one of the primary means by which constituents identify their representatives, and representatives their constituents,” and that “Splitting </w:t>
      </w:r>
      <w:r w:rsidR="00453D8A" w:rsidRPr="1E9CA6D6">
        <w:rPr>
          <w:rFonts w:ascii="Georgia" w:hAnsi="Georgia" w:cs="Roboto-Bold"/>
          <w:color w:val="292B2C"/>
          <w:sz w:val="24"/>
          <w:szCs w:val="24"/>
        </w:rPr>
        <w:t>ZIP</w:t>
      </w:r>
      <w:r w:rsidRPr="1E9CA6D6">
        <w:rPr>
          <w:rFonts w:ascii="Georgia" w:hAnsi="Georgia" w:cs="Roboto-Bold"/>
          <w:color w:val="292B2C"/>
          <w:sz w:val="24"/>
          <w:szCs w:val="24"/>
        </w:rPr>
        <w:t xml:space="preserve"> codes between multiple districts impairs the ability for constituents and representatives to identify each other." </w:t>
      </w:r>
      <w:r w:rsidR="1FACCA48" w:rsidRPr="1E9CA6D6">
        <w:rPr>
          <w:rFonts w:ascii="Georgia" w:hAnsi="Georgia"/>
          <w:sz w:val="24"/>
          <w:szCs w:val="24"/>
          <w:lang w:bidi="th-TH"/>
        </w:rPr>
        <w:t>Using data in the Cooperative Congressional Election Study</w:t>
      </w:r>
      <w:r w:rsidR="00445201" w:rsidRPr="1E9CA6D6">
        <w:rPr>
          <w:rFonts w:ascii="Georgia" w:hAnsi="Georgia"/>
          <w:sz w:val="24"/>
          <w:szCs w:val="24"/>
          <w:lang w:bidi="th-TH"/>
        </w:rPr>
        <w:t xml:space="preserve"> (CCES)</w:t>
      </w:r>
      <w:r w:rsidR="1FACCA48" w:rsidRPr="1E9CA6D6">
        <w:rPr>
          <w:rFonts w:ascii="Georgia" w:hAnsi="Georgia"/>
          <w:sz w:val="24"/>
          <w:szCs w:val="24"/>
          <w:lang w:bidi="th-TH"/>
        </w:rPr>
        <w:t xml:space="preserve"> </w:t>
      </w:r>
      <w:r w:rsidR="00453D8A" w:rsidRPr="1E9CA6D6">
        <w:rPr>
          <w:rFonts w:ascii="Georgia" w:hAnsi="Georgia"/>
          <w:sz w:val="24"/>
          <w:szCs w:val="24"/>
          <w:lang w:bidi="th-TH"/>
        </w:rPr>
        <w:t xml:space="preserve">to justify such claims, </w:t>
      </w:r>
      <w:r w:rsidR="1FACCA48" w:rsidRPr="1E9CA6D6">
        <w:rPr>
          <w:rFonts w:ascii="Georgia" w:hAnsi="Georgia"/>
          <w:sz w:val="24"/>
          <w:szCs w:val="24"/>
          <w:lang w:bidi="th-TH"/>
        </w:rPr>
        <w:t>t</w:t>
      </w:r>
      <w:r w:rsidRPr="1E9CA6D6">
        <w:rPr>
          <w:rFonts w:ascii="Georgia" w:hAnsi="Georgia"/>
          <w:sz w:val="24"/>
          <w:szCs w:val="24"/>
          <w:lang w:bidi="th-TH"/>
        </w:rPr>
        <w:t>hey find</w:t>
      </w:r>
      <w:r w:rsidR="00445201" w:rsidRPr="1E9CA6D6">
        <w:rPr>
          <w:rFonts w:ascii="Georgia" w:hAnsi="Georgia"/>
          <w:sz w:val="24"/>
          <w:szCs w:val="24"/>
          <w:lang w:bidi="th-TH"/>
        </w:rPr>
        <w:t xml:space="preserve"> (2018</w:t>
      </w:r>
      <w:r w:rsidR="3436B363" w:rsidRPr="1E9CA6D6">
        <w:rPr>
          <w:rFonts w:ascii="Georgia" w:hAnsi="Georgia"/>
          <w:sz w:val="24"/>
          <w:szCs w:val="24"/>
          <w:lang w:bidi="th-TH"/>
        </w:rPr>
        <w:t>:</w:t>
      </w:r>
      <w:r w:rsidR="00445201" w:rsidRPr="1E9CA6D6">
        <w:rPr>
          <w:rFonts w:ascii="Georgia" w:hAnsi="Georgia"/>
          <w:sz w:val="24"/>
          <w:szCs w:val="24"/>
          <w:lang w:bidi="th-TH"/>
        </w:rPr>
        <w:t xml:space="preserve"> </w:t>
      </w:r>
      <w:r w:rsidR="00445201" w:rsidRPr="1E9CA6D6">
        <w:rPr>
          <w:rFonts w:ascii="Georgia" w:hAnsi="Georgia" w:cs="AdvPSA88A"/>
          <w:sz w:val="24"/>
          <w:szCs w:val="24"/>
        </w:rPr>
        <w:t>329</w:t>
      </w:r>
      <w:r w:rsidR="00445201" w:rsidRPr="1E9CA6D6">
        <w:rPr>
          <w:rFonts w:ascii="Georgia" w:hAnsi="Georgia"/>
          <w:sz w:val="24"/>
          <w:szCs w:val="24"/>
          <w:lang w:bidi="th-TH"/>
        </w:rPr>
        <w:t>)</w:t>
      </w:r>
      <w:r w:rsidR="00434677" w:rsidRPr="1E9CA6D6">
        <w:rPr>
          <w:rFonts w:ascii="Georgia" w:hAnsi="Georgia"/>
          <w:sz w:val="24"/>
          <w:szCs w:val="24"/>
          <w:lang w:bidi="th-TH"/>
        </w:rPr>
        <w:t xml:space="preserve"> </w:t>
      </w:r>
      <w:r w:rsidRPr="1E9CA6D6">
        <w:rPr>
          <w:rFonts w:ascii="Georgia" w:hAnsi="Georgia"/>
          <w:sz w:val="24"/>
          <w:szCs w:val="24"/>
          <w:lang w:bidi="th-TH"/>
        </w:rPr>
        <w:t xml:space="preserve">that </w:t>
      </w:r>
      <w:r w:rsidRPr="1E9CA6D6">
        <w:rPr>
          <w:rFonts w:ascii="Georgia" w:hAnsi="Georgia" w:cs="AdvPSA88A"/>
          <w:sz w:val="24"/>
          <w:szCs w:val="24"/>
        </w:rPr>
        <w:t xml:space="preserve">“when congressional districts split </w:t>
      </w:r>
      <w:r w:rsidR="00453D8A" w:rsidRPr="1E9CA6D6">
        <w:rPr>
          <w:rFonts w:ascii="Georgia" w:hAnsi="Georgia" w:cs="AdvPSA88A"/>
          <w:sz w:val="24"/>
          <w:szCs w:val="24"/>
        </w:rPr>
        <w:t>ZIP</w:t>
      </w:r>
      <w:r w:rsidRPr="1E9CA6D6">
        <w:rPr>
          <w:rFonts w:ascii="Georgia" w:hAnsi="Georgia" w:cs="AdvPSA88A"/>
          <w:sz w:val="24"/>
          <w:szCs w:val="24"/>
        </w:rPr>
        <w:t xml:space="preserve"> Codes, constituents are less likely to remember and contact their representative, and perceive greater alienation from their representative</w:t>
      </w:r>
      <w:r w:rsidR="00445201" w:rsidRPr="1E9CA6D6">
        <w:rPr>
          <w:rFonts w:ascii="Georgia" w:hAnsi="Georgia" w:cs="AdvPSA88A"/>
          <w:sz w:val="24"/>
          <w:szCs w:val="24"/>
        </w:rPr>
        <w:t>.</w:t>
      </w:r>
      <w:r w:rsidRPr="1E9CA6D6">
        <w:rPr>
          <w:rFonts w:ascii="Georgia" w:hAnsi="Georgia" w:cs="AdvPSA88A"/>
          <w:sz w:val="24"/>
          <w:szCs w:val="24"/>
        </w:rPr>
        <w:t xml:space="preserve">” </w:t>
      </w:r>
    </w:p>
    <w:p w14:paraId="64FEE8CB" w14:textId="614FCD60" w:rsidR="00384E81" w:rsidRDefault="00445201" w:rsidP="1E9CA6D6">
      <w:pPr>
        <w:autoSpaceDE w:val="0"/>
        <w:autoSpaceDN w:val="0"/>
        <w:adjustRightInd w:val="0"/>
        <w:spacing w:after="0" w:line="360" w:lineRule="auto"/>
        <w:ind w:firstLine="720"/>
        <w:jc w:val="both"/>
        <w:rPr>
          <w:rFonts w:ascii="Georgia" w:hAnsi="Georgia"/>
          <w:sz w:val="24"/>
          <w:szCs w:val="24"/>
          <w:lang w:bidi="th-TH"/>
        </w:rPr>
      </w:pPr>
      <w:r w:rsidRPr="1E9CA6D6">
        <w:rPr>
          <w:rFonts w:ascii="Georgia" w:hAnsi="Georgia" w:cs="AdvPSA88A"/>
          <w:sz w:val="24"/>
          <w:szCs w:val="24"/>
        </w:rPr>
        <w:t>B</w:t>
      </w:r>
      <w:r w:rsidR="00384E81" w:rsidRPr="1E9CA6D6">
        <w:rPr>
          <w:rFonts w:ascii="Georgia" w:hAnsi="Georgia" w:cs="AdvPSA88A"/>
          <w:sz w:val="24"/>
          <w:szCs w:val="24"/>
        </w:rPr>
        <w:t>ut</w:t>
      </w:r>
      <w:r w:rsidR="00453D8A" w:rsidRPr="1E9CA6D6">
        <w:rPr>
          <w:rFonts w:ascii="Georgia" w:hAnsi="Georgia" w:cs="AdvPSA88A"/>
          <w:sz w:val="24"/>
          <w:szCs w:val="24"/>
        </w:rPr>
        <w:t xml:space="preserve"> this data is not as compelling as it might first appear.</w:t>
      </w:r>
      <w:r w:rsidR="00434677" w:rsidRPr="1E9CA6D6">
        <w:rPr>
          <w:rFonts w:ascii="Georgia" w:hAnsi="Georgia" w:cs="AdvPSA88A"/>
          <w:sz w:val="24"/>
          <w:szCs w:val="24"/>
        </w:rPr>
        <w:t xml:space="preserve"> </w:t>
      </w:r>
    </w:p>
    <w:p w14:paraId="104D9836" w14:textId="5A6202DD" w:rsidR="00EC2FC2" w:rsidRPr="00453D8A" w:rsidRDefault="0DE0C0B4" w:rsidP="1E9CA6D6">
      <w:pPr>
        <w:autoSpaceDE w:val="0"/>
        <w:autoSpaceDN w:val="0"/>
        <w:adjustRightInd w:val="0"/>
        <w:spacing w:after="0" w:line="360" w:lineRule="auto"/>
        <w:ind w:firstLine="720"/>
        <w:jc w:val="both"/>
        <w:rPr>
          <w:rFonts w:ascii="Georgia" w:hAnsi="Georgia"/>
          <w:sz w:val="24"/>
          <w:szCs w:val="24"/>
          <w:lang w:bidi="th-TH"/>
        </w:rPr>
      </w:pPr>
      <w:r w:rsidRPr="5037D466">
        <w:rPr>
          <w:rFonts w:ascii="Georgia" w:hAnsi="Georgia" w:cs="AdvPSA88A"/>
          <w:sz w:val="24"/>
          <w:szCs w:val="24"/>
        </w:rPr>
        <w:t>First</w:t>
      </w:r>
      <w:r w:rsidR="00EC2FC2" w:rsidRPr="5037D466">
        <w:rPr>
          <w:rFonts w:ascii="Georgia" w:hAnsi="Georgia" w:cs="AdvPSA88A"/>
          <w:sz w:val="24"/>
          <w:szCs w:val="24"/>
        </w:rPr>
        <w:t xml:space="preserve">, the notion that voters </w:t>
      </w:r>
      <w:r w:rsidR="00EC2FC2" w:rsidRPr="489FFC7A">
        <w:rPr>
          <w:rFonts w:ascii="Georgia" w:hAnsi="Georgia" w:cs="AdvPSA88A"/>
          <w:i/>
          <w:iCs/>
          <w:sz w:val="24"/>
          <w:szCs w:val="24"/>
        </w:rPr>
        <w:t>need</w:t>
      </w:r>
      <w:r w:rsidR="00EC2FC2" w:rsidRPr="5037D466">
        <w:rPr>
          <w:rFonts w:ascii="Georgia" w:hAnsi="Georgia" w:cs="AdvPSA88A"/>
          <w:sz w:val="24"/>
          <w:szCs w:val="24"/>
        </w:rPr>
        <w:t xml:space="preserve"> </w:t>
      </w:r>
      <w:r w:rsidR="00453D8A" w:rsidRPr="5037D466">
        <w:rPr>
          <w:rFonts w:ascii="Georgia" w:hAnsi="Georgia" w:cs="AdvPSA88A"/>
          <w:sz w:val="24"/>
          <w:szCs w:val="24"/>
        </w:rPr>
        <w:t>ZIP</w:t>
      </w:r>
      <w:r w:rsidR="00EC2FC2" w:rsidRPr="5037D466">
        <w:rPr>
          <w:rFonts w:ascii="Georgia" w:hAnsi="Georgia" w:cs="AdvPSA88A"/>
          <w:sz w:val="24"/>
          <w:szCs w:val="24"/>
        </w:rPr>
        <w:t xml:space="preserve"> codes to identify their representative, or vice versa</w:t>
      </w:r>
      <w:r w:rsidR="00C50A96">
        <w:rPr>
          <w:rFonts w:ascii="Georgia" w:hAnsi="Georgia" w:cs="AdvPSA88A"/>
          <w:sz w:val="24"/>
          <w:szCs w:val="24"/>
        </w:rPr>
        <w:t>,</w:t>
      </w:r>
      <w:r w:rsidR="00EC2FC2" w:rsidRPr="5037D466">
        <w:rPr>
          <w:rFonts w:ascii="Georgia" w:hAnsi="Georgia" w:cs="AdvPSA88A"/>
          <w:sz w:val="24"/>
          <w:szCs w:val="24"/>
        </w:rPr>
        <w:t xml:space="preserve"> seems stretched.</w:t>
      </w:r>
      <w:r w:rsidR="4896B6FF" w:rsidRPr="5037D466">
        <w:rPr>
          <w:rFonts w:ascii="Georgia" w:hAnsi="Georgia" w:cs="AdvPSA88A"/>
          <w:sz w:val="24"/>
          <w:szCs w:val="24"/>
        </w:rPr>
        <w:t xml:space="preserve"> </w:t>
      </w:r>
      <w:r w:rsidR="0030700D">
        <w:rPr>
          <w:rFonts w:ascii="Georgia" w:hAnsi="Georgia"/>
          <w:sz w:val="24"/>
          <w:szCs w:val="24"/>
          <w:shd w:val="clear" w:color="auto" w:fill="FFFFFF"/>
        </w:rPr>
        <w:t>It</w:t>
      </w:r>
      <w:r w:rsidR="00EC2FC2" w:rsidRPr="1BC0107E">
        <w:rPr>
          <w:rFonts w:ascii="Georgia" w:hAnsi="Georgia"/>
          <w:sz w:val="24"/>
          <w:szCs w:val="24"/>
          <w:shd w:val="clear" w:color="auto" w:fill="FFFFFF"/>
        </w:rPr>
        <w:t xml:space="preserve"> is true that if you go to the official House of Representatives website </w:t>
      </w:r>
      <w:hyperlink r:id="rId10" w:history="1">
        <w:r w:rsidR="00EC2FC2" w:rsidRPr="00252894">
          <w:rPr>
            <w:rStyle w:val="Hyperlink"/>
            <w:rFonts w:ascii="Georgia" w:hAnsi="Georgia"/>
            <w:sz w:val="24"/>
            <w:szCs w:val="24"/>
          </w:rPr>
          <w:t>https://www.house.gov/representatives/find-your-representative</w:t>
        </w:r>
      </w:hyperlink>
      <w:r w:rsidR="00EC2FC2" w:rsidRPr="00252894">
        <w:rPr>
          <w:rFonts w:ascii="Georgia" w:hAnsi="Georgia"/>
          <w:sz w:val="24"/>
          <w:szCs w:val="24"/>
        </w:rPr>
        <w:t xml:space="preserve"> </w:t>
      </w:r>
      <w:r w:rsidR="00EC2FC2" w:rsidRPr="1BC0107E">
        <w:rPr>
          <w:rFonts w:ascii="Georgia" w:hAnsi="Georgia"/>
          <w:sz w:val="24"/>
          <w:szCs w:val="24"/>
          <w:shd w:val="clear" w:color="auto" w:fill="FFFFFF"/>
        </w:rPr>
        <w:t>and seek to identify your Representative</w:t>
      </w:r>
      <w:r w:rsidR="00453D8A">
        <w:rPr>
          <w:rFonts w:ascii="Georgia" w:hAnsi="Georgia"/>
          <w:sz w:val="24"/>
          <w:szCs w:val="24"/>
          <w:shd w:val="clear" w:color="auto" w:fill="FFFFFF"/>
        </w:rPr>
        <w:t xml:space="preserve">, </w:t>
      </w:r>
      <w:r w:rsidR="00453D8A" w:rsidRPr="5037D466">
        <w:rPr>
          <w:rFonts w:ascii="Georgia" w:hAnsi="Georgia"/>
          <w:sz w:val="24"/>
          <w:szCs w:val="24"/>
          <w:shd w:val="clear" w:color="auto" w:fill="FFFFFF"/>
        </w:rPr>
        <w:t>or if you go to a U</w:t>
      </w:r>
      <w:r w:rsidR="0030700D" w:rsidRPr="5037D466">
        <w:rPr>
          <w:rFonts w:ascii="Georgia" w:hAnsi="Georgia"/>
          <w:sz w:val="24"/>
          <w:szCs w:val="24"/>
          <w:shd w:val="clear" w:color="auto" w:fill="FFFFFF"/>
        </w:rPr>
        <w:t>.</w:t>
      </w:r>
      <w:r w:rsidR="00453D8A" w:rsidRPr="5037D466">
        <w:rPr>
          <w:rFonts w:ascii="Georgia" w:hAnsi="Georgia"/>
          <w:sz w:val="24"/>
          <w:szCs w:val="24"/>
          <w:shd w:val="clear" w:color="auto" w:fill="FFFFFF"/>
        </w:rPr>
        <w:t>S</w:t>
      </w:r>
      <w:r w:rsidR="0030700D" w:rsidRPr="5037D466">
        <w:rPr>
          <w:rFonts w:ascii="Georgia" w:hAnsi="Georgia"/>
          <w:sz w:val="24"/>
          <w:szCs w:val="24"/>
          <w:shd w:val="clear" w:color="auto" w:fill="FFFFFF"/>
        </w:rPr>
        <w:t>.</w:t>
      </w:r>
      <w:r w:rsidR="00453D8A" w:rsidRPr="5037D466">
        <w:rPr>
          <w:rFonts w:ascii="Georgia" w:hAnsi="Georgia"/>
          <w:sz w:val="24"/>
          <w:szCs w:val="24"/>
          <w:shd w:val="clear" w:color="auto" w:fill="FFFFFF"/>
        </w:rPr>
        <w:t xml:space="preserve"> Census website</w:t>
      </w:r>
      <w:r w:rsidR="00FB5923">
        <w:rPr>
          <w:rFonts w:ascii="Georgia" w:hAnsi="Georgia"/>
          <w:sz w:val="24"/>
          <w:szCs w:val="24"/>
          <w:shd w:val="clear" w:color="auto" w:fill="FFFFFF"/>
        </w:rPr>
        <w:t xml:space="preserve"> for this purpose</w:t>
      </w:r>
      <w:r w:rsidR="00453D8A">
        <w:rPr>
          <w:rFonts w:ascii="Georgia" w:hAnsi="Georgia"/>
          <w:sz w:val="24"/>
          <w:szCs w:val="24"/>
          <w:shd w:val="clear" w:color="auto" w:fill="FFFFFF"/>
        </w:rPr>
        <w:t>,</w:t>
      </w:r>
      <w:r w:rsidR="00EC2FC2" w:rsidRPr="1BC0107E">
        <w:rPr>
          <w:rFonts w:ascii="Georgia" w:hAnsi="Georgia"/>
          <w:sz w:val="24"/>
          <w:szCs w:val="24"/>
          <w:shd w:val="clear" w:color="auto" w:fill="FFFFFF"/>
        </w:rPr>
        <w:t xml:space="preserve"> you will only</w:t>
      </w:r>
      <w:r w:rsidR="00EC2FC2" w:rsidRPr="00252894">
        <w:rPr>
          <w:rFonts w:ascii="Georgia" w:hAnsi="Georgia"/>
          <w:b/>
          <w:bCs/>
          <w:sz w:val="24"/>
          <w:szCs w:val="24"/>
          <w:shd w:val="clear" w:color="auto" w:fill="FFFFFF"/>
        </w:rPr>
        <w:t xml:space="preserve"> </w:t>
      </w:r>
      <w:r w:rsidR="00EC2FC2" w:rsidRPr="00453D8A">
        <w:rPr>
          <w:rFonts w:ascii="Georgia" w:hAnsi="Georgia"/>
          <w:sz w:val="24"/>
          <w:szCs w:val="24"/>
          <w:shd w:val="clear" w:color="auto" w:fill="FFFFFF"/>
        </w:rPr>
        <w:t xml:space="preserve">be </w:t>
      </w:r>
      <w:r w:rsidR="1E0B3FD6" w:rsidRPr="00453D8A">
        <w:rPr>
          <w:rFonts w:ascii="Georgia" w:hAnsi="Georgia"/>
          <w:sz w:val="24"/>
          <w:szCs w:val="24"/>
          <w:shd w:val="clear" w:color="auto" w:fill="FFFFFF"/>
        </w:rPr>
        <w:t>asked</w:t>
      </w:r>
      <w:r w:rsidR="1E0B3FD6" w:rsidRPr="00252894">
        <w:rPr>
          <w:rFonts w:ascii="Georgia" w:hAnsi="Georgia"/>
          <w:b/>
          <w:bCs/>
          <w:sz w:val="24"/>
          <w:szCs w:val="24"/>
          <w:shd w:val="clear" w:color="auto" w:fill="FFFFFF"/>
        </w:rPr>
        <w:t xml:space="preserve"> </w:t>
      </w:r>
      <w:r w:rsidR="00453AB4" w:rsidRPr="1BC0107E">
        <w:rPr>
          <w:rFonts w:ascii="Georgia" w:hAnsi="Georgia"/>
          <w:sz w:val="24"/>
          <w:szCs w:val="24"/>
          <w:shd w:val="clear" w:color="auto" w:fill="FFFFFF"/>
        </w:rPr>
        <w:t xml:space="preserve">to provide </w:t>
      </w:r>
      <w:r w:rsidR="00EC2FC2" w:rsidRPr="1BC0107E">
        <w:rPr>
          <w:rFonts w:ascii="Georgia" w:hAnsi="Georgia"/>
          <w:sz w:val="24"/>
          <w:szCs w:val="24"/>
          <w:shd w:val="clear" w:color="auto" w:fill="FFFFFF"/>
        </w:rPr>
        <w:t xml:space="preserve">a </w:t>
      </w:r>
      <w:r w:rsidR="00453D8A">
        <w:rPr>
          <w:rFonts w:ascii="Georgia" w:hAnsi="Georgia"/>
          <w:sz w:val="24"/>
          <w:szCs w:val="24"/>
          <w:shd w:val="clear" w:color="auto" w:fill="FFFFFF"/>
        </w:rPr>
        <w:t>ZIP</w:t>
      </w:r>
      <w:r w:rsidR="00EC2FC2" w:rsidRPr="1BC0107E">
        <w:rPr>
          <w:rFonts w:ascii="Georgia" w:hAnsi="Georgia"/>
          <w:sz w:val="24"/>
          <w:szCs w:val="24"/>
          <w:shd w:val="clear" w:color="auto" w:fill="FFFFFF"/>
        </w:rPr>
        <w:t xml:space="preserve"> code.</w:t>
      </w:r>
      <w:r w:rsidR="00EC2FC2" w:rsidRPr="00453D8A">
        <w:rPr>
          <w:rStyle w:val="FootnoteReference"/>
          <w:rFonts w:ascii="Georgia" w:hAnsi="Georgia"/>
          <w:sz w:val="24"/>
          <w:szCs w:val="24"/>
          <w:shd w:val="clear" w:color="auto" w:fill="FFFFFF"/>
        </w:rPr>
        <w:footnoteReference w:id="10"/>
      </w:r>
      <w:r w:rsidR="00EC2FC2" w:rsidRPr="00252894">
        <w:rPr>
          <w:rFonts w:ascii="Georgia" w:hAnsi="Georgia"/>
          <w:b/>
          <w:bCs/>
          <w:sz w:val="24"/>
          <w:szCs w:val="24"/>
          <w:shd w:val="clear" w:color="auto" w:fill="FFFFFF"/>
        </w:rPr>
        <w:t xml:space="preserve"> </w:t>
      </w:r>
      <w:r w:rsidR="0030700D" w:rsidRPr="0030700D">
        <w:rPr>
          <w:rFonts w:ascii="Georgia" w:hAnsi="Georgia" w:cs="Times New Roman"/>
          <w:sz w:val="24"/>
          <w:szCs w:val="24"/>
        </w:rPr>
        <w:t>However, if the zip code entry gives a result you believe in error, then you are invited to click on a link to report the error and as part of that error message you need to include a full street address.</w:t>
      </w:r>
      <w:r w:rsidR="0030700D" w:rsidRPr="00671F59">
        <w:rPr>
          <w:rFonts w:ascii="Georgia" w:hAnsi="Georgia" w:cs="Times New Roman"/>
          <w:sz w:val="24"/>
          <w:szCs w:val="24"/>
        </w:rPr>
        <w:t xml:space="preserve"> </w:t>
      </w:r>
      <w:r w:rsidR="0030700D">
        <w:rPr>
          <w:rFonts w:ascii="Georgia" w:hAnsi="Georgia" w:cs="AdvPSA88A"/>
          <w:sz w:val="24"/>
          <w:szCs w:val="24"/>
        </w:rPr>
        <w:t>Nonetheless</w:t>
      </w:r>
      <w:r w:rsidR="0030700D" w:rsidRPr="1BC0107E">
        <w:rPr>
          <w:rFonts w:ascii="Georgia" w:hAnsi="Georgia" w:cs="AdvPSA88A"/>
          <w:sz w:val="24"/>
          <w:szCs w:val="24"/>
        </w:rPr>
        <w:t xml:space="preserve">, if you go online and type in “Find my congressman” of “Find my representative,” you can get to </w:t>
      </w:r>
      <w:hyperlink r:id="rId11" w:history="1">
        <w:r w:rsidR="0030700D" w:rsidRPr="1BC0107E">
          <w:rPr>
            <w:rStyle w:val="Hyperlink"/>
            <w:rFonts w:ascii="Georgia" w:hAnsi="Georgia"/>
            <w:color w:val="auto"/>
            <w:sz w:val="24"/>
            <w:szCs w:val="24"/>
          </w:rPr>
          <w:t>https://www.commoncause.org/find-your-representative/addr/#</w:t>
        </w:r>
      </w:hyperlink>
      <w:r w:rsidR="0030700D" w:rsidRPr="1BC0107E">
        <w:rPr>
          <w:rFonts w:ascii="Georgia" w:hAnsi="Georgia"/>
          <w:sz w:val="24"/>
          <w:szCs w:val="24"/>
        </w:rPr>
        <w:t>.</w:t>
      </w:r>
      <w:r w:rsidR="00434677">
        <w:rPr>
          <w:rFonts w:ascii="Georgia" w:hAnsi="Georgia"/>
          <w:sz w:val="24"/>
          <w:szCs w:val="24"/>
        </w:rPr>
        <w:t xml:space="preserve"> </w:t>
      </w:r>
      <w:r w:rsidR="0032432C">
        <w:rPr>
          <w:rFonts w:ascii="Georgia" w:hAnsi="Georgia"/>
          <w:sz w:val="24"/>
          <w:szCs w:val="24"/>
        </w:rPr>
        <w:t>At that website, w</w:t>
      </w:r>
      <w:r w:rsidR="0030700D" w:rsidRPr="1BC0107E">
        <w:rPr>
          <w:rFonts w:ascii="Georgia" w:hAnsi="Georgia"/>
          <w:sz w:val="24"/>
          <w:szCs w:val="24"/>
        </w:rPr>
        <w:t xml:space="preserve">hen you type in your street address (with the name of the city and </w:t>
      </w:r>
      <w:r w:rsidR="0030700D" w:rsidRPr="1BC0107E">
        <w:rPr>
          <w:rFonts w:ascii="Georgia" w:hAnsi="Georgia"/>
          <w:sz w:val="24"/>
          <w:szCs w:val="24"/>
          <w:u w:val="single"/>
        </w:rPr>
        <w:t xml:space="preserve">without a </w:t>
      </w:r>
      <w:r w:rsidR="0030700D">
        <w:rPr>
          <w:rFonts w:ascii="Georgia" w:hAnsi="Georgia"/>
          <w:sz w:val="24"/>
          <w:szCs w:val="24"/>
          <w:u w:val="single"/>
        </w:rPr>
        <w:t>ZIP</w:t>
      </w:r>
      <w:r w:rsidR="0030700D" w:rsidRPr="1BC0107E">
        <w:rPr>
          <w:rFonts w:ascii="Georgia" w:hAnsi="Georgia"/>
          <w:sz w:val="24"/>
          <w:szCs w:val="24"/>
          <w:u w:val="single"/>
        </w:rPr>
        <w:t xml:space="preserve"> code needed</w:t>
      </w:r>
      <w:r w:rsidR="0030700D" w:rsidRPr="1BC0107E">
        <w:rPr>
          <w:rFonts w:ascii="Georgia" w:hAnsi="Georgia"/>
          <w:sz w:val="24"/>
          <w:szCs w:val="24"/>
        </w:rPr>
        <w:t>) you will be given the names and websites of your national and state political representatives as well as info</w:t>
      </w:r>
      <w:r w:rsidR="0030700D">
        <w:rPr>
          <w:rFonts w:ascii="Georgia" w:hAnsi="Georgia"/>
          <w:sz w:val="24"/>
          <w:szCs w:val="24"/>
        </w:rPr>
        <w:t>rmation</w:t>
      </w:r>
      <w:r w:rsidR="0030700D" w:rsidRPr="1BC0107E">
        <w:rPr>
          <w:rFonts w:ascii="Georgia" w:hAnsi="Georgia"/>
          <w:sz w:val="24"/>
          <w:szCs w:val="24"/>
        </w:rPr>
        <w:t xml:space="preserve"> on </w:t>
      </w:r>
      <w:r w:rsidR="0030700D" w:rsidRPr="1BC0107E">
        <w:rPr>
          <w:rFonts w:ascii="Georgia" w:hAnsi="Georgia"/>
          <w:sz w:val="24"/>
          <w:szCs w:val="24"/>
          <w:shd w:val="clear" w:color="auto" w:fill="FFFFFF"/>
        </w:rPr>
        <w:t>how to contact them, bills they’ve introduced, committees they serve on, and political contributions they’ve received.</w:t>
      </w:r>
    </w:p>
    <w:p w14:paraId="30817575" w14:textId="0397B0A2" w:rsidR="00EC2FC2" w:rsidRPr="008C3647" w:rsidRDefault="36D7C20A" w:rsidP="1E9CA6D6">
      <w:pPr>
        <w:autoSpaceDE w:val="0"/>
        <w:autoSpaceDN w:val="0"/>
        <w:adjustRightInd w:val="0"/>
        <w:spacing w:after="0" w:line="360" w:lineRule="auto"/>
        <w:ind w:firstLine="720"/>
        <w:jc w:val="both"/>
        <w:rPr>
          <w:rFonts w:ascii="Georgia" w:hAnsi="Georgia" w:cs="Roboto-Bold"/>
          <w:b/>
          <w:bCs/>
          <w:color w:val="292B2C"/>
          <w:sz w:val="24"/>
          <w:szCs w:val="24"/>
        </w:rPr>
      </w:pPr>
      <w:r w:rsidRPr="1E9CA6D6">
        <w:rPr>
          <w:rFonts w:ascii="Georgia" w:hAnsi="Georgia"/>
          <w:sz w:val="24"/>
          <w:szCs w:val="24"/>
          <w:lang w:bidi="th-TH"/>
        </w:rPr>
        <w:t>T</w:t>
      </w:r>
      <w:r w:rsidR="0030700D" w:rsidRPr="1E9CA6D6">
        <w:rPr>
          <w:rFonts w:ascii="Georgia" w:hAnsi="Georgia"/>
          <w:sz w:val="24"/>
          <w:szCs w:val="24"/>
          <w:lang w:bidi="th-TH"/>
        </w:rPr>
        <w:t xml:space="preserve">hat you can identify your representative via </w:t>
      </w:r>
      <w:r w:rsidR="0030700D" w:rsidRPr="1E9CA6D6">
        <w:rPr>
          <w:rFonts w:ascii="Georgia" w:hAnsi="Georgia"/>
          <w:i/>
          <w:iCs/>
          <w:sz w:val="24"/>
          <w:szCs w:val="24"/>
          <w:lang w:bidi="th-TH"/>
        </w:rPr>
        <w:t xml:space="preserve">ZIP </w:t>
      </w:r>
      <w:r w:rsidR="1567EA39" w:rsidRPr="1E9CA6D6">
        <w:rPr>
          <w:rFonts w:ascii="Georgia" w:hAnsi="Georgia"/>
          <w:i/>
          <w:iCs/>
          <w:sz w:val="24"/>
          <w:szCs w:val="24"/>
          <w:lang w:bidi="th-TH"/>
        </w:rPr>
        <w:t>code</w:t>
      </w:r>
      <w:r w:rsidR="1567EA39" w:rsidRPr="1E9CA6D6">
        <w:rPr>
          <w:rFonts w:ascii="Georgia" w:hAnsi="Georgia"/>
          <w:sz w:val="24"/>
          <w:szCs w:val="24"/>
          <w:lang w:bidi="th-TH"/>
        </w:rPr>
        <w:t xml:space="preserve"> </w:t>
      </w:r>
      <w:r w:rsidR="0030700D" w:rsidRPr="1E9CA6D6">
        <w:rPr>
          <w:rFonts w:ascii="Georgia" w:hAnsi="Georgia"/>
          <w:sz w:val="24"/>
          <w:szCs w:val="24"/>
          <w:lang w:bidi="th-TH"/>
        </w:rPr>
        <w:t xml:space="preserve">does not mean that you can identify your fellow constituents. </w:t>
      </w:r>
      <w:r w:rsidR="0F1E09A4" w:rsidRPr="1E9CA6D6">
        <w:rPr>
          <w:rFonts w:ascii="Georgia" w:hAnsi="Georgia"/>
          <w:sz w:val="24"/>
          <w:szCs w:val="24"/>
          <w:lang w:bidi="th-TH"/>
        </w:rPr>
        <w:t xml:space="preserve">Boundaries of </w:t>
      </w:r>
      <w:r w:rsidR="00453D8A" w:rsidRPr="1E9CA6D6">
        <w:rPr>
          <w:rFonts w:ascii="Georgia" w:hAnsi="Georgia"/>
          <w:sz w:val="24"/>
          <w:szCs w:val="24"/>
          <w:lang w:bidi="th-TH"/>
        </w:rPr>
        <w:t>ZIP</w:t>
      </w:r>
      <w:r w:rsidR="0F1E09A4" w:rsidRPr="1E9CA6D6">
        <w:rPr>
          <w:rFonts w:ascii="Georgia" w:hAnsi="Georgia"/>
          <w:sz w:val="24"/>
          <w:szCs w:val="24"/>
          <w:lang w:bidi="th-TH"/>
        </w:rPr>
        <w:t xml:space="preserve"> codes are not well known or easy to </w:t>
      </w:r>
      <w:r w:rsidR="00DD59C4" w:rsidRPr="1E9CA6D6">
        <w:rPr>
          <w:rFonts w:ascii="Georgia" w:hAnsi="Georgia"/>
          <w:sz w:val="24"/>
          <w:szCs w:val="24"/>
          <w:lang w:bidi="th-TH"/>
        </w:rPr>
        <w:t>identif</w:t>
      </w:r>
      <w:r w:rsidR="00775BDF" w:rsidRPr="1E9CA6D6">
        <w:rPr>
          <w:rFonts w:ascii="Georgia" w:hAnsi="Georgia"/>
          <w:sz w:val="24"/>
          <w:szCs w:val="24"/>
          <w:lang w:bidi="th-TH"/>
        </w:rPr>
        <w:t>y.</w:t>
      </w:r>
      <w:r w:rsidR="0030700D" w:rsidRPr="1E9CA6D6">
        <w:rPr>
          <w:rStyle w:val="FootnoteReference"/>
          <w:rFonts w:ascii="Georgia" w:hAnsi="Georgia"/>
          <w:sz w:val="24"/>
          <w:szCs w:val="24"/>
          <w:lang w:bidi="th-TH"/>
        </w:rPr>
        <w:t xml:space="preserve"> </w:t>
      </w:r>
      <w:r w:rsidR="793B0B72" w:rsidRPr="1E9CA6D6">
        <w:rPr>
          <w:rFonts w:ascii="Georgia" w:hAnsi="Georgia"/>
          <w:sz w:val="24"/>
          <w:szCs w:val="24"/>
          <w:lang w:bidi="th-TH"/>
        </w:rPr>
        <w:t>U</w:t>
      </w:r>
      <w:r w:rsidR="00EC2FC2" w:rsidRPr="1E9CA6D6">
        <w:rPr>
          <w:rFonts w:ascii="Georgia" w:hAnsi="Georgia"/>
          <w:sz w:val="24"/>
          <w:szCs w:val="24"/>
          <w:lang w:bidi="th-TH"/>
        </w:rPr>
        <w:t>nless</w:t>
      </w:r>
      <w:r w:rsidR="00EC2FC2" w:rsidRPr="1E9CA6D6">
        <w:rPr>
          <w:rFonts w:ascii="Georgia" w:hAnsi="Georgia" w:cs="Roboto-Bold"/>
          <w:color w:val="292B2C"/>
          <w:sz w:val="24"/>
          <w:szCs w:val="24"/>
        </w:rPr>
        <w:t xml:space="preserve"> citizens know the boundaries of their own </w:t>
      </w:r>
      <w:r w:rsidR="00453D8A" w:rsidRPr="1E9CA6D6">
        <w:rPr>
          <w:rFonts w:ascii="Georgia" w:hAnsi="Georgia" w:cs="Roboto-Bold"/>
          <w:color w:val="292B2C"/>
          <w:sz w:val="24"/>
          <w:szCs w:val="24"/>
        </w:rPr>
        <w:t>ZIP</w:t>
      </w:r>
      <w:r w:rsidR="00EC2FC2" w:rsidRPr="1E9CA6D6">
        <w:rPr>
          <w:rFonts w:ascii="Georgia" w:hAnsi="Georgia" w:cs="Roboto-Bold"/>
          <w:color w:val="292B2C"/>
          <w:sz w:val="24"/>
          <w:szCs w:val="24"/>
        </w:rPr>
        <w:t xml:space="preserve"> </w:t>
      </w:r>
      <w:r w:rsidR="6BF5DEF0" w:rsidRPr="1E9CA6D6">
        <w:rPr>
          <w:rFonts w:ascii="Georgia" w:hAnsi="Georgia" w:cs="Roboto-Bold"/>
          <w:color w:val="292B2C"/>
          <w:sz w:val="24"/>
          <w:szCs w:val="24"/>
        </w:rPr>
        <w:t>code,</w:t>
      </w:r>
      <w:r w:rsidR="00EC2FC2" w:rsidRPr="1E9CA6D6">
        <w:rPr>
          <w:rFonts w:ascii="Georgia" w:hAnsi="Georgia" w:cs="Roboto-Bold"/>
          <w:color w:val="292B2C"/>
          <w:sz w:val="24"/>
          <w:szCs w:val="24"/>
        </w:rPr>
        <w:t xml:space="preserve"> they could not know </w:t>
      </w:r>
      <w:r w:rsidR="63529A59" w:rsidRPr="1E9CA6D6">
        <w:rPr>
          <w:rFonts w:ascii="Georgia" w:hAnsi="Georgia" w:cs="Roboto-Bold"/>
          <w:color w:val="292B2C"/>
          <w:sz w:val="24"/>
          <w:szCs w:val="24"/>
        </w:rPr>
        <w:t>whether</w:t>
      </w:r>
      <w:r w:rsidR="00EC2FC2" w:rsidRPr="1E9CA6D6">
        <w:rPr>
          <w:rFonts w:ascii="Georgia" w:hAnsi="Georgia" w:cs="Roboto-Bold"/>
          <w:color w:val="292B2C"/>
          <w:sz w:val="24"/>
          <w:szCs w:val="24"/>
        </w:rPr>
        <w:t xml:space="preserve"> their </w:t>
      </w:r>
      <w:r w:rsidR="008C3647" w:rsidRPr="1E9CA6D6">
        <w:rPr>
          <w:rFonts w:ascii="Georgia" w:hAnsi="Georgia" w:cs="Roboto-Bold"/>
          <w:color w:val="292B2C"/>
          <w:sz w:val="24"/>
          <w:szCs w:val="24"/>
        </w:rPr>
        <w:t>ZIP code</w:t>
      </w:r>
      <w:r w:rsidR="00EC2FC2" w:rsidRPr="1E9CA6D6">
        <w:rPr>
          <w:rFonts w:ascii="Georgia" w:hAnsi="Georgia" w:cs="Roboto-Bold"/>
          <w:color w:val="292B2C"/>
          <w:sz w:val="24"/>
          <w:szCs w:val="24"/>
        </w:rPr>
        <w:t xml:space="preserve"> is wholly or only in part included in a </w:t>
      </w:r>
      <w:r w:rsidR="0032432C" w:rsidRPr="1E9CA6D6">
        <w:rPr>
          <w:rFonts w:ascii="Georgia" w:hAnsi="Georgia" w:cs="Roboto-Bold"/>
          <w:color w:val="292B2C"/>
          <w:sz w:val="24"/>
          <w:szCs w:val="24"/>
        </w:rPr>
        <w:t>congressional</w:t>
      </w:r>
      <w:r w:rsidR="00EC2FC2" w:rsidRPr="1E9CA6D6">
        <w:rPr>
          <w:rFonts w:ascii="Georgia" w:hAnsi="Georgia" w:cs="Roboto-Bold"/>
          <w:color w:val="292B2C"/>
          <w:sz w:val="24"/>
          <w:szCs w:val="24"/>
        </w:rPr>
        <w:t xml:space="preserve"> district.</w:t>
      </w:r>
      <w:r w:rsidR="0032432C" w:rsidRPr="1E9CA6D6">
        <w:rPr>
          <w:rFonts w:ascii="Georgia" w:hAnsi="Georgia"/>
          <w:sz w:val="24"/>
          <w:szCs w:val="24"/>
          <w:lang w:bidi="th-TH"/>
        </w:rPr>
        <w:t xml:space="preserve"> </w:t>
      </w:r>
      <w:r w:rsidR="00EC2FC2" w:rsidRPr="1E9CA6D6">
        <w:rPr>
          <w:rFonts w:ascii="Georgia" w:hAnsi="Georgia"/>
          <w:sz w:val="24"/>
          <w:szCs w:val="24"/>
          <w:lang w:bidi="th-TH"/>
        </w:rPr>
        <w:t xml:space="preserve">Speaking personally, until we started writing this essay, except for the </w:t>
      </w:r>
      <w:r w:rsidR="00453D8A" w:rsidRPr="1E9CA6D6">
        <w:rPr>
          <w:rFonts w:ascii="Georgia" w:hAnsi="Georgia"/>
          <w:sz w:val="24"/>
          <w:szCs w:val="24"/>
          <w:lang w:bidi="th-TH"/>
        </w:rPr>
        <w:t>ZIP</w:t>
      </w:r>
      <w:r w:rsidR="00EC2FC2" w:rsidRPr="1E9CA6D6">
        <w:rPr>
          <w:rFonts w:ascii="Georgia" w:hAnsi="Georgia"/>
          <w:sz w:val="24"/>
          <w:szCs w:val="24"/>
          <w:lang w:bidi="th-TH"/>
        </w:rPr>
        <w:t xml:space="preserve"> code which is entirely the University of California, Irvine, neither of us had any idea what are the boundaries are of any other </w:t>
      </w:r>
      <w:r w:rsidR="00453D8A" w:rsidRPr="1E9CA6D6">
        <w:rPr>
          <w:rFonts w:ascii="Georgia" w:hAnsi="Georgia"/>
          <w:sz w:val="24"/>
          <w:szCs w:val="24"/>
          <w:lang w:bidi="th-TH"/>
        </w:rPr>
        <w:t>ZIP</w:t>
      </w:r>
      <w:r w:rsidR="00EC2FC2" w:rsidRPr="1E9CA6D6">
        <w:rPr>
          <w:rFonts w:ascii="Georgia" w:hAnsi="Georgia"/>
          <w:sz w:val="24"/>
          <w:szCs w:val="24"/>
          <w:lang w:bidi="th-TH"/>
        </w:rPr>
        <w:t xml:space="preserve"> code in the city (Irvine) in which we live, including the </w:t>
      </w:r>
      <w:r w:rsidR="00453D8A" w:rsidRPr="1E9CA6D6">
        <w:rPr>
          <w:rFonts w:ascii="Georgia" w:hAnsi="Georgia"/>
          <w:sz w:val="24"/>
          <w:szCs w:val="24"/>
          <w:lang w:bidi="th-TH"/>
        </w:rPr>
        <w:t>ZIP</w:t>
      </w:r>
      <w:r w:rsidR="00EC2FC2" w:rsidRPr="1E9CA6D6">
        <w:rPr>
          <w:rFonts w:ascii="Georgia" w:hAnsi="Georgia"/>
          <w:sz w:val="24"/>
          <w:szCs w:val="24"/>
          <w:lang w:bidi="th-TH"/>
        </w:rPr>
        <w:t xml:space="preserve"> code in which the home of one of us is located.</w:t>
      </w:r>
      <w:r w:rsidR="00671F59" w:rsidRPr="1E9CA6D6">
        <w:rPr>
          <w:rStyle w:val="FootnoteReference"/>
          <w:rFonts w:ascii="Georgia" w:hAnsi="Georgia"/>
          <w:b/>
          <w:bCs/>
          <w:sz w:val="24"/>
          <w:szCs w:val="24"/>
          <w:lang w:bidi="th-TH"/>
        </w:rPr>
        <w:t xml:space="preserve"> </w:t>
      </w:r>
      <w:r w:rsidR="00EC2FC2" w:rsidRPr="1E9CA6D6">
        <w:rPr>
          <w:rFonts w:ascii="Georgia" w:hAnsi="Georgia"/>
          <w:sz w:val="24"/>
          <w:szCs w:val="24"/>
          <w:lang w:bidi="th-TH"/>
        </w:rPr>
        <w:t>Nor prior to researching this essay</w:t>
      </w:r>
      <w:r w:rsidR="00EC2FC2" w:rsidRPr="1E9CA6D6">
        <w:rPr>
          <w:rFonts w:ascii="Georgia" w:hAnsi="Georgia"/>
          <w:b/>
          <w:bCs/>
          <w:sz w:val="24"/>
          <w:szCs w:val="24"/>
          <w:lang w:bidi="th-TH"/>
        </w:rPr>
        <w:t xml:space="preserve"> </w:t>
      </w:r>
      <w:r w:rsidR="00EC2FC2" w:rsidRPr="1E9CA6D6">
        <w:rPr>
          <w:rFonts w:ascii="Georgia" w:hAnsi="Georgia"/>
          <w:sz w:val="24"/>
          <w:szCs w:val="24"/>
          <w:lang w:bidi="th-TH"/>
        </w:rPr>
        <w:t xml:space="preserve">did we even know how many </w:t>
      </w:r>
      <w:r w:rsidR="00453D8A" w:rsidRPr="1E9CA6D6">
        <w:rPr>
          <w:rFonts w:ascii="Georgia" w:hAnsi="Georgia"/>
          <w:sz w:val="24"/>
          <w:szCs w:val="24"/>
          <w:lang w:bidi="th-TH"/>
        </w:rPr>
        <w:t>ZIP</w:t>
      </w:r>
      <w:r w:rsidR="00EC2FC2" w:rsidRPr="1E9CA6D6">
        <w:rPr>
          <w:rFonts w:ascii="Georgia" w:hAnsi="Georgia"/>
          <w:sz w:val="24"/>
          <w:szCs w:val="24"/>
          <w:lang w:bidi="th-TH"/>
        </w:rPr>
        <w:t xml:space="preserve"> codes are included in the City of Irvine, or whether any of those </w:t>
      </w:r>
      <w:r w:rsidR="00453D8A" w:rsidRPr="1E9CA6D6">
        <w:rPr>
          <w:rFonts w:ascii="Georgia" w:hAnsi="Georgia"/>
          <w:sz w:val="24"/>
          <w:szCs w:val="24"/>
          <w:lang w:bidi="th-TH"/>
        </w:rPr>
        <w:t>ZIP</w:t>
      </w:r>
      <w:r w:rsidR="00EC2FC2" w:rsidRPr="1E9CA6D6">
        <w:rPr>
          <w:rFonts w:ascii="Georgia" w:hAnsi="Georgia"/>
          <w:sz w:val="24"/>
          <w:szCs w:val="24"/>
          <w:lang w:bidi="th-TH"/>
        </w:rPr>
        <w:t xml:space="preserve"> codes extended outside the city. </w:t>
      </w:r>
    </w:p>
    <w:p w14:paraId="0C255D32" w14:textId="3CBECCA0" w:rsidR="00EC2FC2" w:rsidRPr="008C3647" w:rsidRDefault="00453AB4" w:rsidP="1E9CA6D6">
      <w:pPr>
        <w:autoSpaceDE w:val="0"/>
        <w:autoSpaceDN w:val="0"/>
        <w:adjustRightInd w:val="0"/>
        <w:spacing w:after="0" w:line="360" w:lineRule="auto"/>
        <w:ind w:firstLine="720"/>
        <w:jc w:val="both"/>
        <w:rPr>
          <w:rFonts w:ascii="Georgia" w:hAnsi="Georgia" w:cs="Segoe UI"/>
          <w:sz w:val="24"/>
          <w:szCs w:val="24"/>
        </w:rPr>
      </w:pPr>
      <w:r w:rsidRPr="1BC0107E">
        <w:rPr>
          <w:rFonts w:ascii="Georgia" w:hAnsi="Georgia"/>
          <w:sz w:val="24"/>
          <w:szCs w:val="24"/>
          <w:lang w:bidi="th-TH"/>
        </w:rPr>
        <w:t xml:space="preserve">Turning to the other side of </w:t>
      </w:r>
      <w:r w:rsidRPr="00671F59">
        <w:rPr>
          <w:rFonts w:ascii="Georgia" w:hAnsi="Georgia"/>
          <w:sz w:val="24"/>
          <w:szCs w:val="24"/>
          <w:lang w:bidi="th-TH"/>
        </w:rPr>
        <w:t xml:space="preserve">the </w:t>
      </w:r>
      <w:r w:rsidR="33883952" w:rsidRPr="00671F59">
        <w:rPr>
          <w:rFonts w:ascii="Georgia" w:hAnsi="Georgia"/>
          <w:sz w:val="24"/>
          <w:szCs w:val="24"/>
          <w:lang w:bidi="th-TH"/>
        </w:rPr>
        <w:t>argument advanced by C</w:t>
      </w:r>
      <w:r w:rsidR="00671F59" w:rsidRPr="00671F59">
        <w:rPr>
          <w:rFonts w:ascii="Georgia" w:hAnsi="Georgia"/>
          <w:sz w:val="24"/>
          <w:szCs w:val="24"/>
          <w:lang w:bidi="th-TH"/>
        </w:rPr>
        <w:t>uri</w:t>
      </w:r>
      <w:r w:rsidR="33883952" w:rsidRPr="00671F59">
        <w:rPr>
          <w:rFonts w:ascii="Georgia" w:hAnsi="Georgia"/>
          <w:sz w:val="24"/>
          <w:szCs w:val="24"/>
          <w:lang w:bidi="th-TH"/>
        </w:rPr>
        <w:t>el and Steelman</w:t>
      </w:r>
      <w:r w:rsidRPr="00671F59">
        <w:rPr>
          <w:rFonts w:ascii="Georgia" w:hAnsi="Georgia"/>
          <w:sz w:val="24"/>
          <w:szCs w:val="24"/>
          <w:lang w:bidi="th-TH"/>
        </w:rPr>
        <w:t xml:space="preserve">, </w:t>
      </w:r>
      <w:r w:rsidRPr="1BC0107E">
        <w:rPr>
          <w:rFonts w:ascii="Georgia" w:hAnsi="Georgia"/>
          <w:sz w:val="24"/>
          <w:szCs w:val="24"/>
          <w:lang w:bidi="th-TH"/>
        </w:rPr>
        <w:t xml:space="preserve">the importance of the use of </w:t>
      </w:r>
      <w:r w:rsidR="00453D8A">
        <w:rPr>
          <w:rFonts w:ascii="Georgia" w:hAnsi="Georgia"/>
          <w:sz w:val="24"/>
          <w:szCs w:val="24"/>
          <w:lang w:bidi="th-TH"/>
        </w:rPr>
        <w:t>ZIP</w:t>
      </w:r>
      <w:r w:rsidRPr="1BC0107E">
        <w:rPr>
          <w:rFonts w:ascii="Georgia" w:hAnsi="Georgia"/>
          <w:sz w:val="24"/>
          <w:szCs w:val="24"/>
          <w:lang w:bidi="th-TH"/>
        </w:rPr>
        <w:t xml:space="preserve"> codes by congress memb</w:t>
      </w:r>
      <w:r w:rsidR="1D012A95" w:rsidRPr="1BC0107E">
        <w:rPr>
          <w:rFonts w:ascii="Georgia" w:hAnsi="Georgia"/>
          <w:sz w:val="24"/>
          <w:szCs w:val="24"/>
          <w:lang w:bidi="th-TH"/>
        </w:rPr>
        <w:t>e</w:t>
      </w:r>
      <w:r w:rsidRPr="1BC0107E">
        <w:rPr>
          <w:rFonts w:ascii="Georgia" w:hAnsi="Georgia"/>
          <w:sz w:val="24"/>
          <w:szCs w:val="24"/>
          <w:lang w:bidi="th-TH"/>
        </w:rPr>
        <w:t>rs taking advantage of their franking privilege to identify their constituents,</w:t>
      </w:r>
      <w:r w:rsidR="008C3647" w:rsidRPr="1BC0107E">
        <w:rPr>
          <w:rStyle w:val="FootnoteReference"/>
          <w:rFonts w:ascii="Georgia" w:hAnsi="Georgia" w:cs="Segoe UI"/>
          <w:sz w:val="24"/>
          <w:szCs w:val="24"/>
        </w:rPr>
        <w:footnoteReference w:id="11"/>
      </w:r>
      <w:r w:rsidRPr="1BC0107E">
        <w:rPr>
          <w:rFonts w:ascii="Georgia" w:hAnsi="Georgia"/>
          <w:sz w:val="24"/>
          <w:szCs w:val="24"/>
          <w:lang w:bidi="th-TH"/>
        </w:rPr>
        <w:t xml:space="preserve"> there are two problems with the argument. </w:t>
      </w:r>
      <w:r w:rsidR="00131B66" w:rsidRPr="1BC0107E">
        <w:rPr>
          <w:rFonts w:ascii="Georgia" w:hAnsi="Georgia"/>
          <w:sz w:val="24"/>
          <w:szCs w:val="24"/>
          <w:lang w:bidi="th-TH"/>
        </w:rPr>
        <w:t>On the one hand,</w:t>
      </w:r>
      <w:r w:rsidRPr="1BC0107E">
        <w:rPr>
          <w:rFonts w:ascii="Georgia" w:hAnsi="Georgia"/>
          <w:sz w:val="24"/>
          <w:szCs w:val="24"/>
          <w:lang w:bidi="th-TH"/>
        </w:rPr>
        <w:t xml:space="preserve"> the evidence presented by Curiel and Steelman (2018) themselves shows that, </w:t>
      </w:r>
      <w:r w:rsidR="00131B66" w:rsidRPr="1BC0107E">
        <w:rPr>
          <w:rFonts w:ascii="Georgia" w:hAnsi="Georgia"/>
          <w:sz w:val="24"/>
          <w:szCs w:val="24"/>
          <w:lang w:bidi="th-TH"/>
        </w:rPr>
        <w:t xml:space="preserve">even </w:t>
      </w:r>
      <w:r w:rsidRPr="1BC0107E">
        <w:rPr>
          <w:rFonts w:ascii="Georgia" w:hAnsi="Georgia" w:cs="Segoe UI"/>
          <w:sz w:val="24"/>
          <w:szCs w:val="24"/>
        </w:rPr>
        <w:t xml:space="preserve">where </w:t>
      </w:r>
      <w:r w:rsidR="00453D8A">
        <w:rPr>
          <w:rFonts w:ascii="Georgia" w:hAnsi="Georgia" w:cs="Segoe UI"/>
          <w:sz w:val="24"/>
          <w:szCs w:val="24"/>
        </w:rPr>
        <w:t>ZIP</w:t>
      </w:r>
      <w:r w:rsidRPr="1BC0107E">
        <w:rPr>
          <w:rFonts w:ascii="Georgia" w:hAnsi="Georgia" w:cs="Segoe UI"/>
          <w:sz w:val="24"/>
          <w:szCs w:val="24"/>
        </w:rPr>
        <w:t xml:space="preserve"> codes are split</w:t>
      </w:r>
      <w:r w:rsidR="00131B66" w:rsidRPr="1BC0107E">
        <w:rPr>
          <w:rFonts w:ascii="Georgia" w:hAnsi="Georgia" w:cs="Segoe UI"/>
          <w:sz w:val="24"/>
          <w:szCs w:val="24"/>
        </w:rPr>
        <w:t xml:space="preserve"> across districts</w:t>
      </w:r>
      <w:r w:rsidRPr="1BC0107E">
        <w:rPr>
          <w:rFonts w:ascii="Georgia" w:hAnsi="Georgia" w:cs="Segoe UI"/>
          <w:sz w:val="24"/>
          <w:szCs w:val="24"/>
        </w:rPr>
        <w:t>,</w:t>
      </w:r>
      <w:r w:rsidRPr="1BC0107E">
        <w:rPr>
          <w:rFonts w:ascii="Georgia" w:hAnsi="Georgia"/>
          <w:sz w:val="24"/>
          <w:szCs w:val="24"/>
          <w:lang w:bidi="th-TH"/>
        </w:rPr>
        <w:t xml:space="preserve"> legislators can identify those contacting them </w:t>
      </w:r>
      <w:r w:rsidRPr="1BC0107E">
        <w:rPr>
          <w:rFonts w:ascii="Georgia" w:hAnsi="Georgia" w:cs="Segoe UI"/>
          <w:sz w:val="24"/>
          <w:szCs w:val="24"/>
        </w:rPr>
        <w:t>who do not actually live in their district.</w:t>
      </w:r>
      <w:r w:rsidR="008C3647" w:rsidRPr="1BC0107E">
        <w:rPr>
          <w:rStyle w:val="FootnoteReference"/>
          <w:rFonts w:ascii="Georgia" w:hAnsi="Georgia" w:cs="Segoe UI"/>
          <w:sz w:val="24"/>
          <w:szCs w:val="24"/>
        </w:rPr>
        <w:footnoteReference w:id="12"/>
      </w:r>
      <w:r w:rsidRPr="1BC0107E">
        <w:rPr>
          <w:rFonts w:ascii="Georgia" w:hAnsi="Georgia" w:cs="Segoe UI"/>
          <w:sz w:val="24"/>
          <w:szCs w:val="24"/>
        </w:rPr>
        <w:t xml:space="preserve"> </w:t>
      </w:r>
      <w:r w:rsidR="00131B66" w:rsidRPr="1BC0107E">
        <w:rPr>
          <w:rFonts w:ascii="Georgia" w:hAnsi="Georgia" w:cs="Segoe UI"/>
          <w:sz w:val="24"/>
          <w:szCs w:val="24"/>
        </w:rPr>
        <w:t>On the other hand, the use of snail mail for political communication is decreasing, especially for office holders in higher profile positions whose communication tools are more sophisticated. Increasingly</w:t>
      </w:r>
      <w:r w:rsidR="00717B84" w:rsidRPr="1BC0107E">
        <w:rPr>
          <w:rFonts w:ascii="Georgia" w:hAnsi="Georgia" w:cs="Segoe UI"/>
          <w:sz w:val="24"/>
          <w:szCs w:val="24"/>
        </w:rPr>
        <w:t>,</w:t>
      </w:r>
      <w:r w:rsidR="00131B66" w:rsidRPr="1BC0107E">
        <w:rPr>
          <w:rFonts w:ascii="Georgia" w:hAnsi="Georgia" w:cs="Segoe UI"/>
          <w:sz w:val="24"/>
          <w:szCs w:val="24"/>
        </w:rPr>
        <w:t xml:space="preserve"> information is shared via social media and other on-line communication tools. </w:t>
      </w:r>
      <w:r w:rsidR="2FABFEB3" w:rsidRPr="008C3647">
        <w:rPr>
          <w:rFonts w:ascii="Georgia" w:hAnsi="Georgia" w:cs="Segoe UI"/>
          <w:sz w:val="24"/>
          <w:szCs w:val="24"/>
        </w:rPr>
        <w:t xml:space="preserve">Members of the House of Representatives all </w:t>
      </w:r>
      <w:r w:rsidR="7E066916" w:rsidRPr="008C3647">
        <w:rPr>
          <w:rFonts w:ascii="Georgia" w:hAnsi="Georgia" w:cs="Segoe UI"/>
          <w:sz w:val="24"/>
          <w:szCs w:val="24"/>
        </w:rPr>
        <w:t>receive</w:t>
      </w:r>
      <w:r w:rsidR="2FABFEB3" w:rsidRPr="008C3647">
        <w:rPr>
          <w:rFonts w:ascii="Georgia" w:hAnsi="Georgia" w:cs="Segoe UI"/>
          <w:sz w:val="24"/>
          <w:szCs w:val="24"/>
        </w:rPr>
        <w:t xml:space="preserve"> a website on the </w:t>
      </w:r>
      <w:r w:rsidR="458B3FF2" w:rsidRPr="008C3647">
        <w:rPr>
          <w:rFonts w:ascii="Georgia" w:hAnsi="Georgia" w:cs="Segoe UI"/>
          <w:sz w:val="24"/>
          <w:szCs w:val="24"/>
        </w:rPr>
        <w:t>domain</w:t>
      </w:r>
      <w:r w:rsidR="00434677">
        <w:rPr>
          <w:rFonts w:ascii="Georgia" w:hAnsi="Georgia" w:cs="Segoe UI"/>
          <w:sz w:val="24"/>
          <w:szCs w:val="24"/>
        </w:rPr>
        <w:t xml:space="preserve"> </w:t>
      </w:r>
      <w:r w:rsidR="008C3647">
        <w:rPr>
          <w:rFonts w:ascii="Georgia" w:hAnsi="Georgia" w:cs="Segoe UI"/>
          <w:sz w:val="24"/>
          <w:szCs w:val="24"/>
        </w:rPr>
        <w:t>“</w:t>
      </w:r>
      <w:r w:rsidR="2FABFEB3" w:rsidRPr="008C3647">
        <w:rPr>
          <w:rFonts w:ascii="Georgia" w:hAnsi="Georgia" w:cs="Segoe UI"/>
          <w:sz w:val="24"/>
          <w:szCs w:val="24"/>
        </w:rPr>
        <w:t xml:space="preserve">house.gov” where they can directly </w:t>
      </w:r>
      <w:r w:rsidR="6AB4C5C3" w:rsidRPr="008C3647">
        <w:rPr>
          <w:rFonts w:ascii="Georgia" w:hAnsi="Georgia" w:cs="Segoe UI"/>
          <w:sz w:val="24"/>
          <w:szCs w:val="24"/>
        </w:rPr>
        <w:t>receive</w:t>
      </w:r>
      <w:r w:rsidR="2FABFEB3" w:rsidRPr="008C3647">
        <w:rPr>
          <w:rFonts w:ascii="Georgia" w:hAnsi="Georgia" w:cs="Segoe UI"/>
          <w:sz w:val="24"/>
          <w:szCs w:val="24"/>
        </w:rPr>
        <w:t xml:space="preserve"> mail</w:t>
      </w:r>
      <w:r w:rsidR="00131B66" w:rsidRPr="008C3647">
        <w:rPr>
          <w:rFonts w:ascii="Georgia" w:hAnsi="Georgia" w:cs="Segoe UI"/>
          <w:sz w:val="24"/>
          <w:szCs w:val="24"/>
        </w:rPr>
        <w:t>.</w:t>
      </w:r>
      <w:r w:rsidR="4DF1592C" w:rsidRPr="008C3647">
        <w:rPr>
          <w:rFonts w:ascii="Georgia" w:hAnsi="Georgia" w:cs="Segoe UI"/>
          <w:sz w:val="24"/>
          <w:szCs w:val="24"/>
        </w:rPr>
        <w:t xml:space="preserve"> They also often have campaign websites where they raise money and communicate policy preferences.</w:t>
      </w:r>
    </w:p>
    <w:p w14:paraId="53B2A565" w14:textId="55444F60" w:rsidR="00116D0E" w:rsidRDefault="00712A7E" w:rsidP="1E9CA6D6">
      <w:pPr>
        <w:autoSpaceDE w:val="0"/>
        <w:autoSpaceDN w:val="0"/>
        <w:adjustRightInd w:val="0"/>
        <w:spacing w:after="0" w:line="360" w:lineRule="auto"/>
        <w:ind w:firstLine="720"/>
        <w:jc w:val="both"/>
        <w:rPr>
          <w:rFonts w:ascii="Georgia" w:hAnsi="Georgia"/>
          <w:sz w:val="24"/>
          <w:szCs w:val="24"/>
          <w:lang w:bidi="th-TH"/>
        </w:rPr>
      </w:pPr>
      <w:r w:rsidRPr="1E9CA6D6">
        <w:rPr>
          <w:rFonts w:ascii="Georgia" w:hAnsi="Georgia"/>
          <w:sz w:val="24"/>
          <w:szCs w:val="24"/>
          <w:lang w:bidi="th-TH"/>
        </w:rPr>
        <w:t>Second</w:t>
      </w:r>
      <w:r w:rsidR="005343B8" w:rsidRPr="1E9CA6D6">
        <w:rPr>
          <w:rFonts w:ascii="Georgia" w:hAnsi="Georgia"/>
          <w:sz w:val="24"/>
          <w:szCs w:val="24"/>
          <w:lang w:bidi="th-TH"/>
        </w:rPr>
        <w:t xml:space="preserve">, </w:t>
      </w:r>
      <w:r w:rsidR="008C3647" w:rsidRPr="1E9CA6D6">
        <w:rPr>
          <w:rFonts w:ascii="Georgia" w:hAnsi="Georgia"/>
          <w:sz w:val="24"/>
          <w:szCs w:val="24"/>
          <w:lang w:bidi="th-TH"/>
        </w:rPr>
        <w:t>Curiel and Steelman</w:t>
      </w:r>
      <w:r w:rsidR="0030700D" w:rsidRPr="1E9CA6D6">
        <w:rPr>
          <w:rFonts w:ascii="Georgia" w:hAnsi="Georgia"/>
          <w:sz w:val="24"/>
          <w:szCs w:val="24"/>
          <w:lang w:bidi="th-TH"/>
        </w:rPr>
        <w:t xml:space="preserve"> imply</w:t>
      </w:r>
      <w:r w:rsidR="0030700D" w:rsidRPr="1E9CA6D6">
        <w:rPr>
          <w:rFonts w:ascii="Georgia" w:hAnsi="Georgia"/>
          <w:b/>
          <w:bCs/>
          <w:sz w:val="24"/>
          <w:szCs w:val="24"/>
          <w:lang w:bidi="th-TH"/>
        </w:rPr>
        <w:t xml:space="preserve"> </w:t>
      </w:r>
      <w:r w:rsidR="0030700D" w:rsidRPr="1E9CA6D6">
        <w:rPr>
          <w:rFonts w:ascii="Georgia" w:hAnsi="Georgia"/>
          <w:sz w:val="24"/>
          <w:szCs w:val="24"/>
          <w:lang w:bidi="th-TH"/>
        </w:rPr>
        <w:t xml:space="preserve">(2020: 5) that </w:t>
      </w:r>
      <w:r w:rsidR="0030700D" w:rsidRPr="1E9CA6D6">
        <w:rPr>
          <w:rFonts w:ascii="Georgia" w:hAnsi="Georgia" w:cs="Calibri"/>
          <w:sz w:val="24"/>
          <w:szCs w:val="24"/>
        </w:rPr>
        <w:t>ZIP codes are “</w:t>
      </w:r>
      <w:proofErr w:type="gramStart"/>
      <w:r w:rsidR="0030700D" w:rsidRPr="1E9CA6D6">
        <w:rPr>
          <w:rFonts w:ascii="Georgia" w:hAnsi="Georgia" w:cs="Calibri"/>
          <w:sz w:val="24"/>
          <w:szCs w:val="24"/>
        </w:rPr>
        <w:t>maximize[</w:t>
      </w:r>
      <w:proofErr w:type="spellStart"/>
      <w:proofErr w:type="gramEnd"/>
      <w:r w:rsidR="0030700D" w:rsidRPr="1E9CA6D6">
        <w:rPr>
          <w:rFonts w:ascii="Georgia" w:hAnsi="Georgia" w:cs="Calibri"/>
          <w:sz w:val="24"/>
          <w:szCs w:val="24"/>
        </w:rPr>
        <w:t>ers</w:t>
      </w:r>
      <w:proofErr w:type="spellEnd"/>
      <w:r w:rsidR="0030700D" w:rsidRPr="1E9CA6D6">
        <w:rPr>
          <w:rFonts w:ascii="Georgia" w:hAnsi="Georgia" w:cs="Calibri"/>
          <w:sz w:val="24"/>
          <w:szCs w:val="24"/>
        </w:rPr>
        <w:t xml:space="preserve"> of] the cons</w:t>
      </w:r>
      <w:r w:rsidR="0030700D" w:rsidRPr="1E9CA6D6">
        <w:rPr>
          <w:rFonts w:ascii="Georgia" w:eastAsia="Calibri" w:hAnsi="Georgia" w:cs="Calibri"/>
          <w:sz w:val="24"/>
          <w:szCs w:val="24"/>
        </w:rPr>
        <w:t>ti</w:t>
      </w:r>
      <w:r w:rsidR="0030700D" w:rsidRPr="1E9CA6D6">
        <w:rPr>
          <w:rFonts w:ascii="Georgia" w:hAnsi="Georgia" w:cs="Calibri"/>
          <w:sz w:val="24"/>
          <w:szCs w:val="24"/>
        </w:rPr>
        <w:t>tuent</w:t>
      </w:r>
      <w:r w:rsidR="0030700D" w:rsidRPr="1E9CA6D6">
        <w:rPr>
          <w:rFonts w:ascii="Times New Roman" w:hAnsi="Times New Roman" w:cs="Times New Roman"/>
          <w:sz w:val="24"/>
          <w:szCs w:val="24"/>
        </w:rPr>
        <w:t>‐</w:t>
      </w:r>
      <w:r w:rsidR="0030700D" w:rsidRPr="1E9CA6D6">
        <w:rPr>
          <w:rFonts w:ascii="Georgia" w:hAnsi="Georgia" w:cs="Calibri"/>
          <w:sz w:val="24"/>
          <w:szCs w:val="24"/>
        </w:rPr>
        <w:t>representative link.” But</w:t>
      </w:r>
      <w:r w:rsidR="0030700D" w:rsidRPr="1E9CA6D6">
        <w:rPr>
          <w:rFonts w:ascii="Georgia" w:hAnsi="Georgia"/>
          <w:sz w:val="24"/>
          <w:szCs w:val="24"/>
          <w:lang w:bidi="th-TH"/>
        </w:rPr>
        <w:t xml:space="preserve"> they do not directly test the importance of ZIP codes as against other features of a district such as the preservation of city boundaries. </w:t>
      </w:r>
      <w:r w:rsidR="00453D8A" w:rsidRPr="1E9CA6D6">
        <w:rPr>
          <w:rFonts w:ascii="Georgia" w:hAnsi="Georgia"/>
          <w:sz w:val="24"/>
          <w:szCs w:val="24"/>
          <w:lang w:bidi="th-TH"/>
        </w:rPr>
        <w:t>ZIP</w:t>
      </w:r>
      <w:r w:rsidR="005343B8" w:rsidRPr="1E9CA6D6">
        <w:rPr>
          <w:rFonts w:ascii="Georgia" w:hAnsi="Georgia"/>
          <w:sz w:val="24"/>
          <w:szCs w:val="24"/>
          <w:lang w:bidi="th-TH"/>
        </w:rPr>
        <w:t xml:space="preserve"> codes </w:t>
      </w:r>
      <w:r w:rsidR="00116D0E" w:rsidRPr="1E9CA6D6">
        <w:rPr>
          <w:rFonts w:ascii="Georgia" w:hAnsi="Georgia"/>
          <w:sz w:val="24"/>
          <w:szCs w:val="24"/>
          <w:lang w:bidi="th-TH"/>
        </w:rPr>
        <w:t>need</w:t>
      </w:r>
      <w:r w:rsidR="005343B8" w:rsidRPr="1E9CA6D6">
        <w:rPr>
          <w:rFonts w:ascii="Georgia" w:hAnsi="Georgia"/>
          <w:sz w:val="24"/>
          <w:szCs w:val="24"/>
          <w:lang w:bidi="th-TH"/>
        </w:rPr>
        <w:t xml:space="preserve"> not coincide </w:t>
      </w:r>
      <w:r w:rsidR="004712FD" w:rsidRPr="1E9CA6D6">
        <w:rPr>
          <w:rFonts w:ascii="Georgia" w:hAnsi="Georgia"/>
          <w:sz w:val="24"/>
          <w:szCs w:val="24"/>
          <w:lang w:bidi="th-TH"/>
        </w:rPr>
        <w:t xml:space="preserve">with </w:t>
      </w:r>
      <w:r w:rsidR="005343B8" w:rsidRPr="1E9CA6D6">
        <w:rPr>
          <w:rFonts w:ascii="Georgia" w:hAnsi="Georgia"/>
          <w:sz w:val="24"/>
          <w:szCs w:val="24"/>
          <w:lang w:bidi="th-TH"/>
        </w:rPr>
        <w:t>political subunit boundaries</w:t>
      </w:r>
      <w:r w:rsidR="004712FD" w:rsidRPr="1E9CA6D6">
        <w:rPr>
          <w:rFonts w:ascii="Georgia" w:hAnsi="Georgia"/>
          <w:sz w:val="24"/>
          <w:szCs w:val="24"/>
          <w:lang w:bidi="th-TH"/>
        </w:rPr>
        <w:t xml:space="preserve"> </w:t>
      </w:r>
      <w:r w:rsidR="00E062C1" w:rsidRPr="1E9CA6D6">
        <w:rPr>
          <w:rFonts w:ascii="Georgia" w:hAnsi="Georgia"/>
          <w:sz w:val="24"/>
          <w:szCs w:val="24"/>
          <w:lang w:bidi="th-TH"/>
        </w:rPr>
        <w:t xml:space="preserve">with which </w:t>
      </w:r>
      <w:r w:rsidR="004712FD" w:rsidRPr="1E9CA6D6">
        <w:rPr>
          <w:rFonts w:ascii="Georgia" w:hAnsi="Georgia"/>
          <w:sz w:val="24"/>
          <w:szCs w:val="24"/>
          <w:lang w:bidi="th-TH"/>
        </w:rPr>
        <w:t>voters are more familiar</w:t>
      </w:r>
      <w:r w:rsidR="00256D20" w:rsidRPr="1E9CA6D6">
        <w:rPr>
          <w:rFonts w:ascii="Georgia" w:hAnsi="Georgia"/>
          <w:sz w:val="24"/>
          <w:szCs w:val="24"/>
          <w:lang w:bidi="th-TH"/>
        </w:rPr>
        <w:t>.</w:t>
      </w:r>
      <w:r w:rsidR="00E062C1" w:rsidRPr="1E9CA6D6">
        <w:rPr>
          <w:rFonts w:ascii="Georgia" w:hAnsi="Georgia"/>
          <w:sz w:val="24"/>
          <w:szCs w:val="24"/>
          <w:lang w:bidi="th-TH"/>
        </w:rPr>
        <w:t xml:space="preserve"> </w:t>
      </w:r>
    </w:p>
    <w:p w14:paraId="58C4E8F6" w14:textId="6295591D" w:rsidR="0032432C" w:rsidRDefault="00E062C1" w:rsidP="1E9CA6D6">
      <w:pPr>
        <w:autoSpaceDE w:val="0"/>
        <w:autoSpaceDN w:val="0"/>
        <w:adjustRightInd w:val="0"/>
        <w:spacing w:after="0" w:line="360" w:lineRule="auto"/>
        <w:ind w:firstLine="720"/>
        <w:jc w:val="both"/>
        <w:rPr>
          <w:rFonts w:ascii="Georgia" w:hAnsi="Georgia"/>
          <w:sz w:val="24"/>
          <w:szCs w:val="24"/>
          <w:lang w:bidi="th-TH"/>
        </w:rPr>
      </w:pPr>
      <w:r w:rsidRPr="1BC0107E">
        <w:rPr>
          <w:rFonts w:ascii="Georgia" w:hAnsi="Georgia"/>
          <w:sz w:val="24"/>
          <w:szCs w:val="24"/>
          <w:lang w:bidi="th-TH"/>
        </w:rPr>
        <w:t>In</w:t>
      </w:r>
      <w:r w:rsidR="00257D3F" w:rsidRPr="1BC0107E">
        <w:rPr>
          <w:rFonts w:ascii="Georgia" w:hAnsi="Georgia"/>
          <w:sz w:val="24"/>
          <w:szCs w:val="24"/>
          <w:lang w:bidi="th-TH"/>
        </w:rPr>
        <w:t xml:space="preserve"> the process of writing this essay we learned that </w:t>
      </w:r>
      <w:r w:rsidR="00257D3F" w:rsidRPr="1BC0107E">
        <w:rPr>
          <w:rFonts w:ascii="Georgia" w:hAnsi="Georgia"/>
          <w:sz w:val="24"/>
          <w:szCs w:val="24"/>
        </w:rPr>
        <w:t xml:space="preserve">pieces of seventeen </w:t>
      </w:r>
      <w:r w:rsidR="00453D8A">
        <w:rPr>
          <w:rFonts w:ascii="Georgia" w:hAnsi="Georgia"/>
          <w:sz w:val="24"/>
          <w:szCs w:val="24"/>
        </w:rPr>
        <w:t>ZIP</w:t>
      </w:r>
      <w:r w:rsidR="00257D3F" w:rsidRPr="1BC0107E">
        <w:rPr>
          <w:rFonts w:ascii="Georgia" w:hAnsi="Georgia"/>
          <w:sz w:val="24"/>
          <w:szCs w:val="24"/>
        </w:rPr>
        <w:t xml:space="preserve"> codes are contained in the City of Irvine, but </w:t>
      </w:r>
      <w:proofErr w:type="gramStart"/>
      <w:r w:rsidR="00257D3F" w:rsidRPr="1BC0107E">
        <w:rPr>
          <w:rFonts w:ascii="Georgia" w:hAnsi="Georgia"/>
          <w:sz w:val="24"/>
          <w:szCs w:val="24"/>
        </w:rPr>
        <w:t>the majority of</w:t>
      </w:r>
      <w:proofErr w:type="gramEnd"/>
      <w:r w:rsidR="00434677">
        <w:rPr>
          <w:rFonts w:ascii="Georgia" w:hAnsi="Georgia"/>
          <w:sz w:val="24"/>
          <w:szCs w:val="24"/>
        </w:rPr>
        <w:t xml:space="preserve"> </w:t>
      </w:r>
      <w:r w:rsidR="00257D3F" w:rsidRPr="1BC0107E">
        <w:rPr>
          <w:rFonts w:ascii="Georgia" w:hAnsi="Georgia"/>
          <w:sz w:val="24"/>
          <w:szCs w:val="24"/>
        </w:rPr>
        <w:t xml:space="preserve">voters in some split </w:t>
      </w:r>
      <w:r w:rsidR="00453D8A">
        <w:rPr>
          <w:rFonts w:ascii="Georgia" w:hAnsi="Georgia"/>
          <w:sz w:val="24"/>
          <w:szCs w:val="24"/>
        </w:rPr>
        <w:t>ZIP</w:t>
      </w:r>
      <w:r w:rsidR="00257D3F" w:rsidRPr="1BC0107E">
        <w:rPr>
          <w:rFonts w:ascii="Georgia" w:hAnsi="Georgia"/>
          <w:sz w:val="24"/>
          <w:szCs w:val="24"/>
        </w:rPr>
        <w:t xml:space="preserve"> codes, such as 92630, which is predominantly in Lake Forest, CA, do not live in Irvine. By our best judgment, only two </w:t>
      </w:r>
      <w:r w:rsidR="00453D8A">
        <w:rPr>
          <w:rFonts w:ascii="Georgia" w:hAnsi="Georgia"/>
          <w:sz w:val="24"/>
          <w:szCs w:val="24"/>
        </w:rPr>
        <w:t>ZIP</w:t>
      </w:r>
      <w:r w:rsidR="00257D3F" w:rsidRPr="1BC0107E">
        <w:rPr>
          <w:rFonts w:ascii="Georgia" w:hAnsi="Georgia"/>
          <w:sz w:val="24"/>
          <w:szCs w:val="24"/>
        </w:rPr>
        <w:t xml:space="preserve"> codes of the seventeen are wholly contained within the City of Irvine, CA (92604, 92617).</w:t>
      </w:r>
      <w:r w:rsidR="00257D3F" w:rsidRPr="1BC0107E">
        <w:rPr>
          <w:rStyle w:val="FootnoteReference"/>
          <w:rFonts w:ascii="Georgia" w:hAnsi="Georgia"/>
          <w:sz w:val="24"/>
          <w:szCs w:val="24"/>
        </w:rPr>
        <w:footnoteReference w:id="13"/>
      </w:r>
      <w:r w:rsidRPr="00E062C1">
        <w:rPr>
          <w:rFonts w:ascii="Georgia" w:hAnsi="Georgia"/>
          <w:b/>
          <w:bCs/>
          <w:sz w:val="24"/>
          <w:szCs w:val="24"/>
        </w:rPr>
        <w:t xml:space="preserve"> </w:t>
      </w:r>
      <w:r w:rsidR="00257D3F" w:rsidRPr="1BC0107E">
        <w:rPr>
          <w:rFonts w:ascii="Georgia" w:hAnsi="Georgia"/>
          <w:sz w:val="24"/>
          <w:szCs w:val="24"/>
        </w:rPr>
        <w:t xml:space="preserve">But the City of Irvine is wholly within California CD 45, and that, in our view, matters a lot more for the </w:t>
      </w:r>
      <w:proofErr w:type="spellStart"/>
      <w:r w:rsidR="00257D3F" w:rsidRPr="489FFC7A">
        <w:rPr>
          <w:rFonts w:ascii="Georgia" w:hAnsi="Georgia"/>
          <w:i/>
          <w:iCs/>
          <w:sz w:val="24"/>
          <w:szCs w:val="24"/>
        </w:rPr>
        <w:t>cognizability</w:t>
      </w:r>
      <w:proofErr w:type="spellEnd"/>
      <w:r w:rsidR="00257D3F" w:rsidRPr="489FFC7A">
        <w:rPr>
          <w:rFonts w:ascii="Georgia" w:hAnsi="Georgia"/>
          <w:i/>
          <w:iCs/>
          <w:sz w:val="24"/>
          <w:szCs w:val="24"/>
        </w:rPr>
        <w:t xml:space="preserve"> </w:t>
      </w:r>
      <w:r w:rsidR="00257D3F" w:rsidRPr="1BC0107E">
        <w:rPr>
          <w:rFonts w:ascii="Georgia" w:hAnsi="Georgia"/>
          <w:sz w:val="24"/>
          <w:szCs w:val="24"/>
        </w:rPr>
        <w:t>of that CD to the residents of Irvine</w:t>
      </w:r>
      <w:r w:rsidR="00116D0E">
        <w:rPr>
          <w:rFonts w:ascii="Georgia" w:hAnsi="Georgia"/>
          <w:sz w:val="24"/>
          <w:szCs w:val="24"/>
        </w:rPr>
        <w:t xml:space="preserve"> than knowing ZIP code</w:t>
      </w:r>
      <w:r w:rsidR="00257D3F" w:rsidRPr="1BC0107E">
        <w:rPr>
          <w:rFonts w:ascii="Georgia" w:hAnsi="Georgia"/>
          <w:sz w:val="24"/>
          <w:szCs w:val="24"/>
        </w:rPr>
        <w:t>.</w:t>
      </w:r>
      <w:r w:rsidR="00257D3F" w:rsidRPr="5037D466">
        <w:rPr>
          <w:rFonts w:ascii="Georgia" w:hAnsi="Georgia"/>
          <w:sz w:val="24"/>
          <w:szCs w:val="24"/>
        </w:rPr>
        <w:t xml:space="preserve"> </w:t>
      </w:r>
      <w:r w:rsidR="00116D0E" w:rsidRPr="5037D466">
        <w:rPr>
          <w:rFonts w:ascii="Georgia" w:hAnsi="Georgia"/>
          <w:sz w:val="24"/>
          <w:szCs w:val="24"/>
          <w:lang w:bidi="th-TH"/>
        </w:rPr>
        <w:t xml:space="preserve">Also, in </w:t>
      </w:r>
      <w:r w:rsidR="00F97D6D" w:rsidRPr="1E9CA6D6">
        <w:rPr>
          <w:rFonts w:ascii="Georgia" w:hAnsi="Georgia"/>
          <w:sz w:val="24"/>
          <w:szCs w:val="24"/>
          <w:lang w:bidi="th-TH"/>
        </w:rPr>
        <w:t>more</w:t>
      </w:r>
      <w:r w:rsidR="00116D0E" w:rsidRPr="5037D466">
        <w:rPr>
          <w:rFonts w:ascii="Georgia" w:hAnsi="Georgia"/>
          <w:sz w:val="24"/>
          <w:szCs w:val="24"/>
          <w:lang w:bidi="th-TH"/>
        </w:rPr>
        <w:t xml:space="preserve"> rural areas, ZIP codes may be</w:t>
      </w:r>
      <w:r w:rsidR="00F97D6D">
        <w:rPr>
          <w:rFonts w:ascii="Georgia" w:hAnsi="Georgia"/>
          <w:sz w:val="24"/>
          <w:szCs w:val="24"/>
          <w:lang w:bidi="th-TH"/>
        </w:rPr>
        <w:t xml:space="preserve"> </w:t>
      </w:r>
      <w:r w:rsidR="00F97D6D" w:rsidRPr="1E9CA6D6">
        <w:rPr>
          <w:rFonts w:ascii="Georgia" w:hAnsi="Georgia"/>
          <w:sz w:val="24"/>
          <w:szCs w:val="24"/>
          <w:lang w:bidi="th-TH"/>
        </w:rPr>
        <w:t>attached to</w:t>
      </w:r>
      <w:r w:rsidR="00116D0E" w:rsidRPr="5037D466">
        <w:rPr>
          <w:rFonts w:ascii="Georgia" w:hAnsi="Georgia"/>
          <w:sz w:val="24"/>
          <w:szCs w:val="24"/>
          <w:lang w:bidi="th-TH"/>
        </w:rPr>
        <w:t xml:space="preserve"> a city in which voters do not live, or even in another state. In San Juan County, Utah, for example, the postal addresses which some Navajo voters use </w:t>
      </w:r>
      <w:r w:rsidRPr="17D1ED95" w:rsidDel="00116D0E">
        <w:rPr>
          <w:rFonts w:ascii="Georgia" w:hAnsi="Georgia"/>
          <w:sz w:val="24"/>
          <w:szCs w:val="24"/>
          <w:lang w:bidi="th-TH"/>
        </w:rPr>
        <w:t xml:space="preserve">are </w:t>
      </w:r>
      <w:r w:rsidR="1E134405" w:rsidRPr="5037D466">
        <w:rPr>
          <w:rFonts w:ascii="Georgia" w:hAnsi="Georgia"/>
          <w:sz w:val="24"/>
          <w:szCs w:val="24"/>
          <w:lang w:bidi="th-TH"/>
        </w:rPr>
        <w:t>in</w:t>
      </w:r>
      <w:r w:rsidR="00116D0E" w:rsidRPr="5037D466">
        <w:rPr>
          <w:rFonts w:ascii="Georgia" w:hAnsi="Georgia"/>
          <w:sz w:val="24"/>
          <w:szCs w:val="24"/>
          <w:lang w:bidi="th-TH"/>
        </w:rPr>
        <w:t xml:space="preserve"> Arizona.</w:t>
      </w:r>
      <w:r w:rsidR="00116D0E" w:rsidRPr="0030700D">
        <w:rPr>
          <w:rStyle w:val="FootnoteReference"/>
          <w:rFonts w:ascii="Georgia" w:hAnsi="Georgia"/>
          <w:sz w:val="24"/>
          <w:szCs w:val="24"/>
          <w:lang w:bidi="th-TH"/>
        </w:rPr>
        <w:footnoteReference w:id="14"/>
      </w:r>
    </w:p>
    <w:p w14:paraId="58770D79" w14:textId="3C6AA06C" w:rsidR="0032432C" w:rsidRPr="00116D0E" w:rsidRDefault="0032432C" w:rsidP="1E9CA6D6">
      <w:pPr>
        <w:autoSpaceDE w:val="0"/>
        <w:autoSpaceDN w:val="0"/>
        <w:adjustRightInd w:val="0"/>
        <w:spacing w:after="0" w:line="360" w:lineRule="auto"/>
        <w:ind w:firstLine="720"/>
        <w:jc w:val="both"/>
        <w:rPr>
          <w:rFonts w:ascii="Georgia" w:hAnsi="Georgia"/>
          <w:b/>
          <w:bCs/>
          <w:sz w:val="24"/>
          <w:szCs w:val="24"/>
          <w:lang w:bidi="th-TH"/>
        </w:rPr>
      </w:pPr>
      <w:r w:rsidRPr="5037D466">
        <w:rPr>
          <w:rFonts w:ascii="Georgia" w:hAnsi="Georgia"/>
          <w:sz w:val="24"/>
          <w:szCs w:val="24"/>
          <w:lang w:bidi="th-TH"/>
        </w:rPr>
        <w:t xml:space="preserve">The </w:t>
      </w:r>
      <w:r w:rsidR="00116D0E" w:rsidRPr="5037D466">
        <w:rPr>
          <w:rFonts w:ascii="Georgia" w:hAnsi="Georgia"/>
          <w:sz w:val="24"/>
          <w:szCs w:val="24"/>
          <w:lang w:bidi="th-TH"/>
        </w:rPr>
        <w:t xml:space="preserve">present </w:t>
      </w:r>
      <w:r w:rsidRPr="5037D466">
        <w:rPr>
          <w:rFonts w:ascii="Georgia" w:hAnsi="Georgia"/>
          <w:sz w:val="24"/>
          <w:szCs w:val="24"/>
          <w:lang w:bidi="th-TH"/>
        </w:rPr>
        <w:t>authors,</w:t>
      </w:r>
      <w:r w:rsidRPr="0032432C">
        <w:rPr>
          <w:rFonts w:ascii="Georgia" w:hAnsi="Georgia"/>
          <w:sz w:val="24"/>
          <w:szCs w:val="24"/>
          <w:lang w:bidi="th-TH"/>
        </w:rPr>
        <w:t xml:space="preserve"> despite </w:t>
      </w:r>
      <w:r w:rsidR="000D25EA">
        <w:rPr>
          <w:rFonts w:ascii="Georgia" w:hAnsi="Georgia"/>
          <w:sz w:val="24"/>
          <w:szCs w:val="24"/>
          <w:lang w:bidi="th-TH"/>
        </w:rPr>
        <w:t>having</w:t>
      </w:r>
      <w:r w:rsidR="433300F7" w:rsidRPr="5037D466">
        <w:rPr>
          <w:rFonts w:ascii="Georgia" w:hAnsi="Georgia"/>
          <w:b/>
          <w:bCs/>
          <w:sz w:val="24"/>
          <w:szCs w:val="24"/>
          <w:lang w:bidi="th-TH"/>
        </w:rPr>
        <w:t xml:space="preserve"> </w:t>
      </w:r>
      <w:r w:rsidR="000D25EA">
        <w:rPr>
          <w:rFonts w:ascii="Georgia" w:hAnsi="Georgia"/>
          <w:sz w:val="24"/>
          <w:szCs w:val="24"/>
          <w:lang w:bidi="th-TH"/>
        </w:rPr>
        <w:t>familiarity with</w:t>
      </w:r>
      <w:r w:rsidRPr="0032432C">
        <w:rPr>
          <w:rFonts w:ascii="Georgia" w:hAnsi="Georgia"/>
          <w:sz w:val="24"/>
          <w:szCs w:val="24"/>
          <w:lang w:bidi="th-TH"/>
        </w:rPr>
        <w:t xml:space="preserve"> redistricting, could not have identified the exact boundaries of </w:t>
      </w:r>
      <w:r>
        <w:rPr>
          <w:rFonts w:ascii="Georgia" w:hAnsi="Georgia"/>
          <w:sz w:val="24"/>
          <w:szCs w:val="24"/>
          <w:lang w:bidi="th-TH"/>
        </w:rPr>
        <w:t>their</w:t>
      </w:r>
      <w:r w:rsidRPr="0032432C">
        <w:rPr>
          <w:rFonts w:ascii="Georgia" w:hAnsi="Georgia"/>
          <w:sz w:val="24"/>
          <w:szCs w:val="24"/>
          <w:lang w:bidi="th-TH"/>
        </w:rPr>
        <w:t xml:space="preserve"> congressional district or even list all the cities found in whole or in part within it.</w:t>
      </w:r>
      <w:r w:rsidR="00116D0E">
        <w:rPr>
          <w:rFonts w:ascii="Georgia" w:hAnsi="Georgia"/>
          <w:b/>
          <w:bCs/>
          <w:sz w:val="24"/>
          <w:szCs w:val="24"/>
          <w:lang w:bidi="th-TH"/>
        </w:rPr>
        <w:t xml:space="preserve"> </w:t>
      </w:r>
      <w:r>
        <w:rPr>
          <w:rFonts w:ascii="Georgia" w:hAnsi="Georgia"/>
          <w:sz w:val="24"/>
          <w:szCs w:val="24"/>
          <w:lang w:bidi="th-TH"/>
        </w:rPr>
        <w:t>But, e</w:t>
      </w:r>
      <w:r w:rsidR="00E062C1" w:rsidRPr="1BC0107E">
        <w:rPr>
          <w:rFonts w:ascii="Georgia" w:hAnsi="Georgia"/>
          <w:sz w:val="24"/>
          <w:szCs w:val="24"/>
          <w:lang w:bidi="th-TH"/>
        </w:rPr>
        <w:t xml:space="preserve">ven if we do not know which cities are in a </w:t>
      </w:r>
      <w:r w:rsidR="08F13B7A" w:rsidRPr="1BC0107E">
        <w:rPr>
          <w:rFonts w:ascii="Georgia" w:hAnsi="Georgia"/>
          <w:sz w:val="24"/>
          <w:szCs w:val="24"/>
          <w:lang w:bidi="th-TH"/>
        </w:rPr>
        <w:t>CD</w:t>
      </w:r>
      <w:r w:rsidR="00E062C1" w:rsidRPr="1BC0107E">
        <w:rPr>
          <w:rFonts w:ascii="Georgia" w:hAnsi="Georgia"/>
          <w:sz w:val="24"/>
          <w:szCs w:val="24"/>
          <w:lang w:bidi="th-TH"/>
        </w:rPr>
        <w:t>,</w:t>
      </w:r>
      <w:r w:rsidRPr="0032432C">
        <w:rPr>
          <w:rStyle w:val="FootnoteReference"/>
          <w:rFonts w:ascii="Georgia" w:hAnsi="Georgia"/>
          <w:sz w:val="24"/>
          <w:szCs w:val="24"/>
          <w:lang w:bidi="th-TH"/>
        </w:rPr>
        <w:t xml:space="preserve"> </w:t>
      </w:r>
      <w:r w:rsidR="00E062C1" w:rsidRPr="1BC0107E">
        <w:rPr>
          <w:rFonts w:ascii="Georgia" w:hAnsi="Georgia"/>
          <w:sz w:val="24"/>
          <w:szCs w:val="24"/>
          <w:lang w:bidi="th-TH"/>
        </w:rPr>
        <w:t xml:space="preserve">if we are told the answer, we can process that information far more readily than </w:t>
      </w:r>
      <w:r w:rsidR="003E03B1">
        <w:rPr>
          <w:rFonts w:ascii="Georgia" w:hAnsi="Georgia"/>
          <w:sz w:val="24"/>
          <w:szCs w:val="24"/>
          <w:lang w:bidi="th-TH"/>
        </w:rPr>
        <w:t xml:space="preserve">we can </w:t>
      </w:r>
      <w:r w:rsidR="00116D0E">
        <w:rPr>
          <w:rFonts w:ascii="Georgia" w:hAnsi="Georgia"/>
          <w:sz w:val="24"/>
          <w:szCs w:val="24"/>
          <w:lang w:bidi="th-TH"/>
        </w:rPr>
        <w:t>information</w:t>
      </w:r>
      <w:r w:rsidR="00E062C1" w:rsidRPr="1BC0107E">
        <w:rPr>
          <w:rFonts w:ascii="Georgia" w:hAnsi="Georgia"/>
          <w:sz w:val="24"/>
          <w:szCs w:val="24"/>
          <w:lang w:bidi="th-TH"/>
        </w:rPr>
        <w:t xml:space="preserve"> about which </w:t>
      </w:r>
      <w:r w:rsidR="00453D8A">
        <w:rPr>
          <w:rFonts w:ascii="Georgia" w:hAnsi="Georgia"/>
          <w:sz w:val="24"/>
          <w:szCs w:val="24"/>
          <w:lang w:bidi="th-TH"/>
        </w:rPr>
        <w:t>ZIP</w:t>
      </w:r>
      <w:r w:rsidR="00E062C1" w:rsidRPr="1BC0107E">
        <w:rPr>
          <w:rFonts w:ascii="Georgia" w:hAnsi="Georgia"/>
          <w:sz w:val="24"/>
          <w:szCs w:val="24"/>
          <w:lang w:bidi="th-TH"/>
        </w:rPr>
        <w:t xml:space="preserve"> codes are </w:t>
      </w:r>
      <w:r w:rsidR="79BEC059" w:rsidRPr="1BC0107E">
        <w:rPr>
          <w:rFonts w:ascii="Georgia" w:hAnsi="Georgia"/>
          <w:sz w:val="24"/>
          <w:szCs w:val="24"/>
          <w:lang w:bidi="th-TH"/>
        </w:rPr>
        <w:t>in each</w:t>
      </w:r>
      <w:r w:rsidR="00E062C1" w:rsidRPr="1BC0107E">
        <w:rPr>
          <w:rFonts w:ascii="Georgia" w:hAnsi="Georgia"/>
          <w:sz w:val="24"/>
          <w:szCs w:val="24"/>
          <w:lang w:bidi="th-TH"/>
        </w:rPr>
        <w:t xml:space="preserve"> CD.</w:t>
      </w:r>
      <w:r>
        <w:rPr>
          <w:rFonts w:ascii="Georgia" w:hAnsi="Georgia"/>
          <w:sz w:val="24"/>
          <w:szCs w:val="24"/>
          <w:lang w:bidi="th-TH"/>
        </w:rPr>
        <w:t xml:space="preserve"> </w:t>
      </w:r>
      <w:r w:rsidR="00116D0E" w:rsidRPr="1BC0107E">
        <w:rPr>
          <w:rFonts w:ascii="Georgia" w:hAnsi="Georgia"/>
          <w:sz w:val="24"/>
          <w:szCs w:val="24"/>
        </w:rPr>
        <w:t xml:space="preserve">While we do not know </w:t>
      </w:r>
      <w:r w:rsidR="00116D0E">
        <w:rPr>
          <w:rFonts w:ascii="Georgia" w:hAnsi="Georgia"/>
          <w:sz w:val="24"/>
          <w:szCs w:val="24"/>
        </w:rPr>
        <w:t>ZIP</w:t>
      </w:r>
      <w:r w:rsidR="00116D0E" w:rsidRPr="1BC0107E">
        <w:rPr>
          <w:rFonts w:ascii="Georgia" w:hAnsi="Georgia"/>
          <w:sz w:val="24"/>
          <w:szCs w:val="24"/>
        </w:rPr>
        <w:t xml:space="preserve"> code boundaries, we do have a </w:t>
      </w:r>
      <w:r w:rsidR="00116D0E" w:rsidRPr="00116D0E">
        <w:rPr>
          <w:rFonts w:ascii="Georgia" w:hAnsi="Georgia"/>
          <w:sz w:val="24"/>
          <w:szCs w:val="24"/>
        </w:rPr>
        <w:t xml:space="preserve">conception </w:t>
      </w:r>
      <w:r w:rsidR="00116D0E" w:rsidRPr="1BC0107E">
        <w:rPr>
          <w:rFonts w:ascii="Georgia" w:hAnsi="Georgia"/>
          <w:sz w:val="24"/>
          <w:szCs w:val="24"/>
        </w:rPr>
        <w:t>of the city boundaries near us.</w:t>
      </w:r>
      <w:r w:rsidR="00116D0E" w:rsidRPr="00257D3F">
        <w:rPr>
          <w:rFonts w:ascii="Georgia" w:hAnsi="Georgia"/>
          <w:b/>
          <w:bCs/>
          <w:sz w:val="24"/>
          <w:szCs w:val="24"/>
        </w:rPr>
        <w:t xml:space="preserve"> </w:t>
      </w:r>
      <w:r w:rsidR="00116D0E" w:rsidRPr="1BC0107E">
        <w:rPr>
          <w:rFonts w:ascii="Georgia" w:hAnsi="Georgia"/>
          <w:sz w:val="24"/>
          <w:szCs w:val="24"/>
        </w:rPr>
        <w:t>Such boundaries are shown on maps, both paper and electronic, and city names are highlighted on freeways and on some surface roads.</w:t>
      </w:r>
      <w:r w:rsidR="00116D0E" w:rsidRPr="1BC0107E">
        <w:rPr>
          <w:rStyle w:val="FootnoteReference"/>
          <w:rFonts w:ascii="Georgia" w:hAnsi="Georgia"/>
          <w:sz w:val="24"/>
          <w:szCs w:val="24"/>
        </w:rPr>
        <w:footnoteReference w:id="15"/>
      </w:r>
      <w:r w:rsidR="00116D0E" w:rsidRPr="1BC0107E">
        <w:rPr>
          <w:rFonts w:ascii="Georgia" w:hAnsi="Georgia"/>
          <w:sz w:val="24"/>
          <w:szCs w:val="24"/>
          <w:lang w:bidi="th-TH"/>
        </w:rPr>
        <w:t xml:space="preserve"> </w:t>
      </w:r>
    </w:p>
    <w:p w14:paraId="7FC85B6C" w14:textId="5A1AC203" w:rsidR="000C67AA" w:rsidRDefault="005343B8" w:rsidP="1E9CA6D6">
      <w:pPr>
        <w:autoSpaceDE w:val="0"/>
        <w:autoSpaceDN w:val="0"/>
        <w:adjustRightInd w:val="0"/>
        <w:spacing w:after="0" w:line="360" w:lineRule="auto"/>
        <w:ind w:firstLine="720"/>
        <w:jc w:val="both"/>
        <w:rPr>
          <w:rFonts w:ascii="Georgia" w:hAnsi="Georgia"/>
          <w:color w:val="000000" w:themeColor="text1"/>
          <w:sz w:val="24"/>
          <w:szCs w:val="24"/>
          <w:lang w:bidi="th-TH"/>
        </w:rPr>
      </w:pPr>
      <w:r w:rsidRPr="1E9CA6D6">
        <w:rPr>
          <w:rFonts w:ascii="Georgia" w:hAnsi="Georgia"/>
          <w:sz w:val="24"/>
          <w:szCs w:val="24"/>
        </w:rPr>
        <w:t xml:space="preserve">But it is not just cities whose boundaries </w:t>
      </w:r>
      <w:r w:rsidR="00453D8A" w:rsidRPr="1E9CA6D6">
        <w:rPr>
          <w:rFonts w:ascii="Georgia" w:hAnsi="Georgia"/>
          <w:sz w:val="24"/>
          <w:szCs w:val="24"/>
        </w:rPr>
        <w:t>ZIP</w:t>
      </w:r>
      <w:r w:rsidRPr="1E9CA6D6">
        <w:rPr>
          <w:rFonts w:ascii="Georgia" w:hAnsi="Georgia"/>
          <w:sz w:val="24"/>
          <w:szCs w:val="24"/>
        </w:rPr>
        <w:t xml:space="preserve"> codes may spill over; </w:t>
      </w:r>
      <w:r w:rsidR="00453D8A" w:rsidRPr="1E9CA6D6">
        <w:rPr>
          <w:rFonts w:ascii="Georgia" w:hAnsi="Georgia"/>
          <w:sz w:val="24"/>
          <w:szCs w:val="24"/>
        </w:rPr>
        <w:t>ZIP</w:t>
      </w:r>
      <w:r w:rsidRPr="1E9CA6D6">
        <w:rPr>
          <w:rFonts w:ascii="Georgia" w:hAnsi="Georgia"/>
          <w:sz w:val="24"/>
          <w:szCs w:val="24"/>
        </w:rPr>
        <w:t xml:space="preserve"> codes also do not need to coincide with county boundaries. </w:t>
      </w:r>
      <w:r w:rsidR="00116D0E" w:rsidRPr="1E9CA6D6">
        <w:rPr>
          <w:rFonts w:ascii="Georgia" w:hAnsi="Georgia"/>
          <w:sz w:val="24"/>
          <w:szCs w:val="24"/>
        </w:rPr>
        <w:t xml:space="preserve">Mistakenly in our view, </w:t>
      </w:r>
      <w:r w:rsidRPr="1E9CA6D6">
        <w:rPr>
          <w:rFonts w:ascii="Georgia" w:hAnsi="Georgia"/>
          <w:sz w:val="24"/>
          <w:szCs w:val="24"/>
        </w:rPr>
        <w:t>Curiel and Steelman (2018</w:t>
      </w:r>
      <w:r w:rsidR="003E03B1" w:rsidRPr="1E9CA6D6">
        <w:rPr>
          <w:rFonts w:ascii="Georgia" w:hAnsi="Georgia"/>
          <w:sz w:val="24"/>
          <w:szCs w:val="24"/>
        </w:rPr>
        <w:t>:</w:t>
      </w:r>
      <w:r w:rsidR="3A942A04" w:rsidRPr="1E9CA6D6">
        <w:rPr>
          <w:rFonts w:ascii="Georgia" w:hAnsi="Georgia"/>
          <w:sz w:val="24"/>
          <w:szCs w:val="24"/>
        </w:rPr>
        <w:t xml:space="preserve"> </w:t>
      </w:r>
      <w:r w:rsidRPr="1E9CA6D6">
        <w:rPr>
          <w:rFonts w:ascii="Georgia" w:hAnsi="Georgia"/>
          <w:sz w:val="24"/>
          <w:szCs w:val="24"/>
        </w:rPr>
        <w:t xml:space="preserve">349) do not regard the failure of </w:t>
      </w:r>
      <w:r w:rsidR="00453D8A" w:rsidRPr="1E9CA6D6">
        <w:rPr>
          <w:rFonts w:ascii="Georgia" w:hAnsi="Georgia"/>
          <w:sz w:val="24"/>
          <w:szCs w:val="24"/>
        </w:rPr>
        <w:t>ZIP</w:t>
      </w:r>
      <w:r w:rsidRPr="1E9CA6D6">
        <w:rPr>
          <w:rFonts w:ascii="Georgia" w:hAnsi="Georgia"/>
          <w:sz w:val="24"/>
          <w:szCs w:val="24"/>
        </w:rPr>
        <w:t xml:space="preserve"> codes to conform to existing units of political geography as a problem. For example, they assert: “</w:t>
      </w:r>
      <w:r w:rsidRPr="1E9CA6D6">
        <w:rPr>
          <w:rFonts w:ascii="Georgia" w:hAnsi="Georgia" w:cs="AdvPSA88A"/>
          <w:sz w:val="24"/>
          <w:szCs w:val="24"/>
        </w:rPr>
        <w:t xml:space="preserve">Preserving </w:t>
      </w:r>
      <w:r w:rsidR="00453D8A" w:rsidRPr="1E9CA6D6">
        <w:rPr>
          <w:rFonts w:ascii="Georgia" w:hAnsi="Georgia" w:cs="AdvPSA88A"/>
          <w:sz w:val="24"/>
          <w:szCs w:val="24"/>
        </w:rPr>
        <w:t>ZIP</w:t>
      </w:r>
      <w:r w:rsidRPr="1E9CA6D6">
        <w:rPr>
          <w:rFonts w:ascii="Georgia" w:hAnsi="Georgia" w:cs="AdvPSA88A"/>
          <w:sz w:val="24"/>
          <w:szCs w:val="24"/>
        </w:rPr>
        <w:t xml:space="preserve"> Codes is superior in effect and practicality than the preservation of county lines. Counties frequently exceed the average size of congressional districts—like Cook County in Chicago with over two million residents</w:t>
      </w:r>
      <w:r w:rsidR="005C027C" w:rsidRPr="1E9CA6D6">
        <w:rPr>
          <w:rFonts w:ascii="Georgia" w:hAnsi="Georgia" w:cs="AdvPSA88A"/>
          <w:sz w:val="24"/>
          <w:szCs w:val="24"/>
        </w:rPr>
        <w:t xml:space="preserve">.” </w:t>
      </w:r>
      <w:r w:rsidRPr="1E9CA6D6">
        <w:rPr>
          <w:rFonts w:ascii="Georgia" w:hAnsi="Georgia" w:cs="AdvPSA88A"/>
          <w:sz w:val="24"/>
          <w:szCs w:val="24"/>
        </w:rPr>
        <w:t>But</w:t>
      </w:r>
      <w:r w:rsidRPr="1E9CA6D6">
        <w:rPr>
          <w:rFonts w:ascii="Georgia" w:hAnsi="Georgia"/>
          <w:color w:val="000000" w:themeColor="text1"/>
          <w:sz w:val="24"/>
          <w:szCs w:val="24"/>
          <w:lang w:bidi="th-TH"/>
        </w:rPr>
        <w:t xml:space="preserve"> </w:t>
      </w:r>
      <w:r w:rsidR="00E062C1" w:rsidRPr="1E9CA6D6">
        <w:rPr>
          <w:rFonts w:ascii="Georgia" w:hAnsi="Georgia"/>
          <w:color w:val="000000" w:themeColor="text1"/>
          <w:sz w:val="24"/>
          <w:szCs w:val="24"/>
          <w:lang w:bidi="th-TH"/>
        </w:rPr>
        <w:t xml:space="preserve">the size of Cook County is </w:t>
      </w:r>
      <w:r w:rsidR="604E17A1" w:rsidRPr="1E9CA6D6">
        <w:rPr>
          <w:rFonts w:ascii="Georgia" w:hAnsi="Georgia"/>
          <w:color w:val="000000" w:themeColor="text1"/>
          <w:sz w:val="24"/>
          <w:szCs w:val="24"/>
          <w:lang w:bidi="th-TH"/>
        </w:rPr>
        <w:t>an</w:t>
      </w:r>
      <w:r w:rsidR="00E062C1" w:rsidRPr="1E9CA6D6">
        <w:rPr>
          <w:rFonts w:ascii="Georgia" w:hAnsi="Georgia"/>
          <w:color w:val="000000" w:themeColor="text1"/>
          <w:sz w:val="24"/>
          <w:szCs w:val="24"/>
          <w:lang w:bidi="th-TH"/>
        </w:rPr>
        <w:t xml:space="preserve"> advantage in some ways in that we can draw some congressional districts wholly within the county.</w:t>
      </w:r>
    </w:p>
    <w:p w14:paraId="10DC9AC9" w14:textId="70EC07D6" w:rsidR="00116D0E" w:rsidRDefault="003E03B1" w:rsidP="1E9CA6D6">
      <w:pPr>
        <w:autoSpaceDE w:val="0"/>
        <w:autoSpaceDN w:val="0"/>
        <w:adjustRightInd w:val="0"/>
        <w:spacing w:after="0" w:line="360" w:lineRule="auto"/>
        <w:ind w:firstLine="720"/>
        <w:jc w:val="both"/>
        <w:rPr>
          <w:rFonts w:ascii="Georgia" w:hAnsi="Georgia"/>
          <w:color w:val="000000" w:themeColor="text1"/>
          <w:sz w:val="24"/>
          <w:szCs w:val="24"/>
          <w:lang w:bidi="th-TH"/>
        </w:rPr>
      </w:pPr>
      <w:r w:rsidRPr="1E9CA6D6">
        <w:rPr>
          <w:rFonts w:ascii="Georgia" w:hAnsi="Georgia"/>
          <w:color w:val="000000" w:themeColor="text1"/>
          <w:sz w:val="24"/>
          <w:szCs w:val="24"/>
          <w:lang w:bidi="th-TH"/>
        </w:rPr>
        <w:t>Moreover, w</w:t>
      </w:r>
      <w:r w:rsidR="00E062C1" w:rsidRPr="1E9CA6D6">
        <w:rPr>
          <w:rFonts w:ascii="Georgia" w:hAnsi="Georgia"/>
          <w:color w:val="000000" w:themeColor="text1"/>
          <w:sz w:val="24"/>
          <w:szCs w:val="24"/>
          <w:lang w:bidi="th-TH"/>
        </w:rPr>
        <w:t xml:space="preserve">hy would we want to prioritize </w:t>
      </w:r>
      <w:r w:rsidR="00A82B49" w:rsidRPr="1E9CA6D6">
        <w:rPr>
          <w:rFonts w:ascii="Georgia" w:hAnsi="Georgia"/>
          <w:color w:val="000000" w:themeColor="text1"/>
          <w:sz w:val="24"/>
          <w:szCs w:val="24"/>
          <w:lang w:bidi="th-TH"/>
        </w:rPr>
        <w:t xml:space="preserve">avoiding the fragmentation of </w:t>
      </w:r>
      <w:r w:rsidR="00453D8A" w:rsidRPr="1E9CA6D6">
        <w:rPr>
          <w:rFonts w:ascii="Georgia" w:hAnsi="Georgia"/>
          <w:color w:val="000000" w:themeColor="text1"/>
          <w:sz w:val="24"/>
          <w:szCs w:val="24"/>
          <w:lang w:bidi="th-TH"/>
        </w:rPr>
        <w:t>ZIP</w:t>
      </w:r>
      <w:r w:rsidR="00E062C1" w:rsidRPr="1E9CA6D6">
        <w:rPr>
          <w:rFonts w:ascii="Georgia" w:hAnsi="Georgia"/>
          <w:color w:val="000000" w:themeColor="text1"/>
          <w:sz w:val="24"/>
          <w:szCs w:val="24"/>
          <w:lang w:bidi="th-TH"/>
        </w:rPr>
        <w:t xml:space="preserve"> codes over </w:t>
      </w:r>
      <w:r w:rsidR="00A82B49" w:rsidRPr="1E9CA6D6">
        <w:rPr>
          <w:rFonts w:ascii="Georgia" w:hAnsi="Georgia"/>
          <w:color w:val="000000" w:themeColor="text1"/>
          <w:sz w:val="24"/>
          <w:szCs w:val="24"/>
          <w:lang w:bidi="th-TH"/>
        </w:rPr>
        <w:t>avoiding unnecessary fragmentation of cities and counties</w:t>
      </w:r>
      <w:r w:rsidR="00840BFE" w:rsidRPr="1E9CA6D6">
        <w:rPr>
          <w:rFonts w:ascii="Georgia" w:hAnsi="Georgia"/>
          <w:color w:val="000000" w:themeColor="text1"/>
          <w:sz w:val="24"/>
          <w:szCs w:val="24"/>
          <w:lang w:bidi="th-TH"/>
        </w:rPr>
        <w:t>,</w:t>
      </w:r>
      <w:r w:rsidR="00A82B49" w:rsidRPr="1E9CA6D6">
        <w:rPr>
          <w:rFonts w:ascii="Georgia" w:hAnsi="Georgia"/>
          <w:color w:val="000000" w:themeColor="text1"/>
          <w:sz w:val="24"/>
          <w:szCs w:val="24"/>
          <w:lang w:bidi="th-TH"/>
        </w:rPr>
        <w:t xml:space="preserve"> especially </w:t>
      </w:r>
      <w:r w:rsidR="00C06A9B" w:rsidRPr="1E9CA6D6">
        <w:rPr>
          <w:rFonts w:ascii="Georgia" w:hAnsi="Georgia"/>
          <w:color w:val="000000" w:themeColor="text1"/>
          <w:sz w:val="24"/>
          <w:szCs w:val="24"/>
          <w:lang w:bidi="th-TH"/>
        </w:rPr>
        <w:t>since</w:t>
      </w:r>
      <w:r w:rsidR="00A82B49" w:rsidRPr="1E9CA6D6">
        <w:rPr>
          <w:rFonts w:ascii="Georgia" w:hAnsi="Georgia"/>
          <w:color w:val="000000" w:themeColor="text1"/>
          <w:sz w:val="24"/>
          <w:szCs w:val="24"/>
          <w:lang w:bidi="th-TH"/>
        </w:rPr>
        <w:t xml:space="preserve"> </w:t>
      </w:r>
      <w:r w:rsidR="005343B8" w:rsidRPr="1E9CA6D6">
        <w:rPr>
          <w:rFonts w:ascii="Georgia" w:hAnsi="Georgia"/>
          <w:color w:val="000000" w:themeColor="text1"/>
          <w:sz w:val="24"/>
          <w:szCs w:val="24"/>
          <w:lang w:bidi="th-TH"/>
        </w:rPr>
        <w:t xml:space="preserve">most states </w:t>
      </w:r>
      <w:r w:rsidR="008645E0" w:rsidRPr="1E9CA6D6">
        <w:rPr>
          <w:rFonts w:ascii="Georgia" w:hAnsi="Georgia"/>
          <w:color w:val="000000" w:themeColor="text1"/>
          <w:sz w:val="24"/>
          <w:szCs w:val="24"/>
          <w:lang w:bidi="th-TH"/>
        </w:rPr>
        <w:t>already</w:t>
      </w:r>
      <w:r w:rsidR="005343B8" w:rsidRPr="1E9CA6D6">
        <w:rPr>
          <w:rFonts w:ascii="Georgia" w:hAnsi="Georgia"/>
          <w:color w:val="000000" w:themeColor="text1"/>
          <w:sz w:val="24"/>
          <w:szCs w:val="24"/>
          <w:lang w:bidi="th-TH"/>
        </w:rPr>
        <w:t xml:space="preserve"> have </w:t>
      </w:r>
      <w:r w:rsidR="00A82B49" w:rsidRPr="1E9CA6D6">
        <w:rPr>
          <w:rFonts w:ascii="Georgia" w:hAnsi="Georgia"/>
          <w:color w:val="000000" w:themeColor="text1"/>
          <w:sz w:val="24"/>
          <w:szCs w:val="24"/>
          <w:lang w:bidi="th-TH"/>
        </w:rPr>
        <w:t xml:space="preserve">constitutional </w:t>
      </w:r>
      <w:r w:rsidR="005343B8" w:rsidRPr="1E9CA6D6">
        <w:rPr>
          <w:rFonts w:ascii="Georgia" w:hAnsi="Georgia"/>
          <w:color w:val="000000" w:themeColor="text1"/>
          <w:sz w:val="24"/>
          <w:szCs w:val="24"/>
          <w:lang w:bidi="th-TH"/>
        </w:rPr>
        <w:t>requirements to make use of existing political subunit boundaries such as cities and counties (National Conference of State Legislatures, 2019)</w:t>
      </w:r>
      <w:r w:rsidR="00840BFE" w:rsidRPr="1E9CA6D6">
        <w:rPr>
          <w:rFonts w:ascii="Georgia" w:hAnsi="Georgia"/>
          <w:color w:val="000000" w:themeColor="text1"/>
          <w:sz w:val="24"/>
          <w:szCs w:val="24"/>
          <w:lang w:bidi="th-TH"/>
        </w:rPr>
        <w:t>, and use of such boundaries has been written into most redistricting legislation</w:t>
      </w:r>
      <w:r w:rsidRPr="1E9CA6D6">
        <w:rPr>
          <w:rFonts w:ascii="Georgia" w:hAnsi="Georgia"/>
          <w:color w:val="000000" w:themeColor="text1"/>
          <w:sz w:val="24"/>
          <w:szCs w:val="24"/>
          <w:lang w:bidi="th-TH"/>
        </w:rPr>
        <w:t>, and is uniformly considered an attribute of good government redistricting</w:t>
      </w:r>
      <w:r w:rsidR="00EC0E9A" w:rsidRPr="1E9CA6D6">
        <w:rPr>
          <w:rFonts w:ascii="Georgia" w:hAnsi="Georgia"/>
          <w:color w:val="000000" w:themeColor="text1"/>
          <w:sz w:val="24"/>
          <w:szCs w:val="24"/>
          <w:lang w:bidi="th-TH"/>
        </w:rPr>
        <w:t xml:space="preserve">? </w:t>
      </w:r>
      <w:r w:rsidR="00717B84" w:rsidRPr="1E9CA6D6">
        <w:rPr>
          <w:rFonts w:ascii="Georgia" w:hAnsi="Georgia"/>
          <w:color w:val="000000" w:themeColor="text1"/>
          <w:sz w:val="24"/>
          <w:szCs w:val="24"/>
          <w:lang w:bidi="th-TH"/>
        </w:rPr>
        <w:t>Curiel and Steelman (2020</w:t>
      </w:r>
      <w:r w:rsidR="00116D0E" w:rsidRPr="1E9CA6D6">
        <w:rPr>
          <w:rFonts w:ascii="Georgia" w:hAnsi="Georgia"/>
          <w:color w:val="000000" w:themeColor="text1"/>
          <w:sz w:val="24"/>
          <w:szCs w:val="24"/>
          <w:lang w:bidi="th-TH"/>
        </w:rPr>
        <w:t>:</w:t>
      </w:r>
      <w:r w:rsidR="65D48477" w:rsidRPr="1E9CA6D6">
        <w:rPr>
          <w:rFonts w:ascii="Georgia" w:hAnsi="Georgia"/>
          <w:sz w:val="24"/>
          <w:szCs w:val="24"/>
          <w:lang w:bidi="th-TH"/>
        </w:rPr>
        <w:t>6</w:t>
      </w:r>
      <w:r w:rsidR="00717B84" w:rsidRPr="1E9CA6D6">
        <w:rPr>
          <w:rFonts w:ascii="Georgia" w:hAnsi="Georgia"/>
          <w:color w:val="000000" w:themeColor="text1"/>
          <w:sz w:val="24"/>
          <w:szCs w:val="24"/>
          <w:lang w:bidi="th-TH"/>
        </w:rPr>
        <w:t xml:space="preserve">) assert: </w:t>
      </w:r>
      <w:r w:rsidR="00717B84" w:rsidRPr="1E9CA6D6">
        <w:rPr>
          <w:rFonts w:ascii="Georgia" w:hAnsi="Georgia" w:cs="Calibri"/>
          <w:sz w:val="24"/>
          <w:szCs w:val="24"/>
        </w:rPr>
        <w:t xml:space="preserve">“To ignore the role </w:t>
      </w:r>
      <w:r w:rsidR="00453D8A" w:rsidRPr="1E9CA6D6">
        <w:rPr>
          <w:rFonts w:ascii="Georgia" w:hAnsi="Georgia" w:cs="Calibri"/>
          <w:sz w:val="24"/>
          <w:szCs w:val="24"/>
        </w:rPr>
        <w:t>ZIP</w:t>
      </w:r>
      <w:r w:rsidR="00717B84" w:rsidRPr="1E9CA6D6">
        <w:rPr>
          <w:rFonts w:ascii="Georgia" w:hAnsi="Georgia" w:cs="Calibri"/>
          <w:sz w:val="24"/>
          <w:szCs w:val="24"/>
        </w:rPr>
        <w:t xml:space="preserve"> codes play in facilita</w:t>
      </w:r>
      <w:r w:rsidR="00717B84" w:rsidRPr="1E9CA6D6">
        <w:rPr>
          <w:rFonts w:ascii="Georgia" w:eastAsia="Georgia" w:hAnsi="Georgia" w:cs="Georgia"/>
          <w:sz w:val="24"/>
          <w:szCs w:val="24"/>
        </w:rPr>
        <w:t>ti</w:t>
      </w:r>
      <w:r w:rsidR="00717B84" w:rsidRPr="1E9CA6D6">
        <w:rPr>
          <w:rFonts w:ascii="Georgia" w:hAnsi="Georgia" w:cs="Calibri"/>
          <w:sz w:val="24"/>
          <w:szCs w:val="24"/>
        </w:rPr>
        <w:t>ng the cons</w:t>
      </w:r>
      <w:r w:rsidR="00717B84" w:rsidRPr="1E9CA6D6">
        <w:rPr>
          <w:rFonts w:ascii="Georgia" w:eastAsia="Georgia" w:hAnsi="Georgia" w:cs="Georgia"/>
          <w:sz w:val="24"/>
          <w:szCs w:val="24"/>
        </w:rPr>
        <w:t>ti</w:t>
      </w:r>
      <w:r w:rsidR="00717B84" w:rsidRPr="1E9CA6D6">
        <w:rPr>
          <w:rFonts w:ascii="Georgia" w:hAnsi="Georgia" w:cs="Calibri"/>
          <w:sz w:val="24"/>
          <w:szCs w:val="24"/>
        </w:rPr>
        <w:t>tuent</w:t>
      </w:r>
      <w:r w:rsidR="00717B84" w:rsidRPr="1E9CA6D6">
        <w:rPr>
          <w:rFonts w:ascii="Times New Roman" w:hAnsi="Times New Roman" w:cs="Times New Roman"/>
          <w:sz w:val="24"/>
          <w:szCs w:val="24"/>
        </w:rPr>
        <w:t>‐</w:t>
      </w:r>
      <w:r w:rsidR="00717B84" w:rsidRPr="1E9CA6D6">
        <w:rPr>
          <w:rFonts w:ascii="Georgia" w:hAnsi="Georgia" w:cs="Calibri"/>
          <w:sz w:val="24"/>
          <w:szCs w:val="24"/>
        </w:rPr>
        <w:t>representative link is to leave one open to failure in court</w:t>
      </w:r>
      <w:r w:rsidR="00D16366" w:rsidRPr="1E9CA6D6">
        <w:rPr>
          <w:rFonts w:ascii="Georgia" w:hAnsi="Georgia" w:cs="Calibri"/>
          <w:sz w:val="24"/>
          <w:szCs w:val="24"/>
        </w:rPr>
        <w:t>.</w:t>
      </w:r>
      <w:r w:rsidR="00717B84" w:rsidRPr="1E9CA6D6">
        <w:rPr>
          <w:rFonts w:ascii="Georgia" w:hAnsi="Georgia" w:cs="Calibri"/>
          <w:sz w:val="24"/>
          <w:szCs w:val="24"/>
        </w:rPr>
        <w:t xml:space="preserve">” </w:t>
      </w:r>
      <w:r w:rsidR="00D16366" w:rsidRPr="1E9CA6D6">
        <w:rPr>
          <w:rFonts w:ascii="Georgia" w:hAnsi="Georgia" w:cs="Calibri"/>
          <w:sz w:val="24"/>
          <w:szCs w:val="24"/>
        </w:rPr>
        <w:t>But</w:t>
      </w:r>
      <w:r w:rsidR="233C08C8" w:rsidRPr="1E9CA6D6">
        <w:rPr>
          <w:rFonts w:ascii="Georgia" w:hAnsi="Georgia" w:cs="Calibri"/>
          <w:sz w:val="24"/>
          <w:szCs w:val="24"/>
        </w:rPr>
        <w:t xml:space="preserve"> no court, to our knowledge, has considered </w:t>
      </w:r>
      <w:r w:rsidR="00D16366" w:rsidRPr="1E9CA6D6">
        <w:rPr>
          <w:rFonts w:ascii="Georgia" w:hAnsi="Georgia" w:cs="Calibri"/>
          <w:sz w:val="24"/>
          <w:szCs w:val="24"/>
        </w:rPr>
        <w:t>the legal implications of using</w:t>
      </w:r>
      <w:r w:rsidR="233C08C8" w:rsidRPr="1E9CA6D6">
        <w:rPr>
          <w:rFonts w:ascii="Georgia" w:hAnsi="Georgia" w:cs="Calibri"/>
          <w:sz w:val="24"/>
          <w:szCs w:val="24"/>
        </w:rPr>
        <w:t xml:space="preserve"> </w:t>
      </w:r>
      <w:r w:rsidR="00453D8A" w:rsidRPr="1E9CA6D6">
        <w:rPr>
          <w:rFonts w:ascii="Georgia" w:hAnsi="Georgia" w:cs="Calibri"/>
          <w:sz w:val="24"/>
          <w:szCs w:val="24"/>
        </w:rPr>
        <w:t>ZIP</w:t>
      </w:r>
      <w:r w:rsidR="233C08C8" w:rsidRPr="1E9CA6D6">
        <w:rPr>
          <w:rFonts w:ascii="Georgia" w:hAnsi="Georgia" w:cs="Calibri"/>
          <w:sz w:val="24"/>
          <w:szCs w:val="24"/>
        </w:rPr>
        <w:t xml:space="preserve"> codes</w:t>
      </w:r>
      <w:r w:rsidR="00D16366" w:rsidRPr="1E9CA6D6">
        <w:rPr>
          <w:rFonts w:ascii="Georgia" w:hAnsi="Georgia" w:cs="Calibri"/>
          <w:sz w:val="24"/>
          <w:szCs w:val="24"/>
        </w:rPr>
        <w:t xml:space="preserve"> for redistricting purposes</w:t>
      </w:r>
      <w:r w:rsidRPr="1E9CA6D6">
        <w:rPr>
          <w:rFonts w:ascii="Georgia" w:hAnsi="Georgia" w:cs="Calibri"/>
          <w:sz w:val="24"/>
          <w:szCs w:val="24"/>
        </w:rPr>
        <w:t xml:space="preserve">. </w:t>
      </w:r>
      <w:r w:rsidRPr="1E9CA6D6">
        <w:rPr>
          <w:rFonts w:ascii="Georgia" w:hAnsi="Georgia"/>
          <w:color w:val="000000" w:themeColor="text1"/>
          <w:sz w:val="24"/>
          <w:szCs w:val="24"/>
          <w:lang w:bidi="th-TH"/>
        </w:rPr>
        <w:t>A</w:t>
      </w:r>
      <w:r w:rsidR="005C027C" w:rsidRPr="1E9CA6D6">
        <w:rPr>
          <w:rFonts w:ascii="Georgia" w:hAnsi="Georgia"/>
          <w:sz w:val="24"/>
          <w:szCs w:val="24"/>
          <w:lang w:bidi="th-TH"/>
        </w:rPr>
        <w:t>dding</w:t>
      </w:r>
      <w:r w:rsidR="005C027C" w:rsidRPr="1E9CA6D6">
        <w:rPr>
          <w:rFonts w:ascii="Georgia" w:hAnsi="Georgia"/>
          <w:color w:val="000000" w:themeColor="text1"/>
          <w:sz w:val="24"/>
          <w:szCs w:val="24"/>
          <w:lang w:bidi="th-TH"/>
        </w:rPr>
        <w:t xml:space="preserve"> a requirement for </w:t>
      </w:r>
      <w:r w:rsidR="00453D8A" w:rsidRPr="1E9CA6D6">
        <w:rPr>
          <w:rFonts w:ascii="Georgia" w:hAnsi="Georgia"/>
          <w:color w:val="000000" w:themeColor="text1"/>
          <w:sz w:val="24"/>
          <w:szCs w:val="24"/>
          <w:lang w:bidi="th-TH"/>
        </w:rPr>
        <w:t>ZIP</w:t>
      </w:r>
      <w:r w:rsidR="005C027C" w:rsidRPr="1E9CA6D6">
        <w:rPr>
          <w:rFonts w:ascii="Georgia" w:hAnsi="Georgia"/>
          <w:color w:val="000000" w:themeColor="text1"/>
          <w:sz w:val="24"/>
          <w:szCs w:val="24"/>
          <w:lang w:bidi="th-TH"/>
        </w:rPr>
        <w:t xml:space="preserve"> codes to be used in the construction of redistricting plans just adds a further layer of legal complexity given the failure of </w:t>
      </w:r>
      <w:r w:rsidR="00453D8A" w:rsidRPr="1E9CA6D6">
        <w:rPr>
          <w:rFonts w:ascii="Georgia" w:hAnsi="Georgia"/>
          <w:color w:val="000000" w:themeColor="text1"/>
          <w:sz w:val="24"/>
          <w:szCs w:val="24"/>
          <w:lang w:bidi="th-TH"/>
        </w:rPr>
        <w:t>ZIP</w:t>
      </w:r>
      <w:r w:rsidR="005C027C" w:rsidRPr="1E9CA6D6">
        <w:rPr>
          <w:rFonts w:ascii="Georgia" w:hAnsi="Georgia"/>
          <w:color w:val="000000" w:themeColor="text1"/>
          <w:sz w:val="24"/>
          <w:szCs w:val="24"/>
          <w:lang w:bidi="th-TH"/>
        </w:rPr>
        <w:t xml:space="preserve"> codes to fully coincide with the boundar</w:t>
      </w:r>
      <w:r w:rsidR="004712FD" w:rsidRPr="1E9CA6D6">
        <w:rPr>
          <w:rFonts w:ascii="Georgia" w:hAnsi="Georgia"/>
          <w:color w:val="000000" w:themeColor="text1"/>
          <w:sz w:val="24"/>
          <w:szCs w:val="24"/>
          <w:lang w:bidi="th-TH"/>
        </w:rPr>
        <w:t>ies</w:t>
      </w:r>
      <w:r w:rsidR="005C027C" w:rsidRPr="1E9CA6D6">
        <w:rPr>
          <w:rFonts w:ascii="Georgia" w:hAnsi="Georgia"/>
          <w:color w:val="000000" w:themeColor="text1"/>
          <w:sz w:val="24"/>
          <w:szCs w:val="24"/>
          <w:lang w:bidi="th-TH"/>
        </w:rPr>
        <w:t xml:space="preserve"> for </w:t>
      </w:r>
      <w:r w:rsidRPr="1E9CA6D6">
        <w:rPr>
          <w:rFonts w:ascii="Georgia" w:hAnsi="Georgia"/>
          <w:color w:val="000000" w:themeColor="text1"/>
          <w:sz w:val="24"/>
          <w:szCs w:val="24"/>
          <w:lang w:bidi="th-TH"/>
        </w:rPr>
        <w:t>cities or counties</w:t>
      </w:r>
      <w:r w:rsidR="00A82B49" w:rsidRPr="1E9CA6D6">
        <w:rPr>
          <w:rFonts w:ascii="Georgia" w:hAnsi="Georgia"/>
          <w:color w:val="000000" w:themeColor="text1"/>
          <w:sz w:val="24"/>
          <w:szCs w:val="24"/>
          <w:lang w:bidi="th-TH"/>
        </w:rPr>
        <w:t>.</w:t>
      </w:r>
      <w:r w:rsidR="00434677" w:rsidRPr="1E9CA6D6">
        <w:rPr>
          <w:rFonts w:ascii="Georgia" w:hAnsi="Georgia"/>
          <w:color w:val="000000" w:themeColor="text1"/>
          <w:sz w:val="24"/>
          <w:szCs w:val="24"/>
          <w:lang w:bidi="th-TH"/>
        </w:rPr>
        <w:t xml:space="preserve"> </w:t>
      </w:r>
    </w:p>
    <w:p w14:paraId="2DE3C4A2" w14:textId="4EA400E2" w:rsidR="00EC0C44" w:rsidRPr="003E03B1" w:rsidRDefault="003E03B1" w:rsidP="1E9CA6D6">
      <w:pPr>
        <w:autoSpaceDE w:val="0"/>
        <w:autoSpaceDN w:val="0"/>
        <w:adjustRightInd w:val="0"/>
        <w:spacing w:after="0" w:line="360" w:lineRule="auto"/>
        <w:ind w:firstLine="720"/>
        <w:jc w:val="both"/>
        <w:rPr>
          <w:rFonts w:ascii="Georgia" w:hAnsi="Georgia" w:cs="Calibri"/>
          <w:b/>
          <w:bCs/>
          <w:sz w:val="24"/>
          <w:szCs w:val="24"/>
          <w:lang w:bidi="th-TH"/>
        </w:rPr>
      </w:pPr>
      <w:r w:rsidRPr="1E9CA6D6">
        <w:rPr>
          <w:rFonts w:ascii="Georgia" w:hAnsi="Georgia"/>
          <w:color w:val="000000" w:themeColor="text1"/>
          <w:sz w:val="24"/>
          <w:szCs w:val="24"/>
          <w:lang w:bidi="th-TH"/>
        </w:rPr>
        <w:t>W</w:t>
      </w:r>
      <w:r w:rsidR="00116D0E" w:rsidRPr="1E9CA6D6">
        <w:rPr>
          <w:rFonts w:ascii="Georgia" w:hAnsi="Georgia"/>
          <w:color w:val="000000" w:themeColor="text1"/>
          <w:sz w:val="24"/>
          <w:szCs w:val="24"/>
          <w:lang w:bidi="th-TH"/>
        </w:rPr>
        <w:t>e see Curiel and Steelman as too quick to dismiss the</w:t>
      </w:r>
      <w:r w:rsidR="000C67AA" w:rsidRPr="1E9CA6D6">
        <w:rPr>
          <w:rFonts w:ascii="Georgia" w:hAnsi="Georgia"/>
          <w:color w:val="000000" w:themeColor="text1"/>
          <w:sz w:val="24"/>
          <w:szCs w:val="24"/>
          <w:lang w:bidi="th-TH"/>
        </w:rPr>
        <w:t xml:space="preserve"> representational values achieved by preserving to the greatest extent feasible existing </w:t>
      </w:r>
      <w:r w:rsidRPr="1E9CA6D6">
        <w:rPr>
          <w:rFonts w:ascii="Georgia" w:hAnsi="Georgia"/>
          <w:color w:val="000000" w:themeColor="text1"/>
          <w:sz w:val="24"/>
          <w:szCs w:val="24"/>
          <w:lang w:bidi="th-TH"/>
        </w:rPr>
        <w:t xml:space="preserve">formal political </w:t>
      </w:r>
      <w:r w:rsidR="000C67AA" w:rsidRPr="1E9CA6D6">
        <w:rPr>
          <w:rFonts w:ascii="Georgia" w:hAnsi="Georgia"/>
          <w:color w:val="000000" w:themeColor="text1"/>
          <w:sz w:val="24"/>
          <w:szCs w:val="24"/>
          <w:lang w:bidi="th-TH"/>
        </w:rPr>
        <w:t>boundaries.</w:t>
      </w:r>
      <w:r w:rsidR="00116D0E" w:rsidRPr="1E9CA6D6">
        <w:rPr>
          <w:rFonts w:ascii="Georgia" w:hAnsi="Georgia"/>
          <w:color w:val="000000" w:themeColor="text1"/>
          <w:sz w:val="24"/>
          <w:szCs w:val="24"/>
          <w:lang w:bidi="th-TH"/>
        </w:rPr>
        <w:t xml:space="preserve"> To justify their view,</w:t>
      </w:r>
      <w:r w:rsidR="00434677" w:rsidRPr="1E9CA6D6">
        <w:rPr>
          <w:rFonts w:ascii="Georgia" w:hAnsi="Georgia"/>
          <w:color w:val="000000" w:themeColor="text1"/>
          <w:sz w:val="24"/>
          <w:szCs w:val="24"/>
          <w:lang w:bidi="th-TH"/>
        </w:rPr>
        <w:t xml:space="preserve"> </w:t>
      </w:r>
      <w:r w:rsidR="00CC0EE1" w:rsidRPr="1E9CA6D6">
        <w:rPr>
          <w:rFonts w:ascii="Georgia" w:hAnsi="Georgia"/>
          <w:sz w:val="24"/>
          <w:szCs w:val="24"/>
          <w:lang w:bidi="th-TH"/>
        </w:rPr>
        <w:t xml:space="preserve">Curiel and Steelman (2018: 333) </w:t>
      </w:r>
      <w:r w:rsidR="00CC0EE1" w:rsidRPr="1E9CA6D6">
        <w:rPr>
          <w:rFonts w:ascii="Georgia" w:hAnsi="Georgia" w:cs="AdvPSA88A"/>
          <w:sz w:val="24"/>
          <w:szCs w:val="24"/>
        </w:rPr>
        <w:t>cite Engstrom (2005)</w:t>
      </w:r>
      <w:r w:rsidR="00FE1EF5" w:rsidRPr="1E9CA6D6">
        <w:rPr>
          <w:rStyle w:val="FootnoteReference"/>
        </w:rPr>
        <w:t xml:space="preserve"> </w:t>
      </w:r>
      <w:r w:rsidR="00CC0EE1" w:rsidRPr="1E9CA6D6">
        <w:rPr>
          <w:rFonts w:ascii="Georgia" w:hAnsi="Georgia" w:cs="AdvPSA88A"/>
          <w:sz w:val="24"/>
          <w:szCs w:val="24"/>
        </w:rPr>
        <w:t xml:space="preserve">and Bowen (2014) in support of the claim that that preserving county boundaries </w:t>
      </w:r>
      <w:r w:rsidR="00EC0C44" w:rsidRPr="1E9CA6D6">
        <w:rPr>
          <w:rFonts w:ascii="Georgia" w:hAnsi="Georgia" w:cs="AdvPSA88A"/>
          <w:sz w:val="24"/>
          <w:szCs w:val="24"/>
        </w:rPr>
        <w:t xml:space="preserve">or imposing compactness </w:t>
      </w:r>
      <w:r w:rsidR="00CC0EE1" w:rsidRPr="1E9CA6D6">
        <w:rPr>
          <w:rFonts w:ascii="Georgia" w:hAnsi="Georgia" w:cs="AdvPSA88A"/>
          <w:sz w:val="24"/>
          <w:szCs w:val="24"/>
        </w:rPr>
        <w:t>do</w:t>
      </w:r>
      <w:r w:rsidR="00EC0C44" w:rsidRPr="1E9CA6D6">
        <w:rPr>
          <w:rFonts w:ascii="Georgia" w:hAnsi="Georgia" w:cs="AdvPSA88A"/>
          <w:sz w:val="24"/>
          <w:szCs w:val="24"/>
        </w:rPr>
        <w:t>es</w:t>
      </w:r>
      <w:r w:rsidR="00CC0EE1" w:rsidRPr="1E9CA6D6">
        <w:rPr>
          <w:rFonts w:ascii="Georgia" w:hAnsi="Georgia" w:cs="AdvPSA88A"/>
          <w:sz w:val="24"/>
          <w:szCs w:val="24"/>
        </w:rPr>
        <w:t xml:space="preserve"> not “affect the knowledge of constituents in regards to their representatives,</w:t>
      </w:r>
      <w:r w:rsidR="00EC0C44" w:rsidRPr="1E9CA6D6">
        <w:rPr>
          <w:rFonts w:ascii="Georgia" w:hAnsi="Georgia" w:cs="AdvPSA88A"/>
          <w:sz w:val="24"/>
          <w:szCs w:val="24"/>
        </w:rPr>
        <w:t>”</w:t>
      </w:r>
      <w:r w:rsidR="00CC0EE1" w:rsidRPr="1E9CA6D6">
        <w:rPr>
          <w:rFonts w:ascii="Georgia" w:hAnsi="Georgia" w:cs="AdvPSA88A"/>
          <w:sz w:val="24"/>
          <w:szCs w:val="24"/>
        </w:rPr>
        <w:t xml:space="preserve"> but in our view this </w:t>
      </w:r>
      <w:r w:rsidR="00EC0E9A" w:rsidRPr="1E9CA6D6">
        <w:rPr>
          <w:rFonts w:ascii="Georgia" w:hAnsi="Georgia" w:cs="AdvPSA88A"/>
          <w:sz w:val="24"/>
          <w:szCs w:val="24"/>
        </w:rPr>
        <w:t>assertion</w:t>
      </w:r>
      <w:r w:rsidR="000C67AA" w:rsidRPr="1E9CA6D6">
        <w:rPr>
          <w:rFonts w:ascii="Georgia" w:hAnsi="Georgia" w:cs="AdvPSA88A"/>
          <w:sz w:val="24"/>
          <w:szCs w:val="24"/>
        </w:rPr>
        <w:t xml:space="preserve"> </w:t>
      </w:r>
      <w:r w:rsidR="00EC0C44" w:rsidRPr="1E9CA6D6">
        <w:rPr>
          <w:rFonts w:ascii="Georgia" w:hAnsi="Georgia" w:cs="AdvPSA88A"/>
          <w:sz w:val="24"/>
          <w:szCs w:val="24"/>
        </w:rPr>
        <w:t>misstates</w:t>
      </w:r>
      <w:r w:rsidR="00CC0EE1" w:rsidRPr="1E9CA6D6">
        <w:rPr>
          <w:rFonts w:ascii="Georgia" w:hAnsi="Georgia" w:cs="AdvPSA88A"/>
          <w:sz w:val="24"/>
          <w:szCs w:val="24"/>
        </w:rPr>
        <w:t xml:space="preserve"> the finding</w:t>
      </w:r>
      <w:r w:rsidR="00EC0C44" w:rsidRPr="1E9CA6D6">
        <w:rPr>
          <w:rFonts w:ascii="Georgia" w:hAnsi="Georgia" w:cs="AdvPSA88A"/>
          <w:sz w:val="24"/>
          <w:szCs w:val="24"/>
        </w:rPr>
        <w:t>s</w:t>
      </w:r>
      <w:r w:rsidR="00CC0EE1" w:rsidRPr="1E9CA6D6">
        <w:rPr>
          <w:rFonts w:ascii="Georgia" w:hAnsi="Georgia" w:cs="AdvPSA88A"/>
          <w:sz w:val="24"/>
          <w:szCs w:val="24"/>
        </w:rPr>
        <w:t xml:space="preserve"> </w:t>
      </w:r>
      <w:r w:rsidRPr="1E9CA6D6">
        <w:rPr>
          <w:rFonts w:ascii="Georgia" w:hAnsi="Georgia" w:cs="AdvPSA88A"/>
          <w:sz w:val="24"/>
          <w:szCs w:val="24"/>
        </w:rPr>
        <w:t xml:space="preserve">of both </w:t>
      </w:r>
      <w:r w:rsidR="00CC0EE1" w:rsidRPr="1E9CA6D6">
        <w:rPr>
          <w:rFonts w:ascii="Georgia" w:hAnsi="Georgia" w:cs="AdvPSA88A"/>
          <w:sz w:val="24"/>
          <w:szCs w:val="24"/>
        </w:rPr>
        <w:t>these authors.</w:t>
      </w:r>
      <w:r w:rsidR="00EC0C44" w:rsidRPr="1E9CA6D6">
        <w:rPr>
          <w:rFonts w:ascii="Georgia" w:hAnsi="Georgia" w:cs="AdvPSA88A"/>
          <w:sz w:val="24"/>
          <w:szCs w:val="24"/>
        </w:rPr>
        <w:t xml:space="preserve"> Below is a </w:t>
      </w:r>
      <w:r w:rsidR="00EC0E9A" w:rsidRPr="1E9CA6D6">
        <w:rPr>
          <w:rFonts w:ascii="Georgia" w:hAnsi="Georgia" w:cs="AdvPSA88A"/>
          <w:sz w:val="24"/>
          <w:szCs w:val="24"/>
        </w:rPr>
        <w:t xml:space="preserve">direct </w:t>
      </w:r>
      <w:r w:rsidR="00EC0C44" w:rsidRPr="1E9CA6D6">
        <w:rPr>
          <w:rFonts w:ascii="Georgia" w:hAnsi="Georgia" w:cs="AdvPSA88A"/>
          <w:sz w:val="24"/>
          <w:szCs w:val="24"/>
        </w:rPr>
        <w:t>quote from Bowen</w:t>
      </w:r>
      <w:r w:rsidR="00C23A51" w:rsidRPr="1E9CA6D6">
        <w:rPr>
          <w:rFonts w:ascii="Georgia" w:hAnsi="Georgia" w:cs="AdvPSA88A"/>
          <w:sz w:val="24"/>
          <w:szCs w:val="24"/>
        </w:rPr>
        <w:t xml:space="preserve"> </w:t>
      </w:r>
      <w:r w:rsidR="00EC0C44" w:rsidRPr="1E9CA6D6">
        <w:rPr>
          <w:rFonts w:ascii="Georgia" w:hAnsi="Georgia" w:cs="AdvPSA88A"/>
          <w:sz w:val="24"/>
          <w:szCs w:val="24"/>
        </w:rPr>
        <w:t>(2014: 856):</w:t>
      </w:r>
    </w:p>
    <w:p w14:paraId="4A28752E" w14:textId="480C250B" w:rsidR="00CC0EE1" w:rsidRPr="00D16366" w:rsidRDefault="00EC0C44" w:rsidP="489FFC7A">
      <w:pPr>
        <w:pStyle w:val="Quote"/>
        <w:spacing w:line="360" w:lineRule="auto"/>
        <w:jc w:val="both"/>
        <w:rPr>
          <w:rFonts w:ascii="Georgia" w:eastAsia="GillSansStd" w:hAnsi="Georgia" w:cs="GillSansStd"/>
          <w:b/>
          <w:bCs/>
          <w:i w:val="0"/>
          <w:iCs w:val="0"/>
          <w:sz w:val="24"/>
          <w:szCs w:val="24"/>
        </w:rPr>
      </w:pPr>
      <w:r w:rsidRPr="489FFC7A">
        <w:rPr>
          <w:i w:val="0"/>
          <w:iCs w:val="0"/>
        </w:rPr>
        <w:t xml:space="preserve">Using two measures of geographical compactness and a new measure of respect for political subdivisions (referred to as </w:t>
      </w:r>
      <w:proofErr w:type="spellStart"/>
      <w:r w:rsidRPr="489FFC7A">
        <w:rPr>
          <w:i w:val="0"/>
          <w:iCs w:val="0"/>
        </w:rPr>
        <w:t>coterminosity</w:t>
      </w:r>
      <w:proofErr w:type="spellEnd"/>
      <w:r w:rsidRPr="489FFC7A">
        <w:rPr>
          <w:i w:val="0"/>
          <w:iCs w:val="0"/>
        </w:rPr>
        <w:t xml:space="preserve">) created with a geographic information system (GIS), the connection between district boundaries and representation is tested. The results show strong evidence that the use of geographic districting principles can enhance dyadic representation, as more compact and more coterminous districts are associated with more positive evaluations of legislative responsiveness and greater citizen-representative communication. </w:t>
      </w:r>
    </w:p>
    <w:p w14:paraId="5CA200EA" w14:textId="0D2446E5" w:rsidR="00880B78" w:rsidRPr="00EC0C44" w:rsidRDefault="00880B78" w:rsidP="1E9CA6D6">
      <w:pPr>
        <w:autoSpaceDE w:val="0"/>
        <w:autoSpaceDN w:val="0"/>
        <w:adjustRightInd w:val="0"/>
        <w:spacing w:after="0" w:line="360" w:lineRule="auto"/>
        <w:ind w:firstLine="720"/>
        <w:jc w:val="both"/>
        <w:rPr>
          <w:rFonts w:ascii="Georgia" w:hAnsi="Georgia" w:cs="AdvPSA88A"/>
          <w:b/>
          <w:bCs/>
          <w:color w:val="00B0F0"/>
          <w:sz w:val="24"/>
          <w:szCs w:val="24"/>
        </w:rPr>
      </w:pPr>
    </w:p>
    <w:p w14:paraId="175977CD" w14:textId="308779BF" w:rsidR="00291C68" w:rsidRPr="003E03B1" w:rsidRDefault="00EC0E9A" w:rsidP="1E9CA6D6">
      <w:pPr>
        <w:autoSpaceDE w:val="0"/>
        <w:autoSpaceDN w:val="0"/>
        <w:adjustRightInd w:val="0"/>
        <w:spacing w:after="0" w:line="360" w:lineRule="auto"/>
        <w:ind w:firstLine="720"/>
        <w:jc w:val="both"/>
        <w:rPr>
          <w:rFonts w:ascii="Georgia" w:hAnsi="Georgia"/>
          <w:i/>
          <w:iCs/>
          <w:color w:val="000000" w:themeColor="text1"/>
          <w:sz w:val="24"/>
          <w:szCs w:val="24"/>
          <w:lang w:bidi="th-TH"/>
        </w:rPr>
      </w:pPr>
      <w:r w:rsidRPr="1E9CA6D6">
        <w:rPr>
          <w:rFonts w:ascii="Georgia" w:hAnsi="Georgia"/>
          <w:color w:val="000000" w:themeColor="text1"/>
          <w:sz w:val="24"/>
          <w:szCs w:val="24"/>
          <w:lang w:bidi="th-TH"/>
        </w:rPr>
        <w:t>Bowen (2014: 881</w:t>
      </w:r>
      <w:r w:rsidR="003E03B1" w:rsidRPr="1E9CA6D6">
        <w:rPr>
          <w:rFonts w:ascii="Georgia" w:hAnsi="Georgia"/>
          <w:color w:val="000000" w:themeColor="text1"/>
          <w:sz w:val="24"/>
          <w:szCs w:val="24"/>
          <w:lang w:bidi="th-TH"/>
        </w:rPr>
        <w:t>, emphasis added</w:t>
      </w:r>
      <w:r w:rsidRPr="1E9CA6D6">
        <w:rPr>
          <w:rFonts w:ascii="Georgia" w:hAnsi="Georgia"/>
          <w:color w:val="000000" w:themeColor="text1"/>
          <w:sz w:val="24"/>
          <w:szCs w:val="24"/>
          <w:lang w:bidi="th-TH"/>
        </w:rPr>
        <w:t xml:space="preserve">) further notes that </w:t>
      </w:r>
    </w:p>
    <w:p w14:paraId="4F1AFBE9" w14:textId="052CCB71" w:rsidR="00EC0E9A" w:rsidRPr="00D16366" w:rsidRDefault="00EC0E9A" w:rsidP="489FFC7A">
      <w:pPr>
        <w:pStyle w:val="Quote"/>
        <w:spacing w:line="360" w:lineRule="auto"/>
        <w:jc w:val="both"/>
        <w:rPr>
          <w:rFonts w:ascii="Georgia" w:hAnsi="Georgia"/>
          <w:i w:val="0"/>
          <w:iCs w:val="0"/>
          <w:sz w:val="24"/>
          <w:szCs w:val="24"/>
        </w:rPr>
      </w:pPr>
      <w:r w:rsidRPr="489FFC7A">
        <w:rPr>
          <w:i w:val="0"/>
          <w:iCs w:val="0"/>
        </w:rPr>
        <w:t xml:space="preserve">his results mirror previous findings on respect for political subdivisions. For example, Niemi et al. (1986) find that community-district overlap, measured as the number of districts a county is split into, is associated with an 8-percentage point increase in incumbent name recall and recognition. </w:t>
      </w:r>
      <w:proofErr w:type="spellStart"/>
      <w:r w:rsidRPr="489FFC7A">
        <w:rPr>
          <w:i w:val="0"/>
          <w:iCs w:val="0"/>
        </w:rPr>
        <w:t>Winburn</w:t>
      </w:r>
      <w:proofErr w:type="spellEnd"/>
      <w:r w:rsidRPr="489FFC7A">
        <w:rPr>
          <w:i w:val="0"/>
          <w:iCs w:val="0"/>
        </w:rPr>
        <w:t xml:space="preserve"> and Wagner (2010) likewise find a </w:t>
      </w:r>
      <w:proofErr w:type="gramStart"/>
      <w:r w:rsidRPr="489FFC7A">
        <w:rPr>
          <w:i w:val="0"/>
          <w:iCs w:val="0"/>
        </w:rPr>
        <w:t>6-12 point</w:t>
      </w:r>
      <w:proofErr w:type="gramEnd"/>
      <w:r w:rsidRPr="489FFC7A">
        <w:rPr>
          <w:i w:val="0"/>
          <w:iCs w:val="0"/>
        </w:rPr>
        <w:t xml:space="preserve"> increase in name recall of incumbent House members, depending on the exact measure of the dependent variable and the respondent’s level of political knowledge. That my measure of respect for subdivisions results in remarkably similar estimates is evidence of the robustness of the underlying relationship. Districts drawn to match pre-existing political communities appear to foster increased knowledge about and communication with elected representatives.</w:t>
      </w:r>
      <w:r w:rsidRPr="489FFC7A">
        <w:rPr>
          <w:i w:val="0"/>
          <w:iCs w:val="0"/>
          <w:vertAlign w:val="superscript"/>
        </w:rPr>
        <w:footnoteReference w:id="16"/>
      </w:r>
    </w:p>
    <w:p w14:paraId="73E2DC89" w14:textId="77777777" w:rsidR="00EC0E9A" w:rsidRDefault="00EC0E9A" w:rsidP="1E9CA6D6">
      <w:pPr>
        <w:autoSpaceDE w:val="0"/>
        <w:autoSpaceDN w:val="0"/>
        <w:adjustRightInd w:val="0"/>
        <w:spacing w:after="0" w:line="360" w:lineRule="auto"/>
        <w:ind w:firstLine="720"/>
        <w:jc w:val="both"/>
        <w:rPr>
          <w:rFonts w:ascii="Georgia" w:hAnsi="Georgia"/>
          <w:b/>
          <w:bCs/>
          <w:color w:val="000000" w:themeColor="text1"/>
          <w:sz w:val="24"/>
          <w:szCs w:val="24"/>
          <w:lang w:bidi="th-TH"/>
        </w:rPr>
      </w:pPr>
    </w:p>
    <w:p w14:paraId="76A177C4" w14:textId="401CA76F" w:rsidR="00EC0E9A" w:rsidRDefault="00674304" w:rsidP="1E9CA6D6">
      <w:pPr>
        <w:autoSpaceDE w:val="0"/>
        <w:autoSpaceDN w:val="0"/>
        <w:adjustRightInd w:val="0"/>
        <w:spacing w:after="0" w:line="360" w:lineRule="auto"/>
        <w:ind w:firstLine="720"/>
        <w:jc w:val="both"/>
        <w:rPr>
          <w:rFonts w:ascii="Georgia" w:hAnsi="Georgia" w:cs="TimesNewRomanPSMT"/>
          <w:b/>
          <w:bCs/>
          <w:sz w:val="24"/>
          <w:szCs w:val="24"/>
        </w:rPr>
      </w:pPr>
      <w:r w:rsidRPr="1E9CA6D6">
        <w:rPr>
          <w:rFonts w:ascii="Georgia" w:hAnsi="Georgia"/>
          <w:color w:val="000000" w:themeColor="text1"/>
          <w:sz w:val="24"/>
          <w:szCs w:val="24"/>
          <w:lang w:bidi="th-TH"/>
        </w:rPr>
        <w:t>Bowen</w:t>
      </w:r>
      <w:r w:rsidR="000C67AA" w:rsidRPr="1E9CA6D6">
        <w:rPr>
          <w:rFonts w:ascii="Georgia" w:hAnsi="Georgia"/>
          <w:color w:val="000000" w:themeColor="text1"/>
          <w:sz w:val="24"/>
          <w:szCs w:val="24"/>
          <w:lang w:bidi="th-TH"/>
        </w:rPr>
        <w:t xml:space="preserve"> (2014: 867, internal citations omitted) </w:t>
      </w:r>
      <w:r w:rsidR="003E03B1" w:rsidRPr="1E9CA6D6">
        <w:rPr>
          <w:rFonts w:ascii="Georgia" w:hAnsi="Georgia"/>
          <w:color w:val="000000" w:themeColor="text1"/>
          <w:sz w:val="24"/>
          <w:szCs w:val="24"/>
          <w:lang w:bidi="th-TH"/>
        </w:rPr>
        <w:t xml:space="preserve">also </w:t>
      </w:r>
      <w:r w:rsidR="000C67AA" w:rsidRPr="1E9CA6D6">
        <w:rPr>
          <w:rFonts w:ascii="Georgia" w:hAnsi="Georgia"/>
          <w:color w:val="000000" w:themeColor="text1"/>
          <w:sz w:val="24"/>
          <w:szCs w:val="24"/>
          <w:lang w:bidi="th-TH"/>
        </w:rPr>
        <w:t>points out that “</w:t>
      </w:r>
      <w:r w:rsidR="000C67AA" w:rsidRPr="1E9CA6D6">
        <w:rPr>
          <w:rFonts w:ascii="Georgia" w:hAnsi="Georgia" w:cs="TimesNewRomanPSMT"/>
          <w:sz w:val="24"/>
          <w:szCs w:val="24"/>
        </w:rPr>
        <w:t>political units like counties and towns, but also, in some cases, wards or neighborhoods, can be thought of as natural communities of interest,” and goes on to say about cities that</w:t>
      </w:r>
      <w:r w:rsidR="00434677" w:rsidRPr="1E9CA6D6">
        <w:rPr>
          <w:rFonts w:ascii="Georgia" w:hAnsi="Georgia" w:cs="TimesNewRomanPSMT"/>
          <w:sz w:val="24"/>
          <w:szCs w:val="24"/>
        </w:rPr>
        <w:t xml:space="preserve"> </w:t>
      </w:r>
    </w:p>
    <w:p w14:paraId="010E2F0B" w14:textId="357ABD80" w:rsidR="000C67AA" w:rsidRPr="00D16366" w:rsidRDefault="000C67AA" w:rsidP="489FFC7A">
      <w:pPr>
        <w:pStyle w:val="Quote"/>
        <w:spacing w:line="360" w:lineRule="auto"/>
        <w:jc w:val="both"/>
        <w:rPr>
          <w:rFonts w:ascii="Georgia" w:hAnsi="Georgia" w:cs="TimesNewRomanPSMT"/>
          <w:b/>
          <w:bCs/>
          <w:i w:val="0"/>
          <w:iCs w:val="0"/>
          <w:sz w:val="24"/>
          <w:szCs w:val="24"/>
        </w:rPr>
      </w:pPr>
      <w:r w:rsidRPr="489FFC7A">
        <w:rPr>
          <w:i w:val="0"/>
          <w:iCs w:val="0"/>
        </w:rPr>
        <w:t>residents of the same city share much in common—the same taxation levels, the same public problems, and the same municipal government. Even if they differ on partisan preferences or political ideology, there are some interests that residents share simply because of their common government and place of residence. District boundaries that keep these political units together should make it easier for voters to hold their representatives accountable for representing those shared interests and may result in a districting system more reflective of the diversity of interests within a state.</w:t>
      </w:r>
    </w:p>
    <w:p w14:paraId="70C3535D" w14:textId="77777777" w:rsidR="00EC0E9A" w:rsidRPr="000C67AA" w:rsidRDefault="00EC0E9A" w:rsidP="1E9CA6D6">
      <w:pPr>
        <w:autoSpaceDE w:val="0"/>
        <w:autoSpaceDN w:val="0"/>
        <w:adjustRightInd w:val="0"/>
        <w:spacing w:after="0" w:line="360" w:lineRule="auto"/>
        <w:ind w:left="720"/>
        <w:jc w:val="both"/>
        <w:rPr>
          <w:rFonts w:ascii="Georgia" w:hAnsi="Georgia" w:cs="TimesNewRomanPSMT"/>
          <w:b/>
          <w:bCs/>
          <w:sz w:val="24"/>
          <w:szCs w:val="24"/>
        </w:rPr>
      </w:pPr>
    </w:p>
    <w:p w14:paraId="2A490EA7" w14:textId="4F33A7E0" w:rsidR="00FE1EF5" w:rsidRDefault="00EC0E9A" w:rsidP="1E9CA6D6">
      <w:pPr>
        <w:autoSpaceDE w:val="0"/>
        <w:autoSpaceDN w:val="0"/>
        <w:adjustRightInd w:val="0"/>
        <w:spacing w:after="0" w:line="360" w:lineRule="auto"/>
        <w:ind w:firstLine="720"/>
        <w:jc w:val="both"/>
        <w:rPr>
          <w:rFonts w:ascii="Georgia" w:hAnsi="Georgia"/>
          <w:color w:val="000000" w:themeColor="text1"/>
          <w:sz w:val="24"/>
          <w:szCs w:val="24"/>
          <w:lang w:bidi="th-TH"/>
        </w:rPr>
      </w:pPr>
      <w:r w:rsidRPr="1E9CA6D6">
        <w:rPr>
          <w:rFonts w:ascii="Georgia" w:hAnsi="Georgia"/>
          <w:b/>
          <w:bCs/>
          <w:color w:val="000000" w:themeColor="text1"/>
          <w:sz w:val="24"/>
          <w:szCs w:val="24"/>
          <w:lang w:bidi="th-TH"/>
        </w:rPr>
        <w:t xml:space="preserve"> </w:t>
      </w:r>
      <w:r w:rsidR="00FE1EF5" w:rsidRPr="1E9CA6D6">
        <w:rPr>
          <w:rFonts w:ascii="Georgia" w:hAnsi="Georgia"/>
          <w:color w:val="000000" w:themeColor="text1"/>
          <w:sz w:val="24"/>
          <w:szCs w:val="24"/>
          <w:lang w:bidi="th-TH"/>
        </w:rPr>
        <w:t xml:space="preserve">On the other hand, most of </w:t>
      </w:r>
      <w:r w:rsidRPr="1E9CA6D6">
        <w:rPr>
          <w:rFonts w:ascii="Georgia" w:hAnsi="Georgia"/>
          <w:color w:val="000000" w:themeColor="text1"/>
          <w:sz w:val="24"/>
          <w:szCs w:val="24"/>
          <w:lang w:bidi="th-TH"/>
        </w:rPr>
        <w:t xml:space="preserve">the results </w:t>
      </w:r>
      <w:r w:rsidR="00FE1EF5" w:rsidRPr="1E9CA6D6">
        <w:rPr>
          <w:rFonts w:ascii="Georgia" w:hAnsi="Georgia"/>
          <w:color w:val="000000" w:themeColor="text1"/>
          <w:sz w:val="24"/>
          <w:szCs w:val="24"/>
          <w:lang w:bidi="th-TH"/>
        </w:rPr>
        <w:t>in</w:t>
      </w:r>
      <w:r w:rsidRPr="1E9CA6D6">
        <w:rPr>
          <w:rFonts w:ascii="Georgia" w:hAnsi="Georgia"/>
          <w:color w:val="000000" w:themeColor="text1"/>
          <w:sz w:val="24"/>
          <w:szCs w:val="24"/>
          <w:lang w:bidi="th-TH"/>
        </w:rPr>
        <w:t xml:space="preserve"> En</w:t>
      </w:r>
      <w:r w:rsidR="00FE1EF5" w:rsidRPr="1E9CA6D6">
        <w:rPr>
          <w:rFonts w:ascii="Georgia" w:hAnsi="Georgia"/>
          <w:color w:val="000000" w:themeColor="text1"/>
          <w:sz w:val="24"/>
          <w:szCs w:val="24"/>
          <w:lang w:bidi="th-TH"/>
        </w:rPr>
        <w:t>g</w:t>
      </w:r>
      <w:r w:rsidRPr="1E9CA6D6">
        <w:rPr>
          <w:rFonts w:ascii="Georgia" w:hAnsi="Georgia"/>
          <w:color w:val="000000" w:themeColor="text1"/>
          <w:sz w:val="24"/>
          <w:szCs w:val="24"/>
          <w:lang w:bidi="th-TH"/>
        </w:rPr>
        <w:t>st</w:t>
      </w:r>
      <w:r w:rsidR="00FE1EF5" w:rsidRPr="1E9CA6D6">
        <w:rPr>
          <w:rFonts w:ascii="Georgia" w:hAnsi="Georgia"/>
          <w:color w:val="000000" w:themeColor="text1"/>
          <w:sz w:val="24"/>
          <w:szCs w:val="24"/>
          <w:lang w:bidi="th-TH"/>
        </w:rPr>
        <w:t>ro</w:t>
      </w:r>
      <w:r w:rsidRPr="1E9CA6D6">
        <w:rPr>
          <w:rFonts w:ascii="Georgia" w:hAnsi="Georgia"/>
          <w:color w:val="000000" w:themeColor="text1"/>
          <w:sz w:val="24"/>
          <w:szCs w:val="24"/>
          <w:lang w:bidi="th-TH"/>
        </w:rPr>
        <w:t xml:space="preserve">m (2005) are not </w:t>
      </w:r>
      <w:r w:rsidR="00070781" w:rsidRPr="1E9CA6D6">
        <w:rPr>
          <w:rFonts w:ascii="Georgia" w:hAnsi="Georgia"/>
          <w:color w:val="000000" w:themeColor="text1"/>
          <w:sz w:val="24"/>
          <w:szCs w:val="24"/>
          <w:lang w:bidi="th-TH"/>
        </w:rPr>
        <w:t>actually directly</w:t>
      </w:r>
      <w:r w:rsidR="00FE1EF5" w:rsidRPr="1E9CA6D6">
        <w:rPr>
          <w:rFonts w:ascii="Georgia" w:hAnsi="Georgia"/>
          <w:color w:val="000000" w:themeColor="text1"/>
          <w:sz w:val="24"/>
          <w:szCs w:val="24"/>
          <w:lang w:bidi="th-TH"/>
        </w:rPr>
        <w:t xml:space="preserve"> relevant to any claims in Curiel and Steelman (2018, 2020) since the key dependent variable in that book chapter is voter turnout, not knowledge. However, there is one hypothesis </w:t>
      </w:r>
      <w:r w:rsidR="00070781" w:rsidRPr="1E9CA6D6">
        <w:rPr>
          <w:rFonts w:ascii="Georgia" w:hAnsi="Georgia"/>
          <w:color w:val="000000" w:themeColor="text1"/>
          <w:sz w:val="24"/>
          <w:szCs w:val="24"/>
          <w:lang w:bidi="th-TH"/>
        </w:rPr>
        <w:t>in th</w:t>
      </w:r>
      <w:r w:rsidR="00291C68" w:rsidRPr="1E9CA6D6">
        <w:rPr>
          <w:rFonts w:ascii="Georgia" w:hAnsi="Georgia"/>
          <w:color w:val="000000" w:themeColor="text1"/>
          <w:sz w:val="24"/>
          <w:szCs w:val="24"/>
          <w:lang w:bidi="th-TH"/>
        </w:rPr>
        <w:t>e Engstrom</w:t>
      </w:r>
      <w:r w:rsidR="00070781" w:rsidRPr="1E9CA6D6">
        <w:rPr>
          <w:rFonts w:ascii="Georgia" w:hAnsi="Georgia"/>
          <w:color w:val="000000" w:themeColor="text1"/>
          <w:sz w:val="24"/>
          <w:szCs w:val="24"/>
          <w:lang w:bidi="th-TH"/>
        </w:rPr>
        <w:t xml:space="preserve"> chapter </w:t>
      </w:r>
      <w:r w:rsidR="00FE1EF5" w:rsidRPr="1E9CA6D6">
        <w:rPr>
          <w:rFonts w:ascii="Georgia" w:hAnsi="Georgia"/>
          <w:color w:val="000000" w:themeColor="text1"/>
          <w:sz w:val="24"/>
          <w:szCs w:val="24"/>
          <w:lang w:bidi="th-TH"/>
        </w:rPr>
        <w:t xml:space="preserve">that is </w:t>
      </w:r>
      <w:r w:rsidR="00070781" w:rsidRPr="1E9CA6D6">
        <w:rPr>
          <w:rFonts w:ascii="Georgia" w:hAnsi="Georgia"/>
          <w:color w:val="000000" w:themeColor="text1"/>
          <w:sz w:val="24"/>
          <w:szCs w:val="24"/>
          <w:lang w:bidi="th-TH"/>
        </w:rPr>
        <w:t>a clear exception</w:t>
      </w:r>
      <w:r w:rsidR="00FE1EF5" w:rsidRPr="1E9CA6D6">
        <w:rPr>
          <w:rFonts w:ascii="Georgia" w:hAnsi="Georgia"/>
          <w:color w:val="000000" w:themeColor="text1"/>
          <w:sz w:val="24"/>
          <w:szCs w:val="24"/>
          <w:lang w:bidi="th-TH"/>
        </w:rPr>
        <w:t>:</w:t>
      </w:r>
    </w:p>
    <w:p w14:paraId="23B32401" w14:textId="77777777" w:rsidR="00070781" w:rsidRDefault="00070781" w:rsidP="1E9CA6D6">
      <w:pPr>
        <w:autoSpaceDE w:val="0"/>
        <w:autoSpaceDN w:val="0"/>
        <w:adjustRightInd w:val="0"/>
        <w:spacing w:after="0" w:line="360" w:lineRule="auto"/>
        <w:ind w:firstLine="720"/>
        <w:jc w:val="both"/>
        <w:rPr>
          <w:rFonts w:ascii="Georgia" w:hAnsi="Georgia"/>
          <w:b/>
          <w:bCs/>
          <w:color w:val="000000" w:themeColor="text1"/>
          <w:sz w:val="24"/>
          <w:szCs w:val="24"/>
          <w:lang w:bidi="th-TH"/>
        </w:rPr>
      </w:pPr>
    </w:p>
    <w:p w14:paraId="745E7921" w14:textId="62E7247E" w:rsidR="00FE1EF5" w:rsidRPr="008C3647" w:rsidRDefault="008C3647" w:rsidP="1E9CA6D6">
      <w:pPr>
        <w:pStyle w:val="Quote"/>
        <w:spacing w:line="360" w:lineRule="auto"/>
        <w:jc w:val="both"/>
        <w:rPr>
          <w:rFonts w:ascii="Georgia" w:hAnsi="Georgia"/>
          <w:color w:val="000000" w:themeColor="text1"/>
          <w:sz w:val="24"/>
          <w:szCs w:val="24"/>
          <w:lang w:bidi="th-TH"/>
        </w:rPr>
      </w:pPr>
      <w:r>
        <w:t>“</w:t>
      </w:r>
      <w:r w:rsidR="00FE1EF5">
        <w:t>Hypothesis 4. Districts with a high degree of conformity to media markets boundaries will be positively associated with citizen ability to recall candidate’s names</w:t>
      </w:r>
      <w:r w:rsidR="00F24D98">
        <w:t>.</w:t>
      </w:r>
      <w:r>
        <w:t>”</w:t>
      </w:r>
    </w:p>
    <w:p w14:paraId="60243535" w14:textId="77777777" w:rsidR="00F24D98" w:rsidRDefault="00F24D98" w:rsidP="1E9CA6D6">
      <w:pPr>
        <w:autoSpaceDE w:val="0"/>
        <w:autoSpaceDN w:val="0"/>
        <w:adjustRightInd w:val="0"/>
        <w:spacing w:after="0" w:line="360" w:lineRule="auto"/>
        <w:ind w:firstLine="720"/>
        <w:jc w:val="both"/>
        <w:rPr>
          <w:rFonts w:ascii="Georgia" w:hAnsi="Georgia"/>
          <w:b/>
          <w:bCs/>
          <w:color w:val="000000" w:themeColor="text1"/>
          <w:sz w:val="24"/>
          <w:szCs w:val="24"/>
          <w:lang w:bidi="th-TH"/>
        </w:rPr>
      </w:pPr>
    </w:p>
    <w:p w14:paraId="4494B67A" w14:textId="2300C4A7" w:rsidR="00F24D98" w:rsidRDefault="00070781" w:rsidP="1E9CA6D6">
      <w:pPr>
        <w:autoSpaceDE w:val="0"/>
        <w:autoSpaceDN w:val="0"/>
        <w:adjustRightInd w:val="0"/>
        <w:spacing w:after="0" w:line="360" w:lineRule="auto"/>
        <w:ind w:firstLine="720"/>
        <w:jc w:val="both"/>
        <w:rPr>
          <w:rFonts w:ascii="Georgia" w:hAnsi="Georgia"/>
          <w:color w:val="000000" w:themeColor="text1"/>
          <w:sz w:val="24"/>
          <w:szCs w:val="24"/>
          <w:lang w:bidi="th-TH"/>
        </w:rPr>
      </w:pPr>
      <w:r w:rsidRPr="1E9CA6D6">
        <w:rPr>
          <w:rFonts w:ascii="Georgia" w:hAnsi="Georgia"/>
          <w:color w:val="000000" w:themeColor="text1"/>
          <w:sz w:val="24"/>
          <w:szCs w:val="24"/>
          <w:lang w:bidi="th-TH"/>
        </w:rPr>
        <w:t xml:space="preserve">Engstrom (2005: </w:t>
      </w:r>
      <w:r w:rsidR="00F24D98" w:rsidRPr="1E9CA6D6">
        <w:rPr>
          <w:rFonts w:ascii="Georgia" w:hAnsi="Georgia"/>
          <w:color w:val="000000" w:themeColor="text1"/>
          <w:sz w:val="24"/>
          <w:szCs w:val="24"/>
          <w:lang w:bidi="th-TH"/>
        </w:rPr>
        <w:t>Table 4.3 (p. 79)</w:t>
      </w:r>
      <w:r w:rsidR="00C14120" w:rsidRPr="1E9CA6D6">
        <w:rPr>
          <w:rFonts w:ascii="Georgia" w:hAnsi="Georgia"/>
          <w:color w:val="000000" w:themeColor="text1"/>
          <w:sz w:val="24"/>
          <w:szCs w:val="24"/>
          <w:lang w:bidi="th-TH"/>
        </w:rPr>
        <w:t>)</w:t>
      </w:r>
      <w:r w:rsidR="00F24D98" w:rsidRPr="1E9CA6D6">
        <w:rPr>
          <w:rFonts w:ascii="Georgia" w:hAnsi="Georgia"/>
          <w:color w:val="000000" w:themeColor="text1"/>
          <w:sz w:val="24"/>
          <w:szCs w:val="24"/>
          <w:lang w:bidi="th-TH"/>
        </w:rPr>
        <w:t xml:space="preserve"> shows that district media market conformity is</w:t>
      </w:r>
      <w:r w:rsidRPr="1E9CA6D6">
        <w:rPr>
          <w:rFonts w:ascii="Georgia" w:hAnsi="Georgia"/>
          <w:color w:val="000000" w:themeColor="text1"/>
          <w:sz w:val="24"/>
          <w:szCs w:val="24"/>
          <w:lang w:bidi="th-TH"/>
        </w:rPr>
        <w:t>, as posited by this hypothesis</w:t>
      </w:r>
      <w:r w:rsidR="008C3647" w:rsidRPr="1E9CA6D6">
        <w:rPr>
          <w:rFonts w:ascii="Georgia" w:hAnsi="Georgia"/>
          <w:color w:val="000000" w:themeColor="text1"/>
          <w:sz w:val="24"/>
          <w:szCs w:val="24"/>
          <w:lang w:bidi="th-TH"/>
        </w:rPr>
        <w:t>,</w:t>
      </w:r>
      <w:r w:rsidRPr="1E9CA6D6">
        <w:rPr>
          <w:rFonts w:ascii="Georgia" w:hAnsi="Georgia"/>
          <w:color w:val="000000" w:themeColor="text1"/>
          <w:sz w:val="24"/>
          <w:szCs w:val="24"/>
          <w:lang w:bidi="th-TH"/>
        </w:rPr>
        <w:t xml:space="preserve"> “</w:t>
      </w:r>
      <w:r w:rsidR="00F24D98" w:rsidRPr="1E9CA6D6">
        <w:rPr>
          <w:rFonts w:ascii="Georgia" w:hAnsi="Georgia"/>
          <w:color w:val="000000" w:themeColor="text1"/>
          <w:sz w:val="24"/>
          <w:szCs w:val="24"/>
          <w:lang w:bidi="th-TH"/>
        </w:rPr>
        <w:t xml:space="preserve">positively and significantly related to citizens ability to recall candidate names.” We will have more to say about media markets </w:t>
      </w:r>
      <w:r w:rsidRPr="1E9CA6D6">
        <w:rPr>
          <w:rFonts w:ascii="Georgia" w:hAnsi="Georgia"/>
          <w:color w:val="000000" w:themeColor="text1"/>
          <w:sz w:val="24"/>
          <w:szCs w:val="24"/>
          <w:lang w:bidi="th-TH"/>
        </w:rPr>
        <w:t xml:space="preserve">later </w:t>
      </w:r>
      <w:r w:rsidR="00F24D98" w:rsidRPr="1E9CA6D6">
        <w:rPr>
          <w:rFonts w:ascii="Georgia" w:hAnsi="Georgia"/>
          <w:color w:val="000000" w:themeColor="text1"/>
          <w:sz w:val="24"/>
          <w:szCs w:val="24"/>
          <w:lang w:bidi="th-TH"/>
        </w:rPr>
        <w:t>below.</w:t>
      </w:r>
    </w:p>
    <w:p w14:paraId="4F3CAD9E" w14:textId="77777777" w:rsidR="00F24D98" w:rsidRDefault="00F24D98" w:rsidP="1E9CA6D6">
      <w:pPr>
        <w:autoSpaceDE w:val="0"/>
        <w:autoSpaceDN w:val="0"/>
        <w:adjustRightInd w:val="0"/>
        <w:spacing w:after="0" w:line="360" w:lineRule="auto"/>
        <w:ind w:firstLine="720"/>
        <w:jc w:val="both"/>
        <w:rPr>
          <w:rFonts w:ascii="Georgia" w:hAnsi="Georgia"/>
          <w:b/>
          <w:bCs/>
          <w:color w:val="000000" w:themeColor="text1"/>
          <w:sz w:val="24"/>
          <w:szCs w:val="24"/>
          <w:lang w:bidi="th-TH"/>
        </w:rPr>
      </w:pPr>
    </w:p>
    <w:p w14:paraId="67771C05" w14:textId="24872836" w:rsidR="00CC0EE1" w:rsidRPr="000C67AA" w:rsidRDefault="00A82B49" w:rsidP="1E9CA6D6">
      <w:pPr>
        <w:autoSpaceDE w:val="0"/>
        <w:autoSpaceDN w:val="0"/>
        <w:adjustRightInd w:val="0"/>
        <w:spacing w:after="0" w:line="360" w:lineRule="auto"/>
        <w:ind w:firstLine="720"/>
        <w:jc w:val="both"/>
        <w:rPr>
          <w:rFonts w:ascii="Georgia" w:hAnsi="Georgia"/>
          <w:b/>
          <w:bCs/>
          <w:color w:val="000000" w:themeColor="text1"/>
          <w:sz w:val="24"/>
          <w:szCs w:val="24"/>
          <w:lang w:bidi="th-TH"/>
        </w:rPr>
      </w:pPr>
      <w:r w:rsidRPr="1BC0107E">
        <w:rPr>
          <w:rFonts w:ascii="Georgia" w:hAnsi="Georgia"/>
          <w:color w:val="000000" w:themeColor="text1"/>
          <w:sz w:val="24"/>
          <w:szCs w:val="24"/>
          <w:lang w:bidi="th-TH"/>
        </w:rPr>
        <w:t xml:space="preserve">Third, there is not a perfect correspondence between </w:t>
      </w:r>
      <w:r w:rsidR="00453D8A">
        <w:rPr>
          <w:rFonts w:ascii="Georgia" w:hAnsi="Georgia"/>
          <w:color w:val="000000" w:themeColor="text1"/>
          <w:sz w:val="24"/>
          <w:szCs w:val="24"/>
          <w:lang w:bidi="th-TH"/>
        </w:rPr>
        <w:t>ZIP</w:t>
      </w:r>
      <w:r w:rsidRPr="1BC0107E">
        <w:rPr>
          <w:rFonts w:ascii="Georgia" w:hAnsi="Georgia"/>
          <w:color w:val="000000" w:themeColor="text1"/>
          <w:sz w:val="24"/>
          <w:szCs w:val="24"/>
          <w:lang w:bidi="th-TH"/>
        </w:rPr>
        <w:t xml:space="preserve"> codes and units of census geography</w:t>
      </w:r>
      <w:r w:rsidR="6EE1FCC5" w:rsidRPr="1BC0107E">
        <w:rPr>
          <w:rFonts w:ascii="Georgia" w:hAnsi="Georgia"/>
          <w:color w:val="000000" w:themeColor="text1"/>
          <w:sz w:val="24"/>
          <w:szCs w:val="24"/>
          <w:lang w:bidi="th-TH"/>
        </w:rPr>
        <w:t>.</w:t>
      </w:r>
      <w:r w:rsidRPr="0A7B03BD">
        <w:rPr>
          <w:rStyle w:val="FootnoteReference"/>
          <w:rFonts w:ascii="Georgia" w:hAnsi="Georgia"/>
          <w:color w:val="000000" w:themeColor="text1"/>
          <w:sz w:val="24"/>
          <w:szCs w:val="24"/>
          <w:lang w:bidi="th-TH"/>
        </w:rPr>
        <w:footnoteReference w:id="17"/>
      </w:r>
      <w:r w:rsidRPr="1BC0107E">
        <w:rPr>
          <w:rFonts w:ascii="Georgia" w:hAnsi="Georgia"/>
          <w:color w:val="000000" w:themeColor="text1"/>
          <w:sz w:val="24"/>
          <w:szCs w:val="24"/>
          <w:lang w:bidi="th-TH"/>
        </w:rPr>
        <w:t xml:space="preserve"> </w:t>
      </w:r>
      <w:r w:rsidR="189F5CB6" w:rsidRPr="1BC0107E">
        <w:rPr>
          <w:rFonts w:ascii="Georgia" w:hAnsi="Georgia"/>
          <w:color w:val="000000" w:themeColor="text1"/>
          <w:sz w:val="24"/>
          <w:szCs w:val="24"/>
          <w:lang w:bidi="th-TH"/>
        </w:rPr>
        <w:t>F</w:t>
      </w:r>
      <w:r w:rsidRPr="1BC0107E">
        <w:rPr>
          <w:rFonts w:ascii="Georgia" w:hAnsi="Georgia"/>
          <w:color w:val="000000" w:themeColor="text1"/>
          <w:sz w:val="24"/>
          <w:szCs w:val="24"/>
          <w:lang w:bidi="th-TH"/>
        </w:rPr>
        <w:t xml:space="preserve">or the lowest unit of census geography, the block, the problems </w:t>
      </w:r>
      <w:r w:rsidR="5E031F9A" w:rsidRPr="1BC0107E">
        <w:rPr>
          <w:rFonts w:ascii="Georgia" w:hAnsi="Georgia"/>
          <w:color w:val="000000" w:themeColor="text1"/>
          <w:sz w:val="24"/>
          <w:szCs w:val="24"/>
          <w:lang w:bidi="th-TH"/>
        </w:rPr>
        <w:t>are</w:t>
      </w:r>
      <w:r w:rsidRPr="1BC0107E">
        <w:rPr>
          <w:rFonts w:ascii="Georgia" w:hAnsi="Georgia"/>
          <w:color w:val="000000" w:themeColor="text1"/>
          <w:sz w:val="24"/>
          <w:szCs w:val="24"/>
          <w:lang w:bidi="th-TH"/>
        </w:rPr>
        <w:t xml:space="preserve"> not at all a major one and can be dealt with by use of ZCTAs as </w:t>
      </w:r>
      <w:r w:rsidR="00453D8A">
        <w:rPr>
          <w:rFonts w:ascii="Georgia" w:hAnsi="Georgia"/>
          <w:color w:val="000000" w:themeColor="text1"/>
          <w:sz w:val="24"/>
          <w:szCs w:val="24"/>
          <w:lang w:bidi="th-TH"/>
        </w:rPr>
        <w:t>ZIP</w:t>
      </w:r>
      <w:r w:rsidRPr="1BC0107E">
        <w:rPr>
          <w:rFonts w:ascii="Georgia" w:hAnsi="Georgia"/>
          <w:color w:val="000000" w:themeColor="text1"/>
          <w:sz w:val="24"/>
          <w:szCs w:val="24"/>
          <w:lang w:bidi="th-TH"/>
        </w:rPr>
        <w:t xml:space="preserve"> code equivalents</w:t>
      </w:r>
      <w:r>
        <w:rPr>
          <w:rFonts w:ascii="Georgia" w:hAnsi="Georgia"/>
          <w:color w:val="000000" w:themeColor="text1"/>
          <w:sz w:val="24"/>
          <w:szCs w:val="24"/>
          <w:lang w:bidi="th-TH"/>
        </w:rPr>
        <w:t>.</w:t>
      </w:r>
      <w:r>
        <w:rPr>
          <w:rStyle w:val="FootnoteReference"/>
          <w:rFonts w:ascii="Georgia" w:hAnsi="Georgia"/>
          <w:color w:val="000000" w:themeColor="text1"/>
          <w:sz w:val="24"/>
          <w:szCs w:val="24"/>
          <w:lang w:bidi="th-TH"/>
        </w:rPr>
        <w:footnoteReference w:id="18"/>
      </w:r>
      <w:r>
        <w:rPr>
          <w:rFonts w:ascii="Georgia" w:hAnsi="Georgia"/>
          <w:b/>
          <w:bCs/>
          <w:sz w:val="24"/>
          <w:szCs w:val="24"/>
          <w:lang w:bidi="th-TH"/>
        </w:rPr>
        <w:t xml:space="preserve"> </w:t>
      </w:r>
      <w:r w:rsidR="004712FD">
        <w:rPr>
          <w:rFonts w:ascii="Georgia" w:hAnsi="Georgia"/>
          <w:color w:val="000000" w:themeColor="text1"/>
          <w:sz w:val="24"/>
          <w:szCs w:val="24"/>
          <w:lang w:bidi="th-TH"/>
        </w:rPr>
        <w:t xml:space="preserve">But </w:t>
      </w:r>
      <w:r w:rsidR="005C027C" w:rsidRPr="003E03B1">
        <w:rPr>
          <w:rFonts w:ascii="Georgia" w:hAnsi="Georgia"/>
          <w:color w:val="000000" w:themeColor="text1"/>
          <w:sz w:val="24"/>
          <w:szCs w:val="24"/>
          <w:lang w:bidi="th-TH"/>
        </w:rPr>
        <w:t>ZCTAs</w:t>
      </w:r>
      <w:r w:rsidR="005C027C">
        <w:rPr>
          <w:rFonts w:ascii="Georgia" w:hAnsi="Georgia"/>
          <w:sz w:val="24"/>
          <w:szCs w:val="24"/>
          <w:lang w:bidi="th-TH"/>
        </w:rPr>
        <w:t xml:space="preserve"> </w:t>
      </w:r>
      <w:r w:rsidR="008D476E">
        <w:rPr>
          <w:rFonts w:ascii="Georgia" w:hAnsi="Georgia"/>
          <w:sz w:val="24"/>
          <w:szCs w:val="24"/>
          <w:lang w:bidi="th-TH"/>
        </w:rPr>
        <w:t xml:space="preserve">do not perfectly coincide with larger </w:t>
      </w:r>
      <w:r w:rsidR="001A13BA">
        <w:rPr>
          <w:rFonts w:ascii="Georgia" w:hAnsi="Georgia"/>
          <w:sz w:val="24"/>
          <w:szCs w:val="24"/>
          <w:lang w:bidi="th-TH"/>
        </w:rPr>
        <w:t xml:space="preserve">Census </w:t>
      </w:r>
      <w:r w:rsidR="008D476E">
        <w:rPr>
          <w:rFonts w:ascii="Georgia" w:hAnsi="Georgia"/>
          <w:sz w:val="24"/>
          <w:szCs w:val="24"/>
          <w:lang w:bidi="th-TH"/>
        </w:rPr>
        <w:t>units such as tracts</w:t>
      </w:r>
      <w:r w:rsidR="41C6C1D9">
        <w:rPr>
          <w:rFonts w:ascii="Georgia" w:hAnsi="Georgia"/>
          <w:sz w:val="24"/>
          <w:szCs w:val="24"/>
          <w:lang w:bidi="th-TH"/>
        </w:rPr>
        <w:t>. E</w:t>
      </w:r>
      <w:r w:rsidR="008D476E" w:rsidRPr="1BC0107E">
        <w:rPr>
          <w:rFonts w:ascii="Georgia" w:hAnsi="Georgia"/>
          <w:sz w:val="24"/>
          <w:szCs w:val="24"/>
          <w:lang w:bidi="th-TH"/>
        </w:rPr>
        <w:t xml:space="preserve">ven Census block groups, which are the second lowest </w:t>
      </w:r>
      <w:r w:rsidR="0085271E" w:rsidRPr="1BC0107E">
        <w:rPr>
          <w:rFonts w:ascii="Georgia" w:hAnsi="Georgia"/>
          <w:sz w:val="24"/>
          <w:szCs w:val="24"/>
          <w:lang w:bidi="th-TH"/>
        </w:rPr>
        <w:t xml:space="preserve">form of Census aggregation, </w:t>
      </w:r>
      <w:r w:rsidR="00E352FA" w:rsidRPr="1BC0107E">
        <w:rPr>
          <w:rFonts w:ascii="Georgia" w:hAnsi="Georgia"/>
          <w:sz w:val="24"/>
          <w:szCs w:val="24"/>
          <w:lang w:bidi="th-TH"/>
        </w:rPr>
        <w:t>may overlap</w:t>
      </w:r>
      <w:r w:rsidR="008D476E" w:rsidRPr="00C85200">
        <w:rPr>
          <w:rFonts w:ascii="Georgia" w:hAnsi="Georgia"/>
          <w:sz w:val="24"/>
          <w:szCs w:val="24"/>
          <w:lang w:bidi="th-TH"/>
        </w:rPr>
        <w:t xml:space="preserve"> </w:t>
      </w:r>
      <w:r w:rsidR="005C027C" w:rsidRPr="1BC0107E">
        <w:rPr>
          <w:rFonts w:ascii="Georgia" w:hAnsi="Georgia"/>
          <w:sz w:val="24"/>
          <w:szCs w:val="24"/>
          <w:lang w:bidi="th-TH"/>
        </w:rPr>
        <w:t>ZCTAs</w:t>
      </w:r>
      <w:r w:rsidR="008D476E" w:rsidRPr="008D476E">
        <w:rPr>
          <w:rFonts w:ascii="Georgia" w:hAnsi="Georgia"/>
          <w:sz w:val="24"/>
          <w:szCs w:val="24"/>
          <w:lang w:bidi="th-TH"/>
        </w:rPr>
        <w:t xml:space="preserve"> (see </w:t>
      </w:r>
      <w:r w:rsidR="008D476E" w:rsidRPr="008D476E">
        <w:rPr>
          <w:rFonts w:ascii="Georgia" w:hAnsi="Georgia"/>
          <w:sz w:val="24"/>
          <w:szCs w:val="24"/>
          <w:lang w:bidi="th-TH"/>
        </w:rPr>
        <w:fldChar w:fldCharType="begin"/>
      </w:r>
      <w:r w:rsidR="008D476E" w:rsidRPr="008D476E">
        <w:rPr>
          <w:rFonts w:ascii="Georgia" w:hAnsi="Georgia"/>
          <w:sz w:val="24"/>
          <w:szCs w:val="24"/>
          <w:lang w:bidi="th-TH"/>
        </w:rPr>
        <w:instrText xml:space="preserve"> REF _Ref41121078 \h  \* MERGEFORMAT </w:instrText>
      </w:r>
      <w:r w:rsidR="008D476E" w:rsidRPr="008D476E">
        <w:rPr>
          <w:rFonts w:ascii="Georgia" w:hAnsi="Georgia"/>
          <w:sz w:val="24"/>
          <w:szCs w:val="24"/>
          <w:lang w:bidi="th-TH"/>
        </w:rPr>
      </w:r>
      <w:r w:rsidR="008D476E" w:rsidRPr="008D476E">
        <w:rPr>
          <w:rFonts w:ascii="Georgia" w:hAnsi="Georgia"/>
          <w:sz w:val="24"/>
          <w:szCs w:val="24"/>
          <w:lang w:bidi="th-TH"/>
        </w:rPr>
        <w:fldChar w:fldCharType="separate"/>
      </w:r>
      <w:r w:rsidR="008D476E" w:rsidRPr="008D476E">
        <w:rPr>
          <w:rFonts w:ascii="Georgia" w:hAnsi="Georgia"/>
          <w:sz w:val="24"/>
          <w:szCs w:val="24"/>
        </w:rPr>
        <w:t xml:space="preserve">Figure </w:t>
      </w:r>
      <w:r w:rsidR="008D476E" w:rsidRPr="008D476E">
        <w:rPr>
          <w:rFonts w:ascii="Georgia" w:hAnsi="Georgia"/>
          <w:noProof/>
          <w:sz w:val="24"/>
          <w:szCs w:val="24"/>
        </w:rPr>
        <w:t>1</w:t>
      </w:r>
      <w:r w:rsidR="008D476E" w:rsidRPr="008D476E">
        <w:rPr>
          <w:rFonts w:ascii="Georgia" w:hAnsi="Georgia"/>
          <w:sz w:val="24"/>
          <w:szCs w:val="24"/>
          <w:lang w:bidi="th-TH"/>
        </w:rPr>
        <w:fldChar w:fldCharType="end"/>
      </w:r>
      <w:r w:rsidR="00E352FA" w:rsidRPr="00E352FA">
        <w:rPr>
          <w:rFonts w:ascii="Georgia" w:hAnsi="Georgia"/>
          <w:color w:val="000000" w:themeColor="text1"/>
          <w:sz w:val="24"/>
          <w:szCs w:val="24"/>
          <w:lang w:bidi="th-TH"/>
        </w:rPr>
        <w:t>).</w:t>
      </w:r>
      <w:r w:rsidR="008645E0">
        <w:rPr>
          <w:rFonts w:ascii="Georgia" w:hAnsi="Georgia"/>
          <w:color w:val="000000" w:themeColor="text1"/>
          <w:sz w:val="24"/>
          <w:szCs w:val="24"/>
          <w:lang w:bidi="th-TH"/>
        </w:rPr>
        <w:t xml:space="preserve"> </w:t>
      </w:r>
      <w:r w:rsidR="000C67AA" w:rsidRPr="1BC0107E">
        <w:rPr>
          <w:rFonts w:ascii="Georgia" w:hAnsi="Georgia"/>
          <w:color w:val="000000" w:themeColor="text1"/>
          <w:sz w:val="24"/>
          <w:szCs w:val="24"/>
          <w:lang w:bidi="th-TH"/>
        </w:rPr>
        <w:t xml:space="preserve">This fact causes </w:t>
      </w:r>
      <w:r w:rsidR="00C23A51" w:rsidRPr="1BC0107E">
        <w:rPr>
          <w:rFonts w:ascii="Georgia" w:hAnsi="Georgia"/>
          <w:color w:val="000000" w:themeColor="text1"/>
          <w:sz w:val="24"/>
          <w:szCs w:val="24"/>
          <w:lang w:bidi="th-TH"/>
        </w:rPr>
        <w:t xml:space="preserve">some </w:t>
      </w:r>
      <w:r w:rsidR="000C67AA" w:rsidRPr="1BC0107E">
        <w:rPr>
          <w:rFonts w:ascii="Georgia" w:hAnsi="Georgia"/>
          <w:color w:val="000000" w:themeColor="text1"/>
          <w:sz w:val="24"/>
          <w:szCs w:val="24"/>
          <w:lang w:bidi="th-TH"/>
        </w:rPr>
        <w:t xml:space="preserve">practical problems in efficiently drawing redistricting plans under </w:t>
      </w:r>
      <w:r w:rsidR="00C23A51" w:rsidRPr="1BC0107E">
        <w:rPr>
          <w:rFonts w:ascii="Georgia" w:hAnsi="Georgia"/>
          <w:color w:val="000000" w:themeColor="text1"/>
          <w:sz w:val="24"/>
          <w:szCs w:val="24"/>
          <w:lang w:bidi="th-TH"/>
        </w:rPr>
        <w:t xml:space="preserve">strong </w:t>
      </w:r>
      <w:r w:rsidR="000C67AA" w:rsidRPr="1BC0107E">
        <w:rPr>
          <w:rFonts w:ascii="Georgia" w:hAnsi="Georgia"/>
          <w:color w:val="000000" w:themeColor="text1"/>
          <w:sz w:val="24"/>
          <w:szCs w:val="24"/>
          <w:lang w:bidi="th-TH"/>
        </w:rPr>
        <w:t>one person, one vote constraints.</w:t>
      </w:r>
      <w:r w:rsidR="00115898" w:rsidRPr="00C85200">
        <w:rPr>
          <w:rStyle w:val="FootnoteReference"/>
          <w:rFonts w:ascii="Georgia" w:hAnsi="Georgia"/>
          <w:color w:val="000000" w:themeColor="text1"/>
          <w:sz w:val="24"/>
          <w:szCs w:val="24"/>
          <w:lang w:bidi="th-TH"/>
        </w:rPr>
        <w:footnoteReference w:id="19"/>
      </w:r>
    </w:p>
    <w:p w14:paraId="340A4EC6" w14:textId="77777777" w:rsidR="003A11E0" w:rsidRDefault="003A11E0" w:rsidP="1E9CA6D6">
      <w:pPr>
        <w:autoSpaceDE w:val="0"/>
        <w:autoSpaceDN w:val="0"/>
        <w:adjustRightInd w:val="0"/>
        <w:spacing w:after="0" w:line="360" w:lineRule="auto"/>
        <w:ind w:firstLine="720"/>
        <w:jc w:val="both"/>
        <w:rPr>
          <w:rFonts w:ascii="Georgia" w:hAnsi="Georgia"/>
          <w:b/>
          <w:bCs/>
          <w:sz w:val="24"/>
          <w:szCs w:val="24"/>
          <w:lang w:bidi="th-TH"/>
        </w:rPr>
      </w:pPr>
    </w:p>
    <w:p w14:paraId="7BE3F428" w14:textId="2B4C9559" w:rsidR="000D25EA" w:rsidRDefault="000D25EA" w:rsidP="1E9CA6D6">
      <w:pPr>
        <w:autoSpaceDE w:val="0"/>
        <w:autoSpaceDN w:val="0"/>
        <w:adjustRightInd w:val="0"/>
        <w:spacing w:after="0" w:line="360" w:lineRule="auto"/>
        <w:ind w:firstLine="720"/>
        <w:jc w:val="both"/>
        <w:rPr>
          <w:rFonts w:ascii="Georgia" w:hAnsi="Georgia"/>
          <w:b/>
          <w:bCs/>
          <w:sz w:val="24"/>
          <w:szCs w:val="24"/>
          <w:lang w:bidi="th-TH"/>
        </w:rPr>
        <w:sectPr w:rsidR="000D25EA" w:rsidSect="00F06C03">
          <w:pgSz w:w="12240" w:h="15840"/>
          <w:pgMar w:top="1440" w:right="1440" w:bottom="1440" w:left="1440" w:header="720" w:footer="720" w:gutter="0"/>
          <w:pgNumType w:start="1"/>
          <w:cols w:space="720"/>
          <w:docGrid w:linePitch="360"/>
        </w:sectPr>
      </w:pPr>
    </w:p>
    <w:p w14:paraId="426E48F4" w14:textId="798AC546" w:rsidR="008645E0" w:rsidRDefault="008645E0" w:rsidP="5037D466">
      <w:pPr>
        <w:autoSpaceDE w:val="0"/>
        <w:autoSpaceDN w:val="0"/>
        <w:adjustRightInd w:val="0"/>
        <w:spacing w:after="0" w:line="360" w:lineRule="auto"/>
        <w:jc w:val="center"/>
        <w:rPr>
          <w:rFonts w:ascii="Georgia" w:hAnsi="Georgia"/>
          <w:b/>
          <w:bCs/>
          <w:color w:val="000000" w:themeColor="text1"/>
          <w:sz w:val="24"/>
          <w:szCs w:val="24"/>
          <w:lang w:bidi="th-TH"/>
        </w:rPr>
      </w:pPr>
      <w:r w:rsidRPr="5037D466">
        <w:rPr>
          <w:rFonts w:ascii="Georgia" w:hAnsi="Georgia"/>
          <w:b/>
          <w:bCs/>
          <w:color w:val="000000" w:themeColor="text1"/>
          <w:sz w:val="24"/>
          <w:szCs w:val="24"/>
          <w:lang w:bidi="th-TH"/>
        </w:rPr>
        <w:t>&lt;&lt;Figure 1 about here&gt;&gt;</w:t>
      </w:r>
    </w:p>
    <w:p w14:paraId="22F0D9A6" w14:textId="0CDA8781" w:rsidR="00A82B49" w:rsidRDefault="00A82B49" w:rsidP="008645E0">
      <w:pPr>
        <w:autoSpaceDE w:val="0"/>
        <w:autoSpaceDN w:val="0"/>
        <w:adjustRightInd w:val="0"/>
        <w:spacing w:after="0" w:line="360" w:lineRule="auto"/>
        <w:jc w:val="center"/>
        <w:rPr>
          <w:rFonts w:ascii="Georgia" w:hAnsi="Georgia"/>
          <w:b/>
          <w:bCs/>
          <w:color w:val="000000" w:themeColor="text1"/>
          <w:sz w:val="24"/>
          <w:szCs w:val="24"/>
          <w:lang w:bidi="th-TH"/>
        </w:rPr>
      </w:pPr>
    </w:p>
    <w:tbl>
      <w:tblPr>
        <w:tblStyle w:val="TableGrid"/>
        <w:tblW w:w="4995" w:type="pct"/>
        <w:jc w:val="center"/>
        <w:tblLook w:val="04A0" w:firstRow="1" w:lastRow="0" w:firstColumn="1" w:lastColumn="0" w:noHBand="0" w:noVBand="1"/>
      </w:tblPr>
      <w:tblGrid>
        <w:gridCol w:w="9341"/>
      </w:tblGrid>
      <w:tr w:rsidR="00A82B49" w14:paraId="6477D80F" w14:textId="77777777" w:rsidTr="489FFC7A">
        <w:trPr>
          <w:jc w:val="center"/>
        </w:trPr>
        <w:tc>
          <w:tcPr>
            <w:tcW w:w="5000" w:type="pct"/>
          </w:tcPr>
          <w:p w14:paraId="489DB00E" w14:textId="36051DA6" w:rsidR="00A82B49" w:rsidRPr="00115898" w:rsidRDefault="00A82B49" w:rsidP="00880B78">
            <w:pPr>
              <w:pStyle w:val="Heading2"/>
              <w:outlineLvl w:val="1"/>
              <w:rPr>
                <w:b/>
                <w:bCs/>
              </w:rPr>
            </w:pPr>
            <w:bookmarkStart w:id="0" w:name="_Ref41121078"/>
            <w:r w:rsidRPr="00115898">
              <w:rPr>
                <w:b/>
                <w:bCs/>
              </w:rPr>
              <w:t xml:space="preserve">Figure </w:t>
            </w:r>
            <w:r w:rsidRPr="00115898">
              <w:rPr>
                <w:b/>
                <w:bCs/>
              </w:rPr>
              <w:fldChar w:fldCharType="begin"/>
            </w:r>
            <w:r w:rsidRPr="00115898">
              <w:rPr>
                <w:b/>
                <w:bCs/>
              </w:rPr>
              <w:instrText>SEQ Figure \* ARABIC</w:instrText>
            </w:r>
            <w:r w:rsidRPr="00115898">
              <w:rPr>
                <w:b/>
                <w:bCs/>
              </w:rPr>
              <w:fldChar w:fldCharType="separate"/>
            </w:r>
            <w:r w:rsidRPr="00115898">
              <w:rPr>
                <w:b/>
                <w:bCs/>
                <w:noProof/>
              </w:rPr>
              <w:t>1</w:t>
            </w:r>
            <w:r w:rsidRPr="00115898">
              <w:rPr>
                <w:b/>
                <w:bCs/>
              </w:rPr>
              <w:fldChar w:fldCharType="end"/>
            </w:r>
            <w:bookmarkEnd w:id="0"/>
            <w:r w:rsidRPr="00115898">
              <w:rPr>
                <w:b/>
                <w:bCs/>
              </w:rPr>
              <w:t xml:space="preserve"> – Example of Census Geography Not Overlapping with </w:t>
            </w:r>
            <w:r w:rsidR="00453D8A" w:rsidRPr="00115898">
              <w:rPr>
                <w:b/>
                <w:bCs/>
              </w:rPr>
              <w:t>ZIP</w:t>
            </w:r>
            <w:r w:rsidRPr="00115898">
              <w:rPr>
                <w:b/>
                <w:bCs/>
              </w:rPr>
              <w:t xml:space="preserve"> Codes</w:t>
            </w:r>
          </w:p>
        </w:tc>
      </w:tr>
      <w:tr w:rsidR="00A82B49" w14:paraId="346FB7D0" w14:textId="77777777" w:rsidTr="489FFC7A">
        <w:trPr>
          <w:jc w:val="center"/>
        </w:trPr>
        <w:tc>
          <w:tcPr>
            <w:tcW w:w="5000" w:type="pct"/>
          </w:tcPr>
          <w:p w14:paraId="64A8A285" w14:textId="6A79188F" w:rsidR="00A82B49" w:rsidRDefault="31116D3D" w:rsidP="00880B78">
            <w:pPr>
              <w:autoSpaceDE w:val="0"/>
              <w:autoSpaceDN w:val="0"/>
              <w:adjustRightInd w:val="0"/>
              <w:spacing w:line="360" w:lineRule="auto"/>
              <w:jc w:val="center"/>
            </w:pPr>
            <w:r>
              <w:rPr>
                <w:noProof/>
              </w:rPr>
              <w:drawing>
                <wp:inline distT="0" distB="0" distL="0" distR="0" wp14:anchorId="723B7E96" wp14:editId="373115DB">
                  <wp:extent cx="5476799" cy="2795450"/>
                  <wp:effectExtent l="0" t="0" r="0" b="0"/>
                  <wp:docPr id="1218444410" name="Picture 1218444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76799" cy="2795450"/>
                          </a:xfrm>
                          <a:prstGeom prst="rect">
                            <a:avLst/>
                          </a:prstGeom>
                        </pic:spPr>
                      </pic:pic>
                    </a:graphicData>
                  </a:graphic>
                </wp:inline>
              </w:drawing>
            </w:r>
          </w:p>
        </w:tc>
      </w:tr>
      <w:tr w:rsidR="00A82B49" w14:paraId="2D87F0AF" w14:textId="77777777" w:rsidTr="489FFC7A">
        <w:trPr>
          <w:jc w:val="center"/>
        </w:trPr>
        <w:tc>
          <w:tcPr>
            <w:tcW w:w="5000" w:type="pct"/>
          </w:tcPr>
          <w:p w14:paraId="3CEB64D4" w14:textId="3F3E14F7" w:rsidR="00A82B49" w:rsidRDefault="00A82B49" w:rsidP="00880B78">
            <w:pPr>
              <w:pStyle w:val="Caption"/>
            </w:pPr>
            <w:r>
              <w:t xml:space="preserve">Notes: “Block Group exceeding” are Census block groups that are partially inside and outside </w:t>
            </w:r>
            <w:r w:rsidR="00453D8A">
              <w:t>ZIP</w:t>
            </w:r>
            <w:r>
              <w:t xml:space="preserve"> code 15213. Inside the </w:t>
            </w:r>
            <w:r w:rsidR="00453D8A">
              <w:t>ZIP</w:t>
            </w:r>
            <w:r>
              <w:t xml:space="preserve"> code, they are represented by solid lines. Outside the </w:t>
            </w:r>
            <w:r w:rsidR="00453D8A">
              <w:t>ZIP</w:t>
            </w:r>
            <w:r>
              <w:t xml:space="preserve"> code, they are represented by dashed lines. Rivers shown in blue, featured </w:t>
            </w:r>
            <w:r w:rsidR="00453D8A">
              <w:t>ZIP</w:t>
            </w:r>
            <w:r>
              <w:t xml:space="preserve"> code shown in beige. Since all Census geography is nested, </w:t>
            </w:r>
            <w:r w:rsidR="00453D8A">
              <w:t>ZIP</w:t>
            </w:r>
            <w:r>
              <w:t xml:space="preserve"> codes as a base polygon for district drawing will lead to split Census geographies at all levels of aggregation. </w:t>
            </w:r>
            <w:r w:rsidR="00453D8A">
              <w:t>ZIP</w:t>
            </w:r>
            <w:r>
              <w:t xml:space="preserve"> Code 15260 is a non-contiguous, two-piece polygon completely within the boundaries of </w:t>
            </w:r>
            <w:r w:rsidR="00453D8A">
              <w:t>ZIP</w:t>
            </w:r>
            <w:r>
              <w:t xml:space="preserve"> code 15213. </w:t>
            </w:r>
          </w:p>
        </w:tc>
      </w:tr>
    </w:tbl>
    <w:p w14:paraId="615D46F9" w14:textId="77777777" w:rsidR="003A11E0" w:rsidRDefault="003A11E0" w:rsidP="008645E0">
      <w:pPr>
        <w:autoSpaceDE w:val="0"/>
        <w:autoSpaceDN w:val="0"/>
        <w:adjustRightInd w:val="0"/>
        <w:spacing w:after="0" w:line="360" w:lineRule="auto"/>
        <w:jc w:val="center"/>
        <w:rPr>
          <w:rFonts w:ascii="Georgia" w:hAnsi="Georgia"/>
          <w:b/>
          <w:bCs/>
          <w:color w:val="000000" w:themeColor="text1"/>
          <w:sz w:val="24"/>
          <w:szCs w:val="24"/>
          <w:lang w:bidi="th-TH"/>
        </w:rPr>
        <w:sectPr w:rsidR="003A11E0" w:rsidSect="003A11E0">
          <w:type w:val="continuous"/>
          <w:pgSz w:w="12240" w:h="15840"/>
          <w:pgMar w:top="1440" w:right="1440" w:bottom="1440" w:left="1440" w:header="720" w:footer="720" w:gutter="0"/>
          <w:cols w:space="720"/>
          <w:titlePg/>
          <w:docGrid w:linePitch="360"/>
        </w:sectPr>
      </w:pPr>
    </w:p>
    <w:p w14:paraId="44D05485" w14:textId="6C8261D9" w:rsidR="00CC0EE1" w:rsidRPr="00F24D98" w:rsidRDefault="00CC0EE1" w:rsidP="1E9CA6D6">
      <w:pPr>
        <w:spacing w:line="360" w:lineRule="auto"/>
        <w:ind w:firstLine="630"/>
        <w:jc w:val="both"/>
        <w:rPr>
          <w:rFonts w:ascii="Georgia" w:hAnsi="Georgia"/>
          <w:sz w:val="24"/>
          <w:szCs w:val="24"/>
          <w:lang w:bidi="th-TH"/>
        </w:rPr>
      </w:pPr>
      <w:r w:rsidRPr="1BC0107E">
        <w:rPr>
          <w:rFonts w:ascii="Georgia" w:hAnsi="Georgia"/>
          <w:color w:val="000000" w:themeColor="text1"/>
          <w:sz w:val="24"/>
          <w:szCs w:val="24"/>
          <w:lang w:bidi="th-TH"/>
        </w:rPr>
        <w:t xml:space="preserve">Although, we do recognize that, </w:t>
      </w:r>
      <w:r w:rsidRPr="000D25EA">
        <w:rPr>
          <w:rFonts w:ascii="Georgia" w:hAnsi="Georgia"/>
          <w:color w:val="000000" w:themeColor="text1"/>
          <w:sz w:val="24"/>
          <w:szCs w:val="24"/>
          <w:u w:val="single"/>
          <w:lang w:bidi="th-TH"/>
        </w:rPr>
        <w:t>within</w:t>
      </w:r>
      <w:r w:rsidRPr="000D25EA">
        <w:rPr>
          <w:rFonts w:ascii="Georgia" w:hAnsi="Georgia"/>
          <w:color w:val="000000" w:themeColor="text1"/>
          <w:sz w:val="24"/>
          <w:szCs w:val="24"/>
          <w:lang w:bidi="th-TH"/>
        </w:rPr>
        <w:t xml:space="preserve"> cities or counties,</w:t>
      </w:r>
      <w:r w:rsidRPr="1BC0107E">
        <w:rPr>
          <w:rFonts w:ascii="Georgia" w:hAnsi="Georgia"/>
          <w:color w:val="000000" w:themeColor="text1"/>
          <w:sz w:val="24"/>
          <w:szCs w:val="24"/>
          <w:lang w:bidi="th-TH"/>
        </w:rPr>
        <w:t xml:space="preserve"> </w:t>
      </w:r>
      <w:r w:rsidR="00453D8A">
        <w:rPr>
          <w:rFonts w:ascii="Georgia" w:hAnsi="Georgia"/>
          <w:color w:val="000000" w:themeColor="text1"/>
          <w:sz w:val="24"/>
          <w:szCs w:val="24"/>
          <w:lang w:bidi="th-TH"/>
        </w:rPr>
        <w:t>ZIP</w:t>
      </w:r>
      <w:r w:rsidRPr="1BC0107E">
        <w:rPr>
          <w:rFonts w:ascii="Georgia" w:hAnsi="Georgia"/>
          <w:color w:val="000000" w:themeColor="text1"/>
          <w:sz w:val="24"/>
          <w:szCs w:val="24"/>
          <w:lang w:bidi="th-TH"/>
        </w:rPr>
        <w:t xml:space="preserve"> codes might be used as a supplementary category, why is that preferable to using other non-political units, such as census tracts</w:t>
      </w:r>
      <w:r w:rsidR="000D25EA">
        <w:rPr>
          <w:rFonts w:ascii="Georgia" w:hAnsi="Georgia"/>
          <w:color w:val="000000" w:themeColor="text1"/>
          <w:sz w:val="24"/>
          <w:szCs w:val="24"/>
          <w:lang w:bidi="th-TH"/>
        </w:rPr>
        <w:t>,</w:t>
      </w:r>
      <w:r w:rsidRPr="1BC0107E">
        <w:rPr>
          <w:rFonts w:ascii="Georgia" w:hAnsi="Georgia"/>
          <w:color w:val="000000" w:themeColor="text1"/>
          <w:sz w:val="24"/>
          <w:szCs w:val="24"/>
          <w:lang w:bidi="th-TH"/>
        </w:rPr>
        <w:t xml:space="preserve"> as the basic building blocks of plans within cities or counties?</w:t>
      </w:r>
      <w:r w:rsidR="00434677">
        <w:rPr>
          <w:rFonts w:ascii="Georgia" w:hAnsi="Georgia" w:cs="AdvPSA88A"/>
          <w:sz w:val="24"/>
          <w:szCs w:val="24"/>
        </w:rPr>
        <w:t xml:space="preserve"> </w:t>
      </w:r>
      <w:r w:rsidRPr="1BC0107E">
        <w:rPr>
          <w:rFonts w:ascii="Georgia" w:hAnsi="Georgia"/>
          <w:sz w:val="24"/>
          <w:szCs w:val="24"/>
          <w:lang w:bidi="th-TH"/>
        </w:rPr>
        <w:t xml:space="preserve">Though Curiel and Steelman (2018) demonstrate for North Carolina that a redistricting plan can be drawn using </w:t>
      </w:r>
      <w:r w:rsidR="00453D8A">
        <w:rPr>
          <w:rFonts w:ascii="Georgia" w:hAnsi="Georgia"/>
          <w:sz w:val="24"/>
          <w:szCs w:val="24"/>
          <w:lang w:bidi="th-TH"/>
        </w:rPr>
        <w:t>ZIP</w:t>
      </w:r>
      <w:r w:rsidRPr="1BC0107E">
        <w:rPr>
          <w:rFonts w:ascii="Georgia" w:hAnsi="Georgia"/>
          <w:sz w:val="24"/>
          <w:szCs w:val="24"/>
          <w:lang w:bidi="th-TH"/>
        </w:rPr>
        <w:t xml:space="preserve"> codes that seems better in many respects than the existing legislatively drawn map, the same is at least as true for “good government” line drawing using existing census geography</w:t>
      </w:r>
      <w:r>
        <w:rPr>
          <w:rFonts w:ascii="Georgia" w:hAnsi="Georgia"/>
          <w:sz w:val="24"/>
          <w:szCs w:val="24"/>
          <w:lang w:bidi="th-TH"/>
        </w:rPr>
        <w:t xml:space="preserve"> </w:t>
      </w:r>
      <w:r w:rsidRPr="1BC0107E">
        <w:rPr>
          <w:rFonts w:ascii="Georgia" w:hAnsi="Georgia"/>
          <w:sz w:val="24"/>
          <w:szCs w:val="24"/>
          <w:lang w:bidi="th-TH"/>
        </w:rPr>
        <w:t>while avoiding unnecessary fragmentation of cities and counties and with attention to voting rights and constitutional issues.</w:t>
      </w:r>
      <w:r w:rsidRPr="1BC0107E">
        <w:rPr>
          <w:rStyle w:val="FootnoteReference"/>
          <w:rFonts w:ascii="Georgia" w:hAnsi="Georgia"/>
          <w:sz w:val="24"/>
          <w:szCs w:val="24"/>
          <w:lang w:bidi="th-TH"/>
        </w:rPr>
        <w:footnoteReference w:id="20"/>
      </w:r>
    </w:p>
    <w:p w14:paraId="1833E8EB" w14:textId="15D9C011" w:rsidR="00624AF9" w:rsidRPr="00674304" w:rsidRDefault="008645E0" w:rsidP="1E9CA6D6">
      <w:pPr>
        <w:autoSpaceDE w:val="0"/>
        <w:autoSpaceDN w:val="0"/>
        <w:adjustRightInd w:val="0"/>
        <w:spacing w:after="0" w:line="360" w:lineRule="auto"/>
        <w:ind w:firstLine="630"/>
        <w:jc w:val="both"/>
        <w:rPr>
          <w:rFonts w:ascii="Calibri" w:hAnsi="Calibri" w:cs="Calibri"/>
          <w:sz w:val="16"/>
          <w:szCs w:val="16"/>
        </w:rPr>
      </w:pPr>
      <w:r w:rsidRPr="1E9CA6D6">
        <w:rPr>
          <w:rFonts w:ascii="Georgia" w:hAnsi="Georgia" w:cs="Roboto-Bold"/>
          <w:color w:val="292B2C"/>
          <w:sz w:val="24"/>
          <w:szCs w:val="24"/>
        </w:rPr>
        <w:t xml:space="preserve">Fourth, </w:t>
      </w:r>
      <w:r w:rsidR="00760EEE" w:rsidRPr="1E9CA6D6">
        <w:rPr>
          <w:rFonts w:ascii="Georgia" w:hAnsi="Georgia" w:cs="Roboto-Bold"/>
          <w:color w:val="292B2C"/>
          <w:sz w:val="24"/>
          <w:szCs w:val="24"/>
        </w:rPr>
        <w:t xml:space="preserve">there are issues with the experimental design. </w:t>
      </w:r>
      <w:r w:rsidR="00CC0EE1" w:rsidRPr="1E9CA6D6">
        <w:rPr>
          <w:rFonts w:ascii="Georgia" w:hAnsi="Georgia"/>
          <w:sz w:val="24"/>
          <w:szCs w:val="24"/>
          <w:lang w:bidi="th-TH"/>
        </w:rPr>
        <w:t xml:space="preserve">Curiel and Steelman </w:t>
      </w:r>
      <w:r w:rsidR="00880B78" w:rsidRPr="1E9CA6D6">
        <w:rPr>
          <w:rFonts w:ascii="Georgia" w:hAnsi="Georgia"/>
          <w:sz w:val="24"/>
          <w:szCs w:val="24"/>
          <w:lang w:bidi="th-TH"/>
        </w:rPr>
        <w:t>(2018</w:t>
      </w:r>
      <w:r w:rsidR="5BA3541C" w:rsidRPr="1E9CA6D6">
        <w:rPr>
          <w:rFonts w:ascii="Georgia" w:hAnsi="Georgia"/>
          <w:sz w:val="24"/>
          <w:szCs w:val="24"/>
          <w:lang w:bidi="th-TH"/>
        </w:rPr>
        <w:t>,</w:t>
      </w:r>
      <w:r w:rsidR="00880B78" w:rsidRPr="1E9CA6D6">
        <w:rPr>
          <w:rFonts w:ascii="Georgia" w:hAnsi="Georgia"/>
          <w:sz w:val="24"/>
          <w:szCs w:val="24"/>
          <w:lang w:bidi="th-TH"/>
        </w:rPr>
        <w:t xml:space="preserve"> </w:t>
      </w:r>
      <w:r w:rsidR="76822CFD" w:rsidRPr="1E9CA6D6">
        <w:rPr>
          <w:rFonts w:ascii="Georgia" w:hAnsi="Georgia"/>
          <w:sz w:val="24"/>
          <w:szCs w:val="24"/>
          <w:lang w:bidi="th-TH"/>
        </w:rPr>
        <w:t xml:space="preserve">pg. </w:t>
      </w:r>
      <w:r w:rsidR="00880B78" w:rsidRPr="1E9CA6D6">
        <w:rPr>
          <w:rFonts w:ascii="Georgia" w:hAnsi="Georgia"/>
          <w:sz w:val="24"/>
          <w:szCs w:val="24"/>
          <w:lang w:bidi="th-TH"/>
        </w:rPr>
        <w:t xml:space="preserve">349) find that </w:t>
      </w:r>
      <w:r w:rsidR="00880B78" w:rsidRPr="1E9CA6D6">
        <w:rPr>
          <w:rFonts w:ascii="Georgia" w:hAnsi="Georgia" w:cs="AdvPSA88A"/>
          <w:sz w:val="24"/>
          <w:szCs w:val="24"/>
        </w:rPr>
        <w:t xml:space="preserve">“when congressional districts split </w:t>
      </w:r>
      <w:r w:rsidR="00453D8A" w:rsidRPr="1E9CA6D6">
        <w:rPr>
          <w:rFonts w:ascii="Georgia" w:hAnsi="Georgia" w:cs="AdvPSA88A"/>
          <w:sz w:val="24"/>
          <w:szCs w:val="24"/>
        </w:rPr>
        <w:t>ZIP</w:t>
      </w:r>
      <w:r w:rsidR="00880B78" w:rsidRPr="1E9CA6D6">
        <w:rPr>
          <w:rFonts w:ascii="Georgia" w:hAnsi="Georgia" w:cs="AdvPSA88A"/>
          <w:sz w:val="24"/>
          <w:szCs w:val="24"/>
        </w:rPr>
        <w:t xml:space="preserve"> Codes, constituents are less likely to remember and contact their representative, and perceive greater alienation from their representative,” but the research design they use is not ideal. </w:t>
      </w:r>
      <w:r w:rsidR="00760EEE" w:rsidRPr="1E9CA6D6">
        <w:rPr>
          <w:rFonts w:ascii="Georgia" w:hAnsi="Georgia" w:cs="Roboto-Bold"/>
          <w:color w:val="292B2C"/>
          <w:sz w:val="24"/>
          <w:szCs w:val="24"/>
        </w:rPr>
        <w:t>Th</w:t>
      </w:r>
      <w:r w:rsidR="00F663E0" w:rsidRPr="1E9CA6D6">
        <w:rPr>
          <w:rFonts w:ascii="Georgia" w:hAnsi="Georgia" w:cs="Roboto-Bold"/>
          <w:color w:val="292B2C"/>
          <w:sz w:val="24"/>
          <w:szCs w:val="24"/>
        </w:rPr>
        <w:t xml:space="preserve">eir </w:t>
      </w:r>
      <w:r w:rsidR="00760EEE" w:rsidRPr="1E9CA6D6">
        <w:rPr>
          <w:rFonts w:ascii="Georgia" w:hAnsi="Georgia" w:cs="Roboto-Bold"/>
          <w:color w:val="292B2C"/>
          <w:sz w:val="24"/>
          <w:szCs w:val="24"/>
        </w:rPr>
        <w:t>design compares congressional districts in terms of how man</w:t>
      </w:r>
      <w:r w:rsidR="00796B16" w:rsidRPr="1E9CA6D6">
        <w:rPr>
          <w:rFonts w:ascii="Georgia" w:hAnsi="Georgia" w:cs="Roboto-Bold"/>
          <w:color w:val="292B2C"/>
          <w:sz w:val="24"/>
          <w:szCs w:val="24"/>
        </w:rPr>
        <w:t>y</w:t>
      </w:r>
      <w:r w:rsidR="00760EEE" w:rsidRPr="1E9CA6D6">
        <w:rPr>
          <w:rFonts w:ascii="Georgia" w:hAnsi="Georgia" w:cs="Roboto-Bold"/>
          <w:color w:val="292B2C"/>
          <w:sz w:val="24"/>
          <w:szCs w:val="24"/>
        </w:rPr>
        <w:t xml:space="preserve">/what proportion split </w:t>
      </w:r>
      <w:r w:rsidR="00453D8A" w:rsidRPr="1E9CA6D6">
        <w:rPr>
          <w:rFonts w:ascii="Georgia" w:hAnsi="Georgia" w:cs="Roboto-Bold"/>
          <w:color w:val="292B2C"/>
          <w:sz w:val="24"/>
          <w:szCs w:val="24"/>
        </w:rPr>
        <w:t>ZIP</w:t>
      </w:r>
      <w:r w:rsidR="00760EEE" w:rsidRPr="1E9CA6D6">
        <w:rPr>
          <w:rFonts w:ascii="Georgia" w:hAnsi="Georgia" w:cs="Roboto-Bold"/>
          <w:color w:val="292B2C"/>
          <w:sz w:val="24"/>
          <w:szCs w:val="24"/>
        </w:rPr>
        <w:t xml:space="preserve"> codes they contain. But why should that matter for all the voters in a CD? Under the implicit story in Curiel and Steelman, shouldn’t the voters living in a </w:t>
      </w:r>
      <w:r w:rsidR="00453D8A" w:rsidRPr="1E9CA6D6">
        <w:rPr>
          <w:rFonts w:ascii="Georgia" w:hAnsi="Georgia" w:cs="Roboto-Bold"/>
          <w:color w:val="292B2C"/>
          <w:sz w:val="24"/>
          <w:szCs w:val="24"/>
        </w:rPr>
        <w:t>ZIP</w:t>
      </w:r>
      <w:r w:rsidR="00760EEE" w:rsidRPr="1E9CA6D6">
        <w:rPr>
          <w:rFonts w:ascii="Georgia" w:hAnsi="Georgia" w:cs="Roboto-Bold"/>
          <w:color w:val="292B2C"/>
          <w:sz w:val="24"/>
          <w:szCs w:val="24"/>
        </w:rPr>
        <w:t xml:space="preserve"> code that is wholly within the CD be more able to identify their representative than the voters in the CD who live in a split </w:t>
      </w:r>
      <w:r w:rsidR="00453D8A" w:rsidRPr="1E9CA6D6">
        <w:rPr>
          <w:rFonts w:ascii="Georgia" w:hAnsi="Georgia" w:cs="Roboto-Bold"/>
          <w:color w:val="292B2C"/>
          <w:sz w:val="24"/>
          <w:szCs w:val="24"/>
        </w:rPr>
        <w:t>ZIP</w:t>
      </w:r>
      <w:r w:rsidR="00760EEE" w:rsidRPr="1E9CA6D6">
        <w:rPr>
          <w:rFonts w:ascii="Georgia" w:hAnsi="Georgia" w:cs="Roboto-Bold"/>
          <w:color w:val="292B2C"/>
          <w:sz w:val="24"/>
          <w:szCs w:val="24"/>
        </w:rPr>
        <w:t xml:space="preserve"> code</w:t>
      </w:r>
      <w:r w:rsidR="00796B16" w:rsidRPr="1E9CA6D6">
        <w:rPr>
          <w:rFonts w:ascii="Georgia" w:hAnsi="Georgia" w:cs="Roboto-Bold"/>
          <w:color w:val="292B2C"/>
          <w:sz w:val="24"/>
          <w:szCs w:val="24"/>
        </w:rPr>
        <w:t>?</w:t>
      </w:r>
      <w:r w:rsidR="00760EEE" w:rsidRPr="1E9CA6D6">
        <w:rPr>
          <w:rFonts w:ascii="Georgia" w:hAnsi="Georgia" w:cs="Roboto-Bold"/>
          <w:color w:val="292B2C"/>
          <w:sz w:val="24"/>
          <w:szCs w:val="24"/>
        </w:rPr>
        <w:t xml:space="preserve"> If so, shouldn’t we be taking </w:t>
      </w:r>
      <w:r w:rsidR="00453D8A" w:rsidRPr="1E9CA6D6">
        <w:rPr>
          <w:rFonts w:ascii="Georgia" w:hAnsi="Georgia" w:cs="Roboto-Bold"/>
          <w:color w:val="292B2C"/>
          <w:sz w:val="24"/>
          <w:szCs w:val="24"/>
        </w:rPr>
        <w:t>ZIP</w:t>
      </w:r>
      <w:r w:rsidR="00760EEE" w:rsidRPr="1E9CA6D6">
        <w:rPr>
          <w:rFonts w:ascii="Georgia" w:hAnsi="Georgia" w:cs="Roboto-Bold"/>
          <w:color w:val="292B2C"/>
          <w:sz w:val="24"/>
          <w:szCs w:val="24"/>
        </w:rPr>
        <w:t xml:space="preserve"> codes, not CDs</w:t>
      </w:r>
      <w:r w:rsidR="00796B16" w:rsidRPr="1E9CA6D6">
        <w:rPr>
          <w:rFonts w:ascii="Georgia" w:hAnsi="Georgia" w:cs="Roboto-Bold"/>
          <w:color w:val="292B2C"/>
          <w:sz w:val="24"/>
          <w:szCs w:val="24"/>
        </w:rPr>
        <w:t>,</w:t>
      </w:r>
      <w:r w:rsidR="00760EEE" w:rsidRPr="1E9CA6D6">
        <w:rPr>
          <w:rFonts w:ascii="Georgia" w:hAnsi="Georgia" w:cs="Roboto-Bold"/>
          <w:color w:val="292B2C"/>
          <w:sz w:val="24"/>
          <w:szCs w:val="24"/>
        </w:rPr>
        <w:t xml:space="preserve"> as our unit of analysis and </w:t>
      </w:r>
      <w:r w:rsidR="00796B16" w:rsidRPr="1E9CA6D6">
        <w:rPr>
          <w:rFonts w:ascii="Georgia" w:hAnsi="Georgia" w:cs="Roboto-Bold"/>
          <w:color w:val="292B2C"/>
          <w:sz w:val="24"/>
          <w:szCs w:val="24"/>
        </w:rPr>
        <w:t>make that comparison</w:t>
      </w:r>
      <w:r w:rsidR="00760EEE" w:rsidRPr="1E9CA6D6">
        <w:rPr>
          <w:rFonts w:ascii="Georgia" w:hAnsi="Georgia" w:cs="Roboto-Bold"/>
          <w:color w:val="292B2C"/>
          <w:sz w:val="24"/>
          <w:szCs w:val="24"/>
        </w:rPr>
        <w:t xml:space="preserve"> directly? </w:t>
      </w:r>
      <w:r w:rsidR="00674304" w:rsidRPr="1E9CA6D6">
        <w:rPr>
          <w:rFonts w:ascii="Georgia" w:hAnsi="Georgia" w:cs="Roboto-Bold"/>
          <w:color w:val="292B2C"/>
          <w:sz w:val="24"/>
          <w:szCs w:val="24"/>
        </w:rPr>
        <w:t>Curiel and Steelman (2020</w:t>
      </w:r>
      <w:r w:rsidR="700BD31C" w:rsidRPr="1E9CA6D6">
        <w:rPr>
          <w:rFonts w:ascii="Georgia" w:hAnsi="Georgia" w:cs="Roboto-Bold"/>
          <w:color w:val="292B2C"/>
          <w:sz w:val="24"/>
          <w:szCs w:val="24"/>
        </w:rPr>
        <w:t>,</w:t>
      </w:r>
      <w:r w:rsidR="00674304" w:rsidRPr="1E9CA6D6">
        <w:rPr>
          <w:rFonts w:ascii="Georgia" w:hAnsi="Georgia" w:cs="Roboto-Bold"/>
          <w:color w:val="292B2C"/>
          <w:sz w:val="24"/>
          <w:szCs w:val="24"/>
        </w:rPr>
        <w:t xml:space="preserve"> </w:t>
      </w:r>
      <w:r w:rsidR="4DC14F90" w:rsidRPr="1E9CA6D6">
        <w:rPr>
          <w:rFonts w:ascii="Georgia" w:hAnsi="Georgia" w:cs="Roboto-Bold"/>
          <w:color w:val="292B2C"/>
          <w:sz w:val="24"/>
          <w:szCs w:val="24"/>
        </w:rPr>
        <w:t>pg. 4</w:t>
      </w:r>
      <w:r w:rsidR="00674304" w:rsidRPr="1E9CA6D6">
        <w:rPr>
          <w:rFonts w:ascii="Georgia" w:hAnsi="Georgia" w:cs="Roboto-Bold"/>
          <w:color w:val="292B2C"/>
          <w:sz w:val="24"/>
          <w:szCs w:val="24"/>
        </w:rPr>
        <w:t>) in fact, say: “</w:t>
      </w:r>
      <w:r w:rsidR="00674304" w:rsidRPr="1E9CA6D6">
        <w:rPr>
          <w:rFonts w:ascii="Georgia" w:hAnsi="Georgia" w:cs="Calibri"/>
          <w:sz w:val="24"/>
          <w:szCs w:val="24"/>
        </w:rPr>
        <w:t xml:space="preserve">the individuals who have greater difficulty in recognizing their member of Congress tend to arise from these </w:t>
      </w:r>
      <w:r w:rsidR="00453D8A" w:rsidRPr="1E9CA6D6">
        <w:rPr>
          <w:rFonts w:ascii="Georgia" w:hAnsi="Georgia" w:cs="Calibri"/>
          <w:sz w:val="24"/>
          <w:szCs w:val="24"/>
        </w:rPr>
        <w:t>ZIP</w:t>
      </w:r>
      <w:r w:rsidR="00674304" w:rsidRPr="1E9CA6D6">
        <w:rPr>
          <w:rFonts w:ascii="Georgia" w:hAnsi="Georgia" w:cs="Calibri"/>
          <w:sz w:val="24"/>
          <w:szCs w:val="24"/>
        </w:rPr>
        <w:t xml:space="preserve"> codes that are more heavily split, all else being equal.” But that does</w:t>
      </w:r>
      <w:r w:rsidR="00115898" w:rsidRPr="1E9CA6D6">
        <w:rPr>
          <w:rFonts w:ascii="Georgia" w:hAnsi="Georgia" w:cs="Calibri"/>
          <w:sz w:val="24"/>
          <w:szCs w:val="24"/>
        </w:rPr>
        <w:t xml:space="preserve"> not </w:t>
      </w:r>
      <w:r w:rsidR="00674304" w:rsidRPr="1E9CA6D6">
        <w:rPr>
          <w:rFonts w:ascii="Georgia" w:hAnsi="Georgia" w:cs="Calibri"/>
          <w:sz w:val="24"/>
          <w:szCs w:val="24"/>
        </w:rPr>
        <w:t>seem to be the hypothesis they tested.</w:t>
      </w:r>
    </w:p>
    <w:p w14:paraId="57441323" w14:textId="5156363D" w:rsidR="00624AF9" w:rsidRDefault="00674304" w:rsidP="1E9CA6D6">
      <w:pPr>
        <w:autoSpaceDE w:val="0"/>
        <w:autoSpaceDN w:val="0"/>
        <w:adjustRightInd w:val="0"/>
        <w:spacing w:after="0" w:line="360" w:lineRule="auto"/>
        <w:ind w:firstLine="720"/>
        <w:jc w:val="both"/>
        <w:rPr>
          <w:rFonts w:ascii="Georgia" w:hAnsi="Georgia" w:cs="Roboto-Bold"/>
          <w:color w:val="000000" w:themeColor="text1"/>
          <w:sz w:val="24"/>
          <w:szCs w:val="24"/>
        </w:rPr>
      </w:pPr>
      <w:r w:rsidRPr="1E9CA6D6">
        <w:rPr>
          <w:rFonts w:ascii="Georgia" w:hAnsi="Georgia" w:cs="Roboto-Bold"/>
          <w:color w:val="000000" w:themeColor="text1"/>
          <w:sz w:val="24"/>
          <w:szCs w:val="24"/>
        </w:rPr>
        <w:t>Moreover,</w:t>
      </w:r>
      <w:r w:rsidR="00624AF9" w:rsidRPr="1E9CA6D6">
        <w:rPr>
          <w:rFonts w:ascii="Georgia" w:hAnsi="Georgia" w:cs="Roboto-Bold"/>
          <w:color w:val="000000" w:themeColor="text1"/>
          <w:sz w:val="24"/>
          <w:szCs w:val="24"/>
        </w:rPr>
        <w:t xml:space="preserve"> as we reflect further about possible selection bias effects, it would seem to be better not to pool data and instead to look </w:t>
      </w:r>
      <w:r w:rsidR="00624AF9" w:rsidRPr="1E9CA6D6">
        <w:rPr>
          <w:rFonts w:ascii="Georgia" w:hAnsi="Georgia" w:cs="Roboto-Bold"/>
          <w:color w:val="000000" w:themeColor="text1"/>
          <w:sz w:val="24"/>
          <w:szCs w:val="24"/>
          <w:u w:val="single"/>
        </w:rPr>
        <w:t>within individual CDs</w:t>
      </w:r>
      <w:r w:rsidR="00624AF9" w:rsidRPr="1E9CA6D6">
        <w:rPr>
          <w:rFonts w:ascii="Georgia" w:hAnsi="Georgia" w:cs="Roboto-Bold"/>
          <w:color w:val="000000" w:themeColor="text1"/>
          <w:sz w:val="24"/>
          <w:szCs w:val="24"/>
        </w:rPr>
        <w:t xml:space="preserve"> and compare the voters </w:t>
      </w:r>
      <w:r w:rsidR="00624AF9" w:rsidRPr="1E9CA6D6">
        <w:rPr>
          <w:rFonts w:ascii="Georgia" w:hAnsi="Georgia" w:cs="Roboto-Bold"/>
          <w:color w:val="000000" w:themeColor="text1"/>
          <w:sz w:val="24"/>
          <w:szCs w:val="24"/>
          <w:u w:val="single"/>
        </w:rPr>
        <w:t>in that CD</w:t>
      </w:r>
      <w:r w:rsidR="00624AF9" w:rsidRPr="1E9CA6D6">
        <w:rPr>
          <w:rFonts w:ascii="Georgia" w:hAnsi="Georgia" w:cs="Roboto-Bold"/>
          <w:color w:val="000000" w:themeColor="text1"/>
          <w:sz w:val="24"/>
          <w:szCs w:val="24"/>
        </w:rPr>
        <w:t xml:space="preserve"> who live in a </w:t>
      </w:r>
      <w:r w:rsidR="00453D8A" w:rsidRPr="1E9CA6D6">
        <w:rPr>
          <w:rFonts w:ascii="Georgia" w:hAnsi="Georgia" w:cs="Roboto-Bold"/>
          <w:color w:val="000000" w:themeColor="text1"/>
          <w:sz w:val="24"/>
          <w:szCs w:val="24"/>
        </w:rPr>
        <w:t>ZIP</w:t>
      </w:r>
      <w:r w:rsidR="00624AF9" w:rsidRPr="1E9CA6D6">
        <w:rPr>
          <w:rFonts w:ascii="Georgia" w:hAnsi="Georgia" w:cs="Roboto-Bold"/>
          <w:color w:val="000000" w:themeColor="text1"/>
          <w:sz w:val="24"/>
          <w:szCs w:val="24"/>
        </w:rPr>
        <w:t xml:space="preserve"> code wholly within the CD with the voters </w:t>
      </w:r>
      <w:r w:rsidR="00624AF9" w:rsidRPr="1E9CA6D6">
        <w:rPr>
          <w:rFonts w:ascii="Georgia" w:hAnsi="Georgia" w:cs="Roboto-Bold"/>
          <w:color w:val="000000" w:themeColor="text1"/>
          <w:sz w:val="24"/>
          <w:szCs w:val="24"/>
          <w:u w:val="single"/>
        </w:rPr>
        <w:t>in that same CD</w:t>
      </w:r>
      <w:r w:rsidR="00624AF9" w:rsidRPr="1E9CA6D6">
        <w:rPr>
          <w:rFonts w:ascii="Georgia" w:hAnsi="Georgia" w:cs="Roboto-Bold"/>
          <w:color w:val="000000" w:themeColor="text1"/>
          <w:sz w:val="24"/>
          <w:szCs w:val="24"/>
        </w:rPr>
        <w:t xml:space="preserve"> who live in a </w:t>
      </w:r>
      <w:r w:rsidR="00453D8A" w:rsidRPr="1E9CA6D6">
        <w:rPr>
          <w:rFonts w:ascii="Georgia" w:hAnsi="Georgia" w:cs="Roboto-Bold"/>
          <w:color w:val="000000" w:themeColor="text1"/>
          <w:sz w:val="24"/>
          <w:szCs w:val="24"/>
        </w:rPr>
        <w:t>ZIP</w:t>
      </w:r>
      <w:r w:rsidR="00624AF9" w:rsidRPr="1E9CA6D6">
        <w:rPr>
          <w:rFonts w:ascii="Georgia" w:hAnsi="Georgia" w:cs="Roboto-Bold"/>
          <w:color w:val="000000" w:themeColor="text1"/>
          <w:sz w:val="24"/>
          <w:szCs w:val="24"/>
        </w:rPr>
        <w:t xml:space="preserve"> code that is split between that CD and another CD (or even CDs). However, even that may not be a good enough control. The </w:t>
      </w:r>
      <w:r w:rsidR="00453D8A" w:rsidRPr="1E9CA6D6">
        <w:rPr>
          <w:rFonts w:ascii="Georgia" w:hAnsi="Georgia" w:cs="Roboto-Bold"/>
          <w:color w:val="000000" w:themeColor="text1"/>
          <w:sz w:val="24"/>
          <w:szCs w:val="24"/>
        </w:rPr>
        <w:t>ZIP</w:t>
      </w:r>
      <w:r w:rsidR="00624AF9" w:rsidRPr="1E9CA6D6">
        <w:rPr>
          <w:rFonts w:ascii="Georgia" w:hAnsi="Georgia" w:cs="Roboto-Bold"/>
          <w:color w:val="000000" w:themeColor="text1"/>
          <w:sz w:val="24"/>
          <w:szCs w:val="24"/>
        </w:rPr>
        <w:t xml:space="preserve"> codes that are split may not be a random sample of all </w:t>
      </w:r>
      <w:r w:rsidR="00453D8A" w:rsidRPr="1E9CA6D6">
        <w:rPr>
          <w:rFonts w:ascii="Georgia" w:hAnsi="Georgia" w:cs="Roboto-Bold"/>
          <w:color w:val="000000" w:themeColor="text1"/>
          <w:sz w:val="24"/>
          <w:szCs w:val="24"/>
        </w:rPr>
        <w:t>ZIP</w:t>
      </w:r>
      <w:r w:rsidR="00624AF9" w:rsidRPr="1E9CA6D6">
        <w:rPr>
          <w:rFonts w:ascii="Georgia" w:hAnsi="Georgia" w:cs="Roboto-Bold"/>
          <w:color w:val="000000" w:themeColor="text1"/>
          <w:sz w:val="24"/>
          <w:szCs w:val="24"/>
        </w:rPr>
        <w:t xml:space="preserve"> codes, even </w:t>
      </w:r>
      <w:r w:rsidR="00453D8A" w:rsidRPr="1E9CA6D6">
        <w:rPr>
          <w:rFonts w:ascii="Georgia" w:hAnsi="Georgia" w:cs="Roboto-Bold"/>
          <w:color w:val="000000" w:themeColor="text1"/>
          <w:sz w:val="24"/>
          <w:szCs w:val="24"/>
        </w:rPr>
        <w:t>ZIP</w:t>
      </w:r>
      <w:r w:rsidR="00624AF9" w:rsidRPr="1E9CA6D6">
        <w:rPr>
          <w:rFonts w:ascii="Georgia" w:hAnsi="Georgia" w:cs="Roboto-Bold"/>
          <w:color w:val="000000" w:themeColor="text1"/>
          <w:sz w:val="24"/>
          <w:szCs w:val="24"/>
        </w:rPr>
        <w:t xml:space="preserve"> codes within the CD. Almost certainly the </w:t>
      </w:r>
      <w:r w:rsidR="00453D8A" w:rsidRPr="1E9CA6D6">
        <w:rPr>
          <w:rFonts w:ascii="Georgia" w:hAnsi="Georgia" w:cs="Roboto-Bold"/>
          <w:color w:val="000000" w:themeColor="text1"/>
          <w:sz w:val="24"/>
          <w:szCs w:val="24"/>
        </w:rPr>
        <w:t>ZIP</w:t>
      </w:r>
      <w:r w:rsidR="00624AF9" w:rsidRPr="1E9CA6D6">
        <w:rPr>
          <w:rFonts w:ascii="Georgia" w:hAnsi="Georgia" w:cs="Roboto-Bold"/>
          <w:color w:val="000000" w:themeColor="text1"/>
          <w:sz w:val="24"/>
          <w:szCs w:val="24"/>
        </w:rPr>
        <w:t xml:space="preserve"> codes that are split are </w:t>
      </w:r>
      <w:r w:rsidR="00453D8A" w:rsidRPr="1E9CA6D6">
        <w:rPr>
          <w:rFonts w:ascii="Georgia" w:hAnsi="Georgia" w:cs="Roboto-Bold"/>
          <w:color w:val="000000" w:themeColor="text1"/>
          <w:sz w:val="24"/>
          <w:szCs w:val="24"/>
        </w:rPr>
        <w:t>ZIP</w:t>
      </w:r>
      <w:r w:rsidR="00624AF9" w:rsidRPr="1E9CA6D6">
        <w:rPr>
          <w:rFonts w:ascii="Georgia" w:hAnsi="Georgia" w:cs="Roboto-Bold"/>
          <w:color w:val="000000" w:themeColor="text1"/>
          <w:sz w:val="24"/>
          <w:szCs w:val="24"/>
        </w:rPr>
        <w:t xml:space="preserve"> codes toward the boundaries of the CD and, if there is gerrymandering, th</w:t>
      </w:r>
      <w:r w:rsidRPr="1E9CA6D6">
        <w:rPr>
          <w:rFonts w:ascii="Georgia" w:hAnsi="Georgia" w:cs="Roboto-Bold"/>
          <w:color w:val="000000" w:themeColor="text1"/>
          <w:sz w:val="24"/>
          <w:szCs w:val="24"/>
        </w:rPr>
        <w:t>ose boundaries</w:t>
      </w:r>
      <w:r w:rsidR="00624AF9" w:rsidRPr="1E9CA6D6">
        <w:rPr>
          <w:rFonts w:ascii="Georgia" w:hAnsi="Georgia" w:cs="Roboto-Bold"/>
          <w:color w:val="000000" w:themeColor="text1"/>
          <w:sz w:val="24"/>
          <w:szCs w:val="24"/>
        </w:rPr>
        <w:t xml:space="preserve"> may be where the most overt gerrymandering is going on, so the parts of the district with split CDs might be the parts of the district that are most ill-compact.</w:t>
      </w:r>
      <w:r w:rsidR="00624AF9" w:rsidRPr="1E9CA6D6">
        <w:rPr>
          <w:rFonts w:ascii="Georgia" w:hAnsi="Georgia" w:cs="Roboto-Bold"/>
          <w:b/>
          <w:bCs/>
          <w:color w:val="000000" w:themeColor="text1"/>
          <w:sz w:val="24"/>
          <w:szCs w:val="24"/>
        </w:rPr>
        <w:t xml:space="preserve"> </w:t>
      </w:r>
      <w:r w:rsidR="00624AF9" w:rsidRPr="1E9CA6D6">
        <w:rPr>
          <w:rFonts w:ascii="Georgia" w:hAnsi="Georgia" w:cs="Roboto-Bold"/>
          <w:color w:val="000000" w:themeColor="text1"/>
          <w:sz w:val="24"/>
          <w:szCs w:val="24"/>
        </w:rPr>
        <w:t xml:space="preserve">In this case you would get an apparent correlation between split </w:t>
      </w:r>
      <w:r w:rsidR="00453D8A" w:rsidRPr="1E9CA6D6">
        <w:rPr>
          <w:rFonts w:ascii="Georgia" w:hAnsi="Georgia" w:cs="Roboto-Bold"/>
          <w:color w:val="000000" w:themeColor="text1"/>
          <w:sz w:val="24"/>
          <w:szCs w:val="24"/>
        </w:rPr>
        <w:t>ZIP</w:t>
      </w:r>
      <w:r w:rsidR="00624AF9" w:rsidRPr="1E9CA6D6">
        <w:rPr>
          <w:rFonts w:ascii="Georgia" w:hAnsi="Georgia" w:cs="Roboto-Bold"/>
          <w:color w:val="000000" w:themeColor="text1"/>
          <w:sz w:val="24"/>
          <w:szCs w:val="24"/>
        </w:rPr>
        <w:t xml:space="preserve"> codes and incumbent </w:t>
      </w:r>
      <w:r w:rsidR="29D70E67" w:rsidRPr="1E9CA6D6">
        <w:rPr>
          <w:rFonts w:ascii="Georgia" w:hAnsi="Georgia" w:cs="Roboto-Bold"/>
          <w:color w:val="000000" w:themeColor="text1"/>
          <w:sz w:val="24"/>
          <w:szCs w:val="24"/>
        </w:rPr>
        <w:t>recognition,</w:t>
      </w:r>
      <w:r w:rsidR="00624AF9" w:rsidRPr="1E9CA6D6">
        <w:rPr>
          <w:rFonts w:ascii="Georgia" w:hAnsi="Georgia" w:cs="Roboto-Bold"/>
          <w:color w:val="000000" w:themeColor="text1"/>
          <w:sz w:val="24"/>
          <w:szCs w:val="24"/>
        </w:rPr>
        <w:t xml:space="preserve"> but it really would</w:t>
      </w:r>
      <w:r w:rsidR="00115898" w:rsidRPr="1E9CA6D6">
        <w:rPr>
          <w:rFonts w:ascii="Georgia" w:hAnsi="Georgia" w:cs="Roboto-Bold"/>
          <w:color w:val="000000" w:themeColor="text1"/>
          <w:sz w:val="24"/>
          <w:szCs w:val="24"/>
        </w:rPr>
        <w:t xml:space="preserve"> not </w:t>
      </w:r>
      <w:r w:rsidR="00624AF9" w:rsidRPr="1E9CA6D6">
        <w:rPr>
          <w:rFonts w:ascii="Georgia" w:hAnsi="Georgia" w:cs="Roboto-Bold"/>
          <w:color w:val="000000" w:themeColor="text1"/>
          <w:sz w:val="24"/>
          <w:szCs w:val="24"/>
        </w:rPr>
        <w:t>be driven by the degree to which voters lived or did</w:t>
      </w:r>
      <w:r w:rsidR="00115898" w:rsidRPr="1E9CA6D6">
        <w:rPr>
          <w:rFonts w:ascii="Georgia" w:hAnsi="Georgia" w:cs="Roboto-Bold"/>
          <w:color w:val="000000" w:themeColor="text1"/>
          <w:sz w:val="24"/>
          <w:szCs w:val="24"/>
        </w:rPr>
        <w:t xml:space="preserve"> not</w:t>
      </w:r>
      <w:r w:rsidR="00624AF9" w:rsidRPr="1E9CA6D6">
        <w:rPr>
          <w:rFonts w:ascii="Georgia" w:hAnsi="Georgia" w:cs="Roboto-Bold"/>
          <w:color w:val="000000" w:themeColor="text1"/>
          <w:sz w:val="24"/>
          <w:szCs w:val="24"/>
        </w:rPr>
        <w:t xml:space="preserve"> live in a split </w:t>
      </w:r>
      <w:r w:rsidR="00453D8A" w:rsidRPr="1E9CA6D6">
        <w:rPr>
          <w:rFonts w:ascii="Georgia" w:hAnsi="Georgia" w:cs="Roboto-Bold"/>
          <w:color w:val="000000" w:themeColor="text1"/>
          <w:sz w:val="24"/>
          <w:szCs w:val="24"/>
        </w:rPr>
        <w:t>ZIP</w:t>
      </w:r>
      <w:r w:rsidR="00624AF9" w:rsidRPr="1E9CA6D6">
        <w:rPr>
          <w:rFonts w:ascii="Georgia" w:hAnsi="Georgia" w:cs="Roboto-Bold"/>
          <w:color w:val="000000" w:themeColor="text1"/>
          <w:sz w:val="24"/>
          <w:szCs w:val="24"/>
        </w:rPr>
        <w:t xml:space="preserve"> code.</w:t>
      </w:r>
    </w:p>
    <w:p w14:paraId="53A60697" w14:textId="077C928B" w:rsidR="00880B78" w:rsidRDefault="63EAD5E5" w:rsidP="1E9CA6D6">
      <w:pPr>
        <w:pStyle w:val="FootnoteText"/>
        <w:spacing w:line="360" w:lineRule="auto"/>
        <w:ind w:firstLine="720"/>
        <w:jc w:val="both"/>
        <w:rPr>
          <w:rFonts w:ascii="Georgia" w:hAnsi="Georgia" w:cs="Roboto-Bold"/>
          <w:color w:val="000000" w:themeColor="text1"/>
          <w:sz w:val="24"/>
          <w:szCs w:val="24"/>
        </w:rPr>
      </w:pPr>
      <w:r w:rsidRPr="1E9CA6D6">
        <w:rPr>
          <w:rFonts w:ascii="Georgia" w:hAnsi="Georgia" w:cs="Roboto-Bold"/>
          <w:color w:val="000000" w:themeColor="text1"/>
          <w:sz w:val="24"/>
          <w:szCs w:val="24"/>
        </w:rPr>
        <w:t>T</w:t>
      </w:r>
      <w:r w:rsidR="00624AF9" w:rsidRPr="1E9CA6D6">
        <w:rPr>
          <w:rFonts w:ascii="Georgia" w:hAnsi="Georgia" w:cs="Roboto-Bold"/>
          <w:color w:val="000000" w:themeColor="text1"/>
          <w:sz w:val="24"/>
          <w:szCs w:val="24"/>
        </w:rPr>
        <w:t>here are other</w:t>
      </w:r>
      <w:r w:rsidR="00760EEE" w:rsidRPr="1E9CA6D6">
        <w:rPr>
          <w:rFonts w:ascii="Georgia" w:hAnsi="Georgia" w:cs="Roboto-Bold"/>
          <w:color w:val="000000" w:themeColor="text1"/>
          <w:sz w:val="24"/>
          <w:szCs w:val="24"/>
        </w:rPr>
        <w:t xml:space="preserve"> complication</w:t>
      </w:r>
      <w:r w:rsidR="00624AF9" w:rsidRPr="1E9CA6D6">
        <w:rPr>
          <w:rFonts w:ascii="Georgia" w:hAnsi="Georgia" w:cs="Roboto-Bold"/>
          <w:color w:val="000000" w:themeColor="text1"/>
          <w:sz w:val="24"/>
          <w:szCs w:val="24"/>
        </w:rPr>
        <w:t>s in terms of possible confounding factors.</w:t>
      </w:r>
      <w:r w:rsidR="00760EEE" w:rsidRPr="1E9CA6D6">
        <w:rPr>
          <w:rFonts w:ascii="Georgia" w:hAnsi="Georgia" w:cs="Roboto-Bold"/>
          <w:color w:val="000000" w:themeColor="text1"/>
          <w:sz w:val="24"/>
          <w:szCs w:val="24"/>
        </w:rPr>
        <w:t xml:space="preserve"> </w:t>
      </w:r>
      <w:r w:rsidR="00796B16" w:rsidRPr="1E9CA6D6">
        <w:rPr>
          <w:rFonts w:ascii="Georgia" w:hAnsi="Georgia" w:cs="Roboto-Bold"/>
          <w:color w:val="000000" w:themeColor="text1"/>
          <w:sz w:val="24"/>
          <w:szCs w:val="24"/>
        </w:rPr>
        <w:t>For example, if you live in a state with a single CD then (a) you probably are more likely to know the name of your representative than someone who lives in a state with many representatives, because the state media will only have one representative to talk about and the representative from your CD will not be lost sight of in the coverage of other</w:t>
      </w:r>
      <w:r w:rsidR="7F415EDB" w:rsidRPr="1E9CA6D6">
        <w:rPr>
          <w:rFonts w:ascii="Georgia" w:hAnsi="Georgia" w:cs="Roboto-Bold"/>
          <w:color w:val="000000" w:themeColor="text1"/>
          <w:sz w:val="24"/>
          <w:szCs w:val="24"/>
        </w:rPr>
        <w:t xml:space="preserve"> members of Congress,</w:t>
      </w:r>
      <w:r w:rsidR="00796B16" w:rsidRPr="1E9CA6D6">
        <w:rPr>
          <w:rFonts w:ascii="Georgia" w:hAnsi="Georgia" w:cs="Roboto-Bold"/>
          <w:color w:val="000000" w:themeColor="text1"/>
          <w:sz w:val="24"/>
          <w:szCs w:val="24"/>
        </w:rPr>
        <w:t xml:space="preserve"> </w:t>
      </w:r>
      <w:r w:rsidR="00115898" w:rsidRPr="1E9CA6D6">
        <w:rPr>
          <w:rFonts w:ascii="Georgia" w:hAnsi="Georgia" w:cs="Roboto-Bold"/>
          <w:color w:val="000000" w:themeColor="text1"/>
          <w:sz w:val="24"/>
          <w:szCs w:val="24"/>
        </w:rPr>
        <w:t xml:space="preserve">who are </w:t>
      </w:r>
      <w:r w:rsidR="00796B16" w:rsidRPr="1E9CA6D6">
        <w:rPr>
          <w:rFonts w:ascii="Georgia" w:hAnsi="Georgia" w:cs="Roboto-Bold"/>
          <w:color w:val="000000" w:themeColor="text1"/>
          <w:sz w:val="24"/>
          <w:szCs w:val="24"/>
        </w:rPr>
        <w:t xml:space="preserve">perhaps more </w:t>
      </w:r>
      <w:r w:rsidR="6914FF54" w:rsidRPr="1E9CA6D6">
        <w:rPr>
          <w:rFonts w:ascii="Georgia" w:hAnsi="Georgia" w:cs="Roboto-Bold"/>
          <w:color w:val="000000" w:themeColor="text1"/>
          <w:sz w:val="24"/>
          <w:szCs w:val="24"/>
        </w:rPr>
        <w:t>senior, in a leadership position, or have a greater media presence</w:t>
      </w:r>
      <w:r w:rsidR="00796B16" w:rsidRPr="1E9CA6D6">
        <w:rPr>
          <w:rFonts w:ascii="Georgia" w:hAnsi="Georgia" w:cs="Roboto-Bold"/>
          <w:color w:val="000000" w:themeColor="text1"/>
          <w:sz w:val="24"/>
          <w:szCs w:val="24"/>
        </w:rPr>
        <w:t xml:space="preserve">; and (b) if your state has only a single member of congress then you are living in a state where all the </w:t>
      </w:r>
      <w:r w:rsidR="00453D8A" w:rsidRPr="1E9CA6D6">
        <w:rPr>
          <w:rFonts w:ascii="Georgia" w:hAnsi="Georgia" w:cs="Roboto-Bold"/>
          <w:color w:val="000000" w:themeColor="text1"/>
          <w:sz w:val="24"/>
          <w:szCs w:val="24"/>
        </w:rPr>
        <w:t>ZIP</w:t>
      </w:r>
      <w:r w:rsidR="00796B16" w:rsidRPr="1E9CA6D6">
        <w:rPr>
          <w:rFonts w:ascii="Georgia" w:hAnsi="Georgia" w:cs="Roboto-Bold"/>
          <w:color w:val="000000" w:themeColor="text1"/>
          <w:sz w:val="24"/>
          <w:szCs w:val="24"/>
        </w:rPr>
        <w:t xml:space="preserve"> codes are being kept whole with a congressional district.</w:t>
      </w:r>
      <w:r w:rsidR="00796B16" w:rsidRPr="1E9CA6D6">
        <w:rPr>
          <w:rFonts w:ascii="Georgia" w:hAnsi="Georgia" w:cs="Roboto-Bold"/>
          <w:b/>
          <w:bCs/>
          <w:color w:val="000000" w:themeColor="text1"/>
          <w:sz w:val="24"/>
          <w:szCs w:val="24"/>
        </w:rPr>
        <w:t xml:space="preserve"> </w:t>
      </w:r>
      <w:r w:rsidR="00796B16" w:rsidRPr="1E9CA6D6">
        <w:rPr>
          <w:rFonts w:ascii="Georgia" w:hAnsi="Georgia" w:cs="Roboto-Bold"/>
          <w:color w:val="000000" w:themeColor="text1"/>
          <w:sz w:val="24"/>
          <w:szCs w:val="24"/>
        </w:rPr>
        <w:t>This suggests that paying attention to how many congressmembers are elected from a state is a potentially important contro</w:t>
      </w:r>
      <w:r w:rsidR="00624AF9" w:rsidRPr="1E9CA6D6">
        <w:rPr>
          <w:rFonts w:ascii="Georgia" w:hAnsi="Georgia" w:cs="Roboto-Bold"/>
          <w:color w:val="000000" w:themeColor="text1"/>
          <w:sz w:val="24"/>
          <w:szCs w:val="24"/>
        </w:rPr>
        <w:t>l factor</w:t>
      </w:r>
      <w:r w:rsidR="00796B16" w:rsidRPr="1E9CA6D6">
        <w:rPr>
          <w:rFonts w:ascii="Georgia" w:hAnsi="Georgia" w:cs="Roboto-Bold"/>
          <w:color w:val="000000" w:themeColor="text1"/>
          <w:sz w:val="24"/>
          <w:szCs w:val="24"/>
        </w:rPr>
        <w:t xml:space="preserve">. </w:t>
      </w:r>
      <w:r w:rsidR="00F663E0" w:rsidRPr="1E9CA6D6">
        <w:rPr>
          <w:rFonts w:ascii="Georgia" w:hAnsi="Georgia" w:cs="Roboto-Bold"/>
          <w:color w:val="000000" w:themeColor="text1"/>
          <w:sz w:val="24"/>
          <w:szCs w:val="24"/>
        </w:rPr>
        <w:t xml:space="preserve">While we do not know this to be a fact, the proportion of split </w:t>
      </w:r>
      <w:r w:rsidR="00453D8A" w:rsidRPr="1E9CA6D6">
        <w:rPr>
          <w:rFonts w:ascii="Georgia" w:hAnsi="Georgia" w:cs="Roboto-Bold"/>
          <w:color w:val="000000" w:themeColor="text1"/>
          <w:sz w:val="24"/>
          <w:szCs w:val="24"/>
        </w:rPr>
        <w:t>ZIP</w:t>
      </w:r>
      <w:r w:rsidR="00F663E0" w:rsidRPr="1E9CA6D6">
        <w:rPr>
          <w:rFonts w:ascii="Georgia" w:hAnsi="Georgia" w:cs="Roboto-Bold"/>
          <w:color w:val="000000" w:themeColor="text1"/>
          <w:sz w:val="24"/>
          <w:szCs w:val="24"/>
        </w:rPr>
        <w:t xml:space="preserve"> codes may be correlated with the </w:t>
      </w:r>
      <w:r w:rsidR="0A408C99" w:rsidRPr="1E9CA6D6">
        <w:rPr>
          <w:rFonts w:ascii="Georgia" w:hAnsi="Georgia" w:cs="Roboto-Bold"/>
          <w:color w:val="000000" w:themeColor="text1"/>
          <w:sz w:val="24"/>
          <w:szCs w:val="24"/>
        </w:rPr>
        <w:t>population</w:t>
      </w:r>
      <w:r w:rsidR="00F663E0" w:rsidRPr="1E9CA6D6">
        <w:rPr>
          <w:rFonts w:ascii="Georgia" w:hAnsi="Georgia" w:cs="Roboto-Bold"/>
          <w:color w:val="000000" w:themeColor="text1"/>
          <w:sz w:val="24"/>
          <w:szCs w:val="24"/>
        </w:rPr>
        <w:t xml:space="preserve"> of the state, and thus with the likely recognizability of members of Congress, in ways that are not fully compensated for by the various</w:t>
      </w:r>
      <w:r w:rsidR="00624AF9" w:rsidRPr="1E9CA6D6">
        <w:rPr>
          <w:rFonts w:ascii="Georgia" w:hAnsi="Georgia" w:cs="Roboto-Bold"/>
          <w:color w:val="000000" w:themeColor="text1"/>
          <w:sz w:val="24"/>
          <w:szCs w:val="24"/>
        </w:rPr>
        <w:t xml:space="preserve"> control factors introduced in the Curiel and Steelman regression model.</w:t>
      </w:r>
    </w:p>
    <w:p w14:paraId="11A1EDAA" w14:textId="377A8895" w:rsidR="004676D3" w:rsidRPr="00115898" w:rsidRDefault="00624AF9" w:rsidP="1E9CA6D6">
      <w:pPr>
        <w:pStyle w:val="FootnoteText"/>
        <w:spacing w:line="360" w:lineRule="auto"/>
        <w:ind w:firstLine="720"/>
        <w:jc w:val="both"/>
        <w:rPr>
          <w:rFonts w:ascii="Georgia" w:hAnsi="Georgia" w:cs="Segoe UI"/>
          <w:sz w:val="24"/>
          <w:szCs w:val="24"/>
        </w:rPr>
      </w:pPr>
      <w:r w:rsidRPr="5037D466">
        <w:rPr>
          <w:rFonts w:ascii="Georgia" w:hAnsi="Georgia" w:cs="Roboto-Bold"/>
          <w:color w:val="000000" w:themeColor="text1"/>
          <w:sz w:val="24"/>
          <w:szCs w:val="24"/>
        </w:rPr>
        <w:t>A closely related confound is media market. Beyond longevity in office, powerful chair position, and same race and same party as the voter, if we had to guess wh</w:t>
      </w:r>
      <w:r w:rsidRPr="1BC0107E">
        <w:rPr>
          <w:rFonts w:ascii="Georgia" w:hAnsi="Georgia" w:cs="Roboto-Bold"/>
          <w:color w:val="292B2C"/>
          <w:sz w:val="24"/>
          <w:szCs w:val="24"/>
        </w:rPr>
        <w:t xml:space="preserve">at other factor would best account for name recognition we would guess that having local newspapers and radio and tv stations (and their internet incarnations) cover only one or at most a few congressional districts would enhance name recognition a lot. Indeed, </w:t>
      </w:r>
      <w:r w:rsidR="00070781" w:rsidRPr="1BC0107E">
        <w:rPr>
          <w:rFonts w:ascii="Georgia" w:hAnsi="Georgia" w:cs="Roboto-Bold"/>
          <w:color w:val="292B2C"/>
          <w:sz w:val="24"/>
          <w:szCs w:val="24"/>
        </w:rPr>
        <w:t xml:space="preserve">as noted earlier, </w:t>
      </w:r>
      <w:r w:rsidRPr="1BC0107E">
        <w:rPr>
          <w:rFonts w:ascii="Georgia" w:hAnsi="Georgia" w:cs="Roboto-Bold"/>
          <w:color w:val="292B2C"/>
          <w:sz w:val="24"/>
          <w:szCs w:val="24"/>
        </w:rPr>
        <w:t xml:space="preserve">Engstrom (2005) provides evidence that this indeed the case. </w:t>
      </w:r>
      <w:r w:rsidR="00EE6CB7">
        <w:rPr>
          <w:rFonts w:ascii="Georgia" w:hAnsi="Georgia" w:cs="Roboto-Bold"/>
          <w:color w:val="292B2C"/>
          <w:sz w:val="24"/>
          <w:szCs w:val="24"/>
        </w:rPr>
        <w:t xml:space="preserve">See also </w:t>
      </w:r>
      <w:r w:rsidR="72744DC9" w:rsidRPr="1E9CA6D6">
        <w:rPr>
          <w:rFonts w:ascii="Georgia" w:hAnsi="Georgia" w:cs="Roboto-Bold"/>
          <w:color w:val="292B2C"/>
          <w:sz w:val="24"/>
          <w:szCs w:val="24"/>
        </w:rPr>
        <w:t>Schaffner and Sellers (2003)</w:t>
      </w:r>
      <w:r w:rsidR="00EE6CB7">
        <w:rPr>
          <w:rFonts w:ascii="Georgia" w:hAnsi="Georgia"/>
          <w:sz w:val="24"/>
          <w:szCs w:val="24"/>
        </w:rPr>
        <w:t xml:space="preserve"> who observe that media markets often include whole counties. </w:t>
      </w:r>
      <w:r w:rsidR="00EE6CB7">
        <w:rPr>
          <w:rFonts w:ascii="Georgia" w:hAnsi="Georgia" w:cs="Roboto-Bold"/>
          <w:color w:val="292B2C"/>
          <w:sz w:val="24"/>
          <w:szCs w:val="24"/>
        </w:rPr>
        <w:t>In contrast</w:t>
      </w:r>
      <w:r w:rsidRPr="1BC0107E">
        <w:rPr>
          <w:rFonts w:ascii="Georgia" w:hAnsi="Georgia" w:cs="Roboto-Bold"/>
          <w:color w:val="292B2C"/>
          <w:sz w:val="24"/>
          <w:szCs w:val="24"/>
        </w:rPr>
        <w:t>, Curiel and Steelman (</w:t>
      </w:r>
      <w:r w:rsidRPr="00115898">
        <w:rPr>
          <w:rFonts w:ascii="Georgia" w:hAnsi="Georgia" w:cs="Roboto-Bold"/>
          <w:color w:val="292B2C"/>
          <w:sz w:val="24"/>
          <w:szCs w:val="24"/>
        </w:rPr>
        <w:t>20</w:t>
      </w:r>
      <w:r w:rsidR="15F0618F" w:rsidRPr="00115898">
        <w:rPr>
          <w:rFonts w:ascii="Georgia" w:hAnsi="Georgia" w:cs="Roboto-Bold"/>
          <w:color w:val="292B2C"/>
          <w:sz w:val="24"/>
          <w:szCs w:val="24"/>
        </w:rPr>
        <w:t>20</w:t>
      </w:r>
      <w:r w:rsidR="00115898" w:rsidRPr="00115898">
        <w:rPr>
          <w:rFonts w:ascii="Georgia" w:hAnsi="Georgia" w:cs="Roboto-Bold"/>
          <w:color w:val="292B2C"/>
          <w:sz w:val="24"/>
          <w:szCs w:val="24"/>
        </w:rPr>
        <w:t>:</w:t>
      </w:r>
      <w:r w:rsidR="15F0618F" w:rsidRPr="00115898">
        <w:rPr>
          <w:rFonts w:ascii="Georgia" w:hAnsi="Georgia" w:cs="Roboto-Bold"/>
          <w:color w:val="292B2C"/>
          <w:sz w:val="24"/>
          <w:szCs w:val="24"/>
        </w:rPr>
        <w:t xml:space="preserve"> 8</w:t>
      </w:r>
      <w:r w:rsidR="00115898" w:rsidRPr="00115898">
        <w:rPr>
          <w:rFonts w:ascii="Georgia" w:hAnsi="Georgia" w:cs="Roboto-Bold"/>
          <w:color w:val="292B2C"/>
          <w:sz w:val="24"/>
          <w:szCs w:val="24"/>
        </w:rPr>
        <w:t>,</w:t>
      </w:r>
      <w:r w:rsidRPr="00115898">
        <w:rPr>
          <w:rFonts w:ascii="Georgia" w:hAnsi="Georgia" w:cs="Roboto-Bold"/>
          <w:color w:val="292B2C"/>
          <w:sz w:val="24"/>
          <w:szCs w:val="24"/>
        </w:rPr>
        <w:t xml:space="preserve"> fn</w:t>
      </w:r>
      <w:r w:rsidR="00115898">
        <w:rPr>
          <w:rFonts w:ascii="Georgia" w:hAnsi="Georgia" w:cs="Roboto-Bold"/>
          <w:color w:val="292B2C"/>
          <w:sz w:val="24"/>
          <w:szCs w:val="24"/>
        </w:rPr>
        <w:t>.</w:t>
      </w:r>
      <w:r w:rsidRPr="1BC0107E">
        <w:rPr>
          <w:rFonts w:ascii="Georgia" w:hAnsi="Georgia" w:cs="Roboto-Bold"/>
          <w:color w:val="292B2C"/>
          <w:sz w:val="24"/>
          <w:szCs w:val="24"/>
        </w:rPr>
        <w:t xml:space="preserve"> 13) downplay the importance</w:t>
      </w:r>
      <w:r w:rsidR="004676D3" w:rsidRPr="1BC0107E">
        <w:rPr>
          <w:rFonts w:ascii="Georgia" w:hAnsi="Georgia" w:cs="Roboto-Bold"/>
          <w:color w:val="292B2C"/>
          <w:sz w:val="24"/>
          <w:szCs w:val="24"/>
        </w:rPr>
        <w:t xml:space="preserve"> of media markets</w:t>
      </w:r>
      <w:r w:rsidR="00880B78" w:rsidRPr="1BC0107E">
        <w:rPr>
          <w:rFonts w:ascii="Georgia" w:hAnsi="Georgia" w:cs="Roboto-Bold"/>
          <w:color w:val="292B2C"/>
          <w:sz w:val="24"/>
          <w:szCs w:val="24"/>
        </w:rPr>
        <w:t xml:space="preserve"> for redistricting purposes (and as predictors of name recognition)</w:t>
      </w:r>
      <w:r w:rsidR="004676D3" w:rsidRPr="1BC0107E">
        <w:rPr>
          <w:rFonts w:ascii="Georgia" w:hAnsi="Georgia" w:cs="Roboto-Bold"/>
          <w:color w:val="292B2C"/>
          <w:sz w:val="24"/>
          <w:szCs w:val="24"/>
        </w:rPr>
        <w:t xml:space="preserve"> because they are often larger than a single CD. </w:t>
      </w:r>
      <w:r w:rsidR="6D95D4D5" w:rsidRPr="1BC0107E">
        <w:rPr>
          <w:rFonts w:ascii="Georgia" w:hAnsi="Georgia" w:cs="Roboto-Bold"/>
          <w:color w:val="292B2C"/>
          <w:sz w:val="24"/>
          <w:szCs w:val="24"/>
        </w:rPr>
        <w:t>I</w:t>
      </w:r>
      <w:r w:rsidR="004676D3" w:rsidRPr="1BC0107E">
        <w:rPr>
          <w:rFonts w:ascii="Georgia" w:hAnsi="Georgia" w:cs="Roboto-Bold"/>
          <w:color w:val="292B2C"/>
          <w:sz w:val="24"/>
          <w:szCs w:val="24"/>
        </w:rPr>
        <w:t>n our view that can be exactly the point of making use of them</w:t>
      </w:r>
      <w:r w:rsidR="364397A4" w:rsidRPr="1BC0107E">
        <w:rPr>
          <w:rFonts w:ascii="Georgia" w:hAnsi="Georgia" w:cs="Roboto-Bold"/>
          <w:color w:val="292B2C"/>
          <w:sz w:val="24"/>
          <w:szCs w:val="24"/>
        </w:rPr>
        <w:t xml:space="preserve">. </w:t>
      </w:r>
      <w:r w:rsidR="364397A4" w:rsidRPr="00115898">
        <w:rPr>
          <w:rFonts w:ascii="Georgia" w:hAnsi="Georgia" w:cs="Roboto-Bold"/>
          <w:color w:val="292B2C"/>
          <w:sz w:val="24"/>
          <w:szCs w:val="24"/>
        </w:rPr>
        <w:t>Indeed, those larger than a CD would need be split, but at least one</w:t>
      </w:r>
      <w:r w:rsidR="08809A0B" w:rsidRPr="00115898">
        <w:rPr>
          <w:rFonts w:ascii="Georgia" w:hAnsi="Georgia" w:cs="Roboto-Bold"/>
          <w:color w:val="292B2C"/>
          <w:sz w:val="24"/>
          <w:szCs w:val="24"/>
        </w:rPr>
        <w:t xml:space="preserve"> (or perhaps multiple)</w:t>
      </w:r>
      <w:r w:rsidR="364397A4" w:rsidRPr="00115898">
        <w:rPr>
          <w:rFonts w:ascii="Georgia" w:hAnsi="Georgia" w:cs="Roboto-Bold"/>
          <w:color w:val="292B2C"/>
          <w:sz w:val="24"/>
          <w:szCs w:val="24"/>
        </w:rPr>
        <w:t xml:space="preserve"> CD could be wholly contained within a media market exceeding the size of an ideal </w:t>
      </w:r>
      <w:r w:rsidR="2CB81B7F" w:rsidRPr="00115898">
        <w:rPr>
          <w:rFonts w:ascii="Georgia" w:hAnsi="Georgia" w:cs="Roboto-Bold"/>
          <w:color w:val="292B2C"/>
          <w:sz w:val="24"/>
          <w:szCs w:val="24"/>
        </w:rPr>
        <w:t>CD.</w:t>
      </w:r>
      <w:r w:rsidR="00203572" w:rsidRPr="00203572">
        <w:rPr>
          <w:rStyle w:val="FootnoteReference"/>
          <w:rFonts w:ascii="Georgia" w:hAnsi="Georgia" w:cs="Roboto-Bold"/>
          <w:color w:val="292B2C"/>
          <w:sz w:val="24"/>
          <w:szCs w:val="24"/>
        </w:rPr>
        <w:t xml:space="preserve"> </w:t>
      </w:r>
      <w:r w:rsidR="00203572" w:rsidRPr="1BC0107E">
        <w:rPr>
          <w:rStyle w:val="FootnoteReference"/>
          <w:rFonts w:ascii="Georgia" w:hAnsi="Georgia" w:cs="Roboto-Bold"/>
          <w:color w:val="292B2C"/>
          <w:sz w:val="24"/>
          <w:szCs w:val="24"/>
        </w:rPr>
        <w:footnoteReference w:id="21"/>
      </w:r>
    </w:p>
    <w:p w14:paraId="7C0F9078" w14:textId="77777777" w:rsidR="00636B88" w:rsidRDefault="00636B88" w:rsidP="1E9CA6D6">
      <w:pPr>
        <w:pStyle w:val="FootnoteText"/>
        <w:spacing w:line="360" w:lineRule="auto"/>
        <w:ind w:firstLine="720"/>
        <w:jc w:val="both"/>
        <w:rPr>
          <w:rFonts w:ascii="Georgia" w:hAnsi="Georgia" w:cs="Roboto-Bold"/>
          <w:b/>
          <w:bCs/>
          <w:color w:val="292B2C"/>
          <w:sz w:val="24"/>
          <w:szCs w:val="24"/>
        </w:rPr>
      </w:pPr>
    </w:p>
    <w:p w14:paraId="02E48717" w14:textId="69A50DCE" w:rsidR="000D25EA" w:rsidRDefault="000D25EA" w:rsidP="1E9CA6D6">
      <w:pPr>
        <w:pStyle w:val="FootnoteText"/>
        <w:spacing w:line="360" w:lineRule="auto"/>
        <w:ind w:firstLine="720"/>
        <w:jc w:val="both"/>
        <w:rPr>
          <w:rFonts w:ascii="Georgia" w:hAnsi="Georgia" w:cs="Roboto-Bold"/>
          <w:b/>
          <w:bCs/>
          <w:color w:val="292B2C"/>
          <w:sz w:val="24"/>
          <w:szCs w:val="24"/>
        </w:rPr>
        <w:sectPr w:rsidR="000D25EA" w:rsidSect="003A11E0">
          <w:type w:val="continuous"/>
          <w:pgSz w:w="12240" w:h="15840"/>
          <w:pgMar w:top="1440" w:right="1440" w:bottom="1440" w:left="1440" w:header="720" w:footer="720" w:gutter="0"/>
          <w:cols w:space="720"/>
          <w:titlePg/>
          <w:docGrid w:linePitch="360"/>
        </w:sectPr>
      </w:pPr>
    </w:p>
    <w:p w14:paraId="2789DE73" w14:textId="7C26365D" w:rsidR="00B4766A" w:rsidRPr="008A3BB1" w:rsidRDefault="4C83AA0B" w:rsidP="008A3BB1">
      <w:pPr>
        <w:pStyle w:val="Heading2"/>
        <w:rPr>
          <w:i/>
          <w:iCs/>
        </w:rPr>
      </w:pPr>
      <w:r w:rsidRPr="1E9CA6D6">
        <w:rPr>
          <w:i/>
          <w:iCs/>
        </w:rPr>
        <w:t>Communities of Interests</w:t>
      </w:r>
    </w:p>
    <w:p w14:paraId="58BF3C1E" w14:textId="512FAC7D" w:rsidR="1E9CA6D6" w:rsidRDefault="1E9CA6D6" w:rsidP="1E9CA6D6"/>
    <w:p w14:paraId="5CCF1932" w14:textId="50AB1E62" w:rsidR="00B4766A" w:rsidRDefault="00E04907" w:rsidP="1BC0107E">
      <w:pPr>
        <w:pStyle w:val="FootnoteText"/>
        <w:spacing w:line="360" w:lineRule="auto"/>
        <w:ind w:firstLine="720"/>
        <w:rPr>
          <w:rFonts w:ascii="Georgia" w:hAnsi="Georgia" w:cs="Segoe UI"/>
          <w:sz w:val="24"/>
          <w:szCs w:val="24"/>
        </w:rPr>
      </w:pPr>
      <w:r>
        <w:rPr>
          <w:rFonts w:ascii="Georgia" w:hAnsi="Georgia" w:cs="Segoe UI"/>
          <w:sz w:val="24"/>
          <w:szCs w:val="24"/>
        </w:rPr>
        <w:t xml:space="preserve">But, while we have expressed our skepticism about </w:t>
      </w:r>
      <w:r w:rsidR="00453D8A">
        <w:rPr>
          <w:rFonts w:ascii="Georgia" w:hAnsi="Georgia" w:cs="Segoe UI"/>
          <w:sz w:val="24"/>
          <w:szCs w:val="24"/>
        </w:rPr>
        <w:t>ZIP</w:t>
      </w:r>
      <w:r w:rsidR="00642154">
        <w:rPr>
          <w:rFonts w:ascii="Georgia" w:hAnsi="Georgia" w:cs="Segoe UI"/>
          <w:sz w:val="24"/>
          <w:szCs w:val="24"/>
        </w:rPr>
        <w:t xml:space="preserve"> code</w:t>
      </w:r>
      <w:r>
        <w:rPr>
          <w:rFonts w:ascii="Georgia" w:hAnsi="Georgia" w:cs="Segoe UI"/>
          <w:sz w:val="24"/>
          <w:szCs w:val="24"/>
        </w:rPr>
        <w:t xml:space="preserve"> use in the fashion that Curiel and Steelman propose, we do wish to endorse their view that it is important to investigate how to provide content to the concept of </w:t>
      </w:r>
      <w:r w:rsidRPr="489FFC7A">
        <w:rPr>
          <w:rFonts w:ascii="Georgia" w:hAnsi="Georgia" w:cs="Segoe UI"/>
          <w:i/>
          <w:iCs/>
          <w:sz w:val="24"/>
          <w:szCs w:val="24"/>
        </w:rPr>
        <w:t>community of interest</w:t>
      </w:r>
      <w:r w:rsidR="00751E3A">
        <w:rPr>
          <w:rFonts w:ascii="Georgia" w:hAnsi="Georgia" w:cs="Segoe UI"/>
          <w:sz w:val="24"/>
          <w:szCs w:val="24"/>
        </w:rPr>
        <w:t xml:space="preserve"> as it manifests itself geographically.</w:t>
      </w:r>
      <w:r w:rsidR="00D559A9">
        <w:rPr>
          <w:rFonts w:ascii="Georgia" w:hAnsi="Georgia" w:cs="Segoe UI"/>
          <w:sz w:val="24"/>
          <w:szCs w:val="24"/>
        </w:rPr>
        <w:t xml:space="preserve"> </w:t>
      </w:r>
      <w:r w:rsidR="00275315">
        <w:rPr>
          <w:rFonts w:ascii="Georgia" w:hAnsi="Georgia" w:cs="Segoe UI"/>
          <w:sz w:val="24"/>
          <w:szCs w:val="24"/>
        </w:rPr>
        <w:t>W</w:t>
      </w:r>
      <w:r w:rsidR="0098638F">
        <w:rPr>
          <w:rFonts w:ascii="Georgia" w:hAnsi="Georgia" w:cs="Segoe UI"/>
          <w:sz w:val="24"/>
          <w:szCs w:val="24"/>
        </w:rPr>
        <w:t>e believe it fair to say that the concept</w:t>
      </w:r>
      <w:r w:rsidR="00D559A9">
        <w:rPr>
          <w:rFonts w:ascii="Georgia" w:hAnsi="Georgia" w:cs="Segoe UI"/>
          <w:sz w:val="24"/>
          <w:szCs w:val="24"/>
        </w:rPr>
        <w:t xml:space="preserve"> </w:t>
      </w:r>
      <w:r w:rsidR="001D5B92">
        <w:rPr>
          <w:rFonts w:ascii="Georgia" w:hAnsi="Georgia" w:cs="Segoe UI"/>
          <w:sz w:val="24"/>
          <w:szCs w:val="24"/>
        </w:rPr>
        <w:t xml:space="preserve">of </w:t>
      </w:r>
      <w:r w:rsidR="001D5B92" w:rsidRPr="489FFC7A">
        <w:rPr>
          <w:rFonts w:ascii="Georgia" w:hAnsi="Georgia" w:cs="Segoe UI"/>
          <w:i/>
          <w:iCs/>
          <w:sz w:val="24"/>
          <w:szCs w:val="24"/>
        </w:rPr>
        <w:t>community of interest</w:t>
      </w:r>
      <w:r w:rsidR="001D5B92">
        <w:rPr>
          <w:rFonts w:ascii="Georgia" w:hAnsi="Georgia" w:cs="Segoe UI"/>
          <w:sz w:val="24"/>
          <w:szCs w:val="24"/>
        </w:rPr>
        <w:t xml:space="preserve"> </w:t>
      </w:r>
      <w:r w:rsidR="0098638F">
        <w:rPr>
          <w:rFonts w:ascii="Georgia" w:hAnsi="Georgia" w:cs="Segoe UI"/>
          <w:sz w:val="24"/>
          <w:szCs w:val="24"/>
        </w:rPr>
        <w:t>remains remarkably murky</w:t>
      </w:r>
      <w:r w:rsidR="001D5B92">
        <w:rPr>
          <w:rFonts w:ascii="Georgia" w:hAnsi="Georgia" w:cs="Segoe UI"/>
          <w:sz w:val="24"/>
          <w:szCs w:val="24"/>
        </w:rPr>
        <w:t>,</w:t>
      </w:r>
      <w:r w:rsidR="00751E3A" w:rsidRPr="00751E3A">
        <w:rPr>
          <w:rStyle w:val="FootnoteReference"/>
          <w:rFonts w:ascii="Georgia" w:hAnsi="Georgia"/>
          <w:sz w:val="24"/>
          <w:szCs w:val="24"/>
        </w:rPr>
        <w:t xml:space="preserve"> </w:t>
      </w:r>
      <w:r w:rsidR="001D5B92">
        <w:rPr>
          <w:rFonts w:ascii="Georgia" w:hAnsi="Georgia" w:cs="Segoe UI"/>
          <w:sz w:val="24"/>
          <w:szCs w:val="24"/>
        </w:rPr>
        <w:t xml:space="preserve">both for legislatures drawing lines and for courts who must make legal decisions about the meaning of statutory or constitutional </w:t>
      </w:r>
      <w:r w:rsidR="00203572">
        <w:rPr>
          <w:rFonts w:ascii="Georgia" w:hAnsi="Georgia" w:cs="Segoe UI"/>
          <w:sz w:val="24"/>
          <w:szCs w:val="24"/>
        </w:rPr>
        <w:t>references to the concept</w:t>
      </w:r>
      <w:r w:rsidR="001D5B92">
        <w:rPr>
          <w:rFonts w:ascii="Georgia" w:hAnsi="Georgia" w:cs="Segoe UI"/>
          <w:sz w:val="24"/>
          <w:szCs w:val="24"/>
        </w:rPr>
        <w:t>.</w:t>
      </w:r>
      <w:r w:rsidR="001D5B92">
        <w:rPr>
          <w:rStyle w:val="FootnoteReference"/>
          <w:rFonts w:ascii="Georgia" w:hAnsi="Georgia" w:cs="Segoe UI"/>
          <w:sz w:val="24"/>
          <w:szCs w:val="24"/>
        </w:rPr>
        <w:footnoteReference w:id="22"/>
      </w:r>
    </w:p>
    <w:p w14:paraId="2A42B6AB" w14:textId="032883F1" w:rsidR="005846E7" w:rsidRPr="005846E7" w:rsidRDefault="00241229" w:rsidP="1BC0107E">
      <w:pPr>
        <w:autoSpaceDE w:val="0"/>
        <w:autoSpaceDN w:val="0"/>
        <w:adjustRightInd w:val="0"/>
        <w:spacing w:after="0" w:line="360" w:lineRule="auto"/>
        <w:ind w:firstLine="720"/>
        <w:rPr>
          <w:rFonts w:ascii="Georgia" w:hAnsi="Georgia" w:cs="URWPalladioL-Ital"/>
          <w:color w:val="000000" w:themeColor="text1"/>
          <w:sz w:val="24"/>
          <w:szCs w:val="24"/>
        </w:rPr>
      </w:pPr>
      <w:r w:rsidRPr="1BC0107E">
        <w:rPr>
          <w:rFonts w:ascii="Georgia" w:hAnsi="Georgia" w:cs="Segoe UI"/>
          <w:sz w:val="24"/>
          <w:szCs w:val="24"/>
        </w:rPr>
        <w:t>There are however,</w:t>
      </w:r>
      <w:r w:rsidR="002B15AC" w:rsidRPr="1BC0107E">
        <w:rPr>
          <w:rFonts w:ascii="Georgia" w:hAnsi="Georgia" w:cs="Segoe UI"/>
          <w:sz w:val="24"/>
          <w:szCs w:val="24"/>
        </w:rPr>
        <w:t xml:space="preserve"> two </w:t>
      </w:r>
      <w:r w:rsidRPr="1BC0107E">
        <w:rPr>
          <w:rFonts w:ascii="Georgia" w:hAnsi="Georgia" w:cs="Segoe UI"/>
          <w:sz w:val="24"/>
          <w:szCs w:val="24"/>
        </w:rPr>
        <w:t xml:space="preserve">useful </w:t>
      </w:r>
      <w:r w:rsidR="002B15AC" w:rsidRPr="1BC0107E">
        <w:rPr>
          <w:rFonts w:ascii="Georgia" w:hAnsi="Georgia" w:cs="Segoe UI"/>
          <w:sz w:val="24"/>
          <w:szCs w:val="24"/>
        </w:rPr>
        <w:t>distinction</w:t>
      </w:r>
      <w:r w:rsidR="00291C68" w:rsidRPr="1BC0107E">
        <w:rPr>
          <w:rFonts w:ascii="Georgia" w:hAnsi="Georgia" w:cs="Segoe UI"/>
          <w:sz w:val="24"/>
          <w:szCs w:val="24"/>
        </w:rPr>
        <w:t>s</w:t>
      </w:r>
      <w:r w:rsidR="002B15AC" w:rsidRPr="1BC0107E">
        <w:rPr>
          <w:rFonts w:ascii="Georgia" w:hAnsi="Georgia" w:cs="Segoe UI"/>
          <w:sz w:val="24"/>
          <w:szCs w:val="24"/>
        </w:rPr>
        <w:t xml:space="preserve"> we would want to emphasize</w:t>
      </w:r>
      <w:r w:rsidR="00F30089" w:rsidRPr="1BC0107E">
        <w:rPr>
          <w:rFonts w:ascii="Georgia" w:hAnsi="Georgia" w:cs="Segoe UI"/>
          <w:sz w:val="24"/>
          <w:szCs w:val="24"/>
        </w:rPr>
        <w:t>.</w:t>
      </w:r>
      <w:r w:rsidR="34B8ED01" w:rsidRPr="1BC0107E">
        <w:rPr>
          <w:rFonts w:ascii="Georgia" w:hAnsi="Georgia" w:cs="Segoe UI"/>
          <w:sz w:val="24"/>
          <w:szCs w:val="24"/>
        </w:rPr>
        <w:t xml:space="preserve"> </w:t>
      </w:r>
    </w:p>
    <w:p w14:paraId="63086A40" w14:textId="1770F025" w:rsidR="005846E7" w:rsidRPr="005846E7" w:rsidRDefault="002B15AC" w:rsidP="008C667E">
      <w:pPr>
        <w:autoSpaceDE w:val="0"/>
        <w:autoSpaceDN w:val="0"/>
        <w:adjustRightInd w:val="0"/>
        <w:spacing w:after="0" w:line="360" w:lineRule="auto"/>
        <w:ind w:firstLine="720"/>
        <w:rPr>
          <w:rFonts w:ascii="Georgia" w:hAnsi="Georgia" w:cs="URWPalladioL-Ital"/>
          <w:color w:val="000000"/>
          <w:sz w:val="24"/>
          <w:szCs w:val="24"/>
        </w:rPr>
      </w:pPr>
      <w:r>
        <w:rPr>
          <w:rFonts w:ascii="Georgia" w:hAnsi="Georgia" w:cs="Segoe UI"/>
          <w:sz w:val="24"/>
          <w:szCs w:val="24"/>
        </w:rPr>
        <w:t xml:space="preserve">The first </w:t>
      </w:r>
      <w:r w:rsidR="00275315">
        <w:rPr>
          <w:rFonts w:ascii="Georgia" w:hAnsi="Georgia" w:cs="Segoe UI"/>
          <w:sz w:val="24"/>
          <w:szCs w:val="24"/>
        </w:rPr>
        <w:t xml:space="preserve">distinction </w:t>
      </w:r>
      <w:r>
        <w:rPr>
          <w:rFonts w:ascii="Georgia" w:hAnsi="Georgia" w:cs="Segoe UI"/>
          <w:sz w:val="24"/>
          <w:szCs w:val="24"/>
        </w:rPr>
        <w:t xml:space="preserve">is </w:t>
      </w:r>
      <w:r w:rsidR="00751E3A">
        <w:rPr>
          <w:rFonts w:ascii="Georgia" w:hAnsi="Georgia" w:cs="Segoe UI"/>
          <w:sz w:val="24"/>
          <w:szCs w:val="24"/>
        </w:rPr>
        <w:t xml:space="preserve">between </w:t>
      </w:r>
      <w:r w:rsidR="00B4766A">
        <w:rPr>
          <w:rFonts w:ascii="Georgia" w:hAnsi="Georgia" w:cs="Segoe UI"/>
          <w:sz w:val="24"/>
          <w:szCs w:val="24"/>
        </w:rPr>
        <w:t>very general</w:t>
      </w:r>
      <w:r w:rsidR="00751E3A">
        <w:rPr>
          <w:rFonts w:ascii="Georgia" w:hAnsi="Georgia" w:cs="Segoe UI"/>
          <w:sz w:val="24"/>
          <w:szCs w:val="24"/>
        </w:rPr>
        <w:t xml:space="preserve"> notions of community of interest</w:t>
      </w:r>
      <w:r w:rsidR="001553F4">
        <w:rPr>
          <w:rFonts w:ascii="Georgia" w:hAnsi="Georgia" w:cs="Segoe UI"/>
          <w:sz w:val="24"/>
          <w:szCs w:val="24"/>
        </w:rPr>
        <w:t xml:space="preserve"> </w:t>
      </w:r>
      <w:r w:rsidR="00B4766A">
        <w:rPr>
          <w:rStyle w:val="FootnoteReference"/>
          <w:rFonts w:ascii="Georgia" w:hAnsi="Georgia"/>
          <w:sz w:val="24"/>
          <w:szCs w:val="24"/>
        </w:rPr>
        <w:footnoteReference w:id="23"/>
      </w:r>
      <w:r w:rsidR="00D559A9">
        <w:rPr>
          <w:rFonts w:ascii="Georgia" w:eastAsia="Times New Roman" w:hAnsi="Georgia"/>
          <w:sz w:val="24"/>
          <w:szCs w:val="24"/>
        </w:rPr>
        <w:t xml:space="preserve"> </w:t>
      </w:r>
      <w:r w:rsidR="00B4766A">
        <w:rPr>
          <w:rFonts w:ascii="Georgia" w:hAnsi="Georgia" w:cs="Segoe UI"/>
          <w:sz w:val="24"/>
          <w:szCs w:val="24"/>
        </w:rPr>
        <w:t xml:space="preserve">and definitions that are specifically tied to </w:t>
      </w:r>
      <w:r>
        <w:rPr>
          <w:rFonts w:ascii="Georgia" w:hAnsi="Georgia" w:cs="Segoe UI"/>
          <w:sz w:val="24"/>
          <w:szCs w:val="24"/>
        </w:rPr>
        <w:t>communities that are territorially defined</w:t>
      </w:r>
      <w:r w:rsidRPr="005846E7">
        <w:rPr>
          <w:rFonts w:ascii="Georgia" w:hAnsi="Georgia" w:cs="Segoe UI"/>
          <w:sz w:val="24"/>
          <w:szCs w:val="24"/>
        </w:rPr>
        <w:t>.</w:t>
      </w:r>
      <w:r w:rsidR="00434677">
        <w:rPr>
          <w:rFonts w:ascii="Georgia" w:hAnsi="Georgia" w:cs="Segoe UI"/>
          <w:sz w:val="24"/>
          <w:szCs w:val="24"/>
        </w:rPr>
        <w:t xml:space="preserve"> </w:t>
      </w:r>
      <w:r w:rsidR="005846E7" w:rsidRPr="005846E7">
        <w:rPr>
          <w:rFonts w:ascii="Georgia" w:hAnsi="Georgia" w:cs="URWPalladioL-Roma"/>
          <w:color w:val="4D4D4D"/>
          <w:sz w:val="24"/>
          <w:szCs w:val="24"/>
        </w:rPr>
        <w:t xml:space="preserve">Stephanopoulos </w:t>
      </w:r>
      <w:r w:rsidR="00241229">
        <w:rPr>
          <w:rFonts w:ascii="Georgia" w:hAnsi="Georgia" w:cs="URWPalladioL-Roma"/>
          <w:color w:val="4D4D4D"/>
          <w:sz w:val="24"/>
          <w:szCs w:val="24"/>
        </w:rPr>
        <w:t>(</w:t>
      </w:r>
      <w:r w:rsidR="005846E7" w:rsidRPr="005846E7">
        <w:rPr>
          <w:rFonts w:ascii="Georgia" w:hAnsi="Georgia" w:cs="URWPalladioL-Roma"/>
          <w:color w:val="4D4D4D"/>
          <w:sz w:val="24"/>
          <w:szCs w:val="24"/>
        </w:rPr>
        <w:t>2012</w:t>
      </w:r>
      <w:r w:rsidR="005846E7" w:rsidRPr="005846E7">
        <w:rPr>
          <w:rFonts w:ascii="Georgia" w:hAnsi="Georgia" w:cs="URWPalladioL-Ital"/>
          <w:color w:val="4D4D4D"/>
          <w:sz w:val="24"/>
          <w:szCs w:val="24"/>
        </w:rPr>
        <w:t>a</w:t>
      </w:r>
      <w:r w:rsidR="005846E7" w:rsidRPr="005846E7">
        <w:rPr>
          <w:rFonts w:ascii="Georgia" w:hAnsi="Georgia" w:cs="URWPalladioL-Roma"/>
          <w:color w:val="000000"/>
          <w:sz w:val="24"/>
          <w:szCs w:val="24"/>
        </w:rPr>
        <w:t xml:space="preserve">) uses the term </w:t>
      </w:r>
      <w:r w:rsidR="005846E7" w:rsidRPr="489FFC7A">
        <w:rPr>
          <w:rFonts w:ascii="Georgia" w:hAnsi="Georgia" w:cs="URWPalladioL-Ital"/>
          <w:i/>
          <w:iCs/>
          <w:color w:val="000000"/>
          <w:sz w:val="24"/>
          <w:szCs w:val="24"/>
        </w:rPr>
        <w:t>territorial community</w:t>
      </w:r>
      <w:r w:rsidR="005846E7" w:rsidRPr="005846E7">
        <w:rPr>
          <w:rFonts w:ascii="Georgia" w:hAnsi="Georgia" w:cs="URWPalladioL-Ital"/>
          <w:color w:val="000000"/>
          <w:sz w:val="24"/>
          <w:szCs w:val="24"/>
        </w:rPr>
        <w:t xml:space="preserve"> </w:t>
      </w:r>
      <w:r w:rsidR="005846E7" w:rsidRPr="005846E7">
        <w:rPr>
          <w:rFonts w:ascii="Georgia" w:hAnsi="Georgia" w:cs="URWPalladioL-Roma"/>
          <w:color w:val="000000"/>
          <w:sz w:val="24"/>
          <w:szCs w:val="24"/>
        </w:rPr>
        <w:t xml:space="preserve">instead of the more common </w:t>
      </w:r>
      <w:r w:rsidR="005846E7" w:rsidRPr="489FFC7A">
        <w:rPr>
          <w:rFonts w:ascii="Georgia" w:hAnsi="Georgia" w:cs="URWPalladioL-Ital"/>
          <w:i/>
          <w:iCs/>
          <w:color w:val="000000"/>
          <w:sz w:val="24"/>
          <w:szCs w:val="24"/>
        </w:rPr>
        <w:t>community of interest</w:t>
      </w:r>
      <w:r w:rsidR="005846E7" w:rsidRPr="005846E7">
        <w:rPr>
          <w:rFonts w:ascii="Georgia" w:hAnsi="Georgia" w:cs="URWPalladioL-Roma"/>
          <w:color w:val="000000"/>
          <w:sz w:val="24"/>
          <w:szCs w:val="24"/>
        </w:rPr>
        <w:t>, explaining: “a community of interest does not have to be spatially bounded, meaning that</w:t>
      </w:r>
      <w:r w:rsidR="005846E7">
        <w:rPr>
          <w:rFonts w:ascii="Georgia" w:hAnsi="Georgia" w:cs="URWPalladioL-Ital"/>
          <w:color w:val="000000"/>
          <w:sz w:val="24"/>
          <w:szCs w:val="24"/>
        </w:rPr>
        <w:t xml:space="preserve"> </w:t>
      </w:r>
      <w:r w:rsidR="005846E7" w:rsidRPr="005846E7">
        <w:rPr>
          <w:rFonts w:ascii="Georgia" w:hAnsi="Georgia" w:cs="URWPalladioL-Roma"/>
          <w:color w:val="000000"/>
          <w:sz w:val="24"/>
          <w:szCs w:val="24"/>
        </w:rPr>
        <w:t>it coexists uneasily with the American system of geographic districting. In addition, a community</w:t>
      </w:r>
      <w:r w:rsidR="005846E7">
        <w:rPr>
          <w:rFonts w:ascii="Georgia" w:hAnsi="Georgia" w:cs="URWPalladioL-Ital"/>
          <w:color w:val="000000"/>
          <w:sz w:val="24"/>
          <w:szCs w:val="24"/>
        </w:rPr>
        <w:t xml:space="preserve"> </w:t>
      </w:r>
      <w:r w:rsidR="005846E7" w:rsidRPr="005846E7">
        <w:rPr>
          <w:rFonts w:ascii="Georgia" w:hAnsi="Georgia" w:cs="URWPalladioL-Roma"/>
          <w:color w:val="000000"/>
          <w:sz w:val="24"/>
          <w:szCs w:val="24"/>
        </w:rPr>
        <w:t xml:space="preserve">of interest can be deemed to arise </w:t>
      </w:r>
      <w:proofErr w:type="gramStart"/>
      <w:r w:rsidR="005846E7" w:rsidRPr="005846E7">
        <w:rPr>
          <w:rFonts w:ascii="Georgia" w:hAnsi="Georgia" w:cs="URWPalladioL-Roma"/>
          <w:color w:val="000000"/>
          <w:sz w:val="24"/>
          <w:szCs w:val="24"/>
        </w:rPr>
        <w:t>on the basis of</w:t>
      </w:r>
      <w:proofErr w:type="gramEnd"/>
      <w:r w:rsidR="005846E7" w:rsidRPr="005846E7">
        <w:rPr>
          <w:rFonts w:ascii="Georgia" w:hAnsi="Georgia" w:cs="URWPalladioL-Roma"/>
          <w:color w:val="000000"/>
          <w:sz w:val="24"/>
          <w:szCs w:val="24"/>
        </w:rPr>
        <w:t xml:space="preserve"> any common concern, making the term notably</w:t>
      </w:r>
      <w:r w:rsidR="005846E7">
        <w:rPr>
          <w:rFonts w:ascii="Georgia" w:hAnsi="Georgia" w:cs="URWPalladioL-Ital"/>
          <w:color w:val="000000"/>
          <w:sz w:val="24"/>
          <w:szCs w:val="24"/>
        </w:rPr>
        <w:t xml:space="preserve"> i</w:t>
      </w:r>
      <w:r w:rsidR="005846E7" w:rsidRPr="005846E7">
        <w:rPr>
          <w:rFonts w:ascii="Georgia" w:hAnsi="Georgia" w:cs="URWPalladioL-Roma"/>
          <w:color w:val="000000"/>
          <w:sz w:val="24"/>
          <w:szCs w:val="24"/>
        </w:rPr>
        <w:t>mprecise and malleable.”</w:t>
      </w:r>
      <w:r w:rsidR="00072DAB">
        <w:rPr>
          <w:rStyle w:val="FootnoteReference"/>
          <w:rFonts w:ascii="Georgia" w:hAnsi="Georgia" w:cs="URWPalladioL-Roma"/>
          <w:color w:val="000000"/>
          <w:sz w:val="24"/>
          <w:szCs w:val="24"/>
        </w:rPr>
        <w:footnoteReference w:id="24"/>
      </w:r>
    </w:p>
    <w:p w14:paraId="15CD9915" w14:textId="665BFC0D" w:rsidR="008A3BB1" w:rsidRDefault="002B15AC" w:rsidP="008A3BB1">
      <w:pPr>
        <w:spacing w:line="360" w:lineRule="auto"/>
        <w:ind w:firstLine="720"/>
        <w:rPr>
          <w:rFonts w:ascii="Georgia" w:hAnsi="Georgia"/>
          <w:sz w:val="24"/>
          <w:szCs w:val="24"/>
        </w:rPr>
      </w:pPr>
      <w:r w:rsidRPr="00BD7F2E">
        <w:rPr>
          <w:rFonts w:ascii="Georgia" w:hAnsi="Georgia"/>
          <w:sz w:val="24"/>
          <w:szCs w:val="24"/>
        </w:rPr>
        <w:t xml:space="preserve">The second distinction is among territorially defined communities. That distinction is between communities whose inclusion or exclusion may </w:t>
      </w:r>
      <w:r w:rsidR="005846E7" w:rsidRPr="00BD7F2E">
        <w:rPr>
          <w:rFonts w:ascii="Georgia" w:hAnsi="Georgia"/>
          <w:sz w:val="24"/>
          <w:szCs w:val="24"/>
        </w:rPr>
        <w:t xml:space="preserve">directly </w:t>
      </w:r>
      <w:r w:rsidRPr="00BD7F2E">
        <w:rPr>
          <w:rFonts w:ascii="Georgia" w:hAnsi="Georgia"/>
          <w:sz w:val="24"/>
          <w:szCs w:val="24"/>
        </w:rPr>
        <w:t xml:space="preserve">raise </w:t>
      </w:r>
      <w:r w:rsidR="00B4766A" w:rsidRPr="00BD7F2E">
        <w:rPr>
          <w:rFonts w:ascii="Georgia" w:hAnsi="Georgia"/>
          <w:sz w:val="24"/>
          <w:szCs w:val="24"/>
        </w:rPr>
        <w:t>legal issues</w:t>
      </w:r>
      <w:r w:rsidRPr="00BD7F2E">
        <w:rPr>
          <w:rFonts w:ascii="Georgia" w:hAnsi="Georgia"/>
          <w:sz w:val="24"/>
          <w:szCs w:val="24"/>
        </w:rPr>
        <w:t>,</w:t>
      </w:r>
      <w:r w:rsidR="00D559A9" w:rsidRPr="00BD7F2E">
        <w:rPr>
          <w:rFonts w:ascii="Georgia" w:hAnsi="Georgia"/>
          <w:sz w:val="24"/>
          <w:szCs w:val="24"/>
        </w:rPr>
        <w:t xml:space="preserve"> </w:t>
      </w:r>
      <w:r w:rsidRPr="00BD7F2E">
        <w:rPr>
          <w:rFonts w:ascii="Georgia" w:hAnsi="Georgia"/>
          <w:sz w:val="24"/>
          <w:szCs w:val="24"/>
        </w:rPr>
        <w:t>e.g., about</w:t>
      </w:r>
      <w:r w:rsidR="00D559A9" w:rsidRPr="00BD7F2E">
        <w:rPr>
          <w:rFonts w:ascii="Georgia" w:hAnsi="Georgia"/>
          <w:sz w:val="24"/>
          <w:szCs w:val="24"/>
        </w:rPr>
        <w:t xml:space="preserve"> </w:t>
      </w:r>
      <w:r w:rsidRPr="00BD7F2E">
        <w:rPr>
          <w:rFonts w:ascii="Georgia" w:hAnsi="Georgia"/>
          <w:sz w:val="24"/>
          <w:szCs w:val="24"/>
        </w:rPr>
        <w:t>racial vote dilution, or about commonality</w:t>
      </w:r>
      <w:r w:rsidR="00B4766A" w:rsidRPr="00BD7F2E">
        <w:rPr>
          <w:rFonts w:ascii="Georgia" w:hAnsi="Georgia"/>
          <w:sz w:val="24"/>
          <w:szCs w:val="24"/>
        </w:rPr>
        <w:t xml:space="preserve"> </w:t>
      </w:r>
      <w:r w:rsidRPr="00BD7F2E">
        <w:rPr>
          <w:rFonts w:ascii="Georgia" w:hAnsi="Georgia"/>
          <w:sz w:val="24"/>
          <w:szCs w:val="24"/>
        </w:rPr>
        <w:t>of</w:t>
      </w:r>
      <w:r w:rsidR="00D559A9" w:rsidRPr="00BD7F2E">
        <w:rPr>
          <w:rFonts w:ascii="Georgia" w:hAnsi="Georgia"/>
          <w:sz w:val="24"/>
          <w:szCs w:val="24"/>
        </w:rPr>
        <w:t xml:space="preserve"> </w:t>
      </w:r>
      <w:r w:rsidR="00B4766A" w:rsidRPr="00BD7F2E">
        <w:rPr>
          <w:rFonts w:ascii="Georgia" w:hAnsi="Georgia"/>
          <w:sz w:val="24"/>
          <w:szCs w:val="24"/>
        </w:rPr>
        <w:t>political interests</w:t>
      </w:r>
      <w:r w:rsidR="005846E7" w:rsidRPr="00BD7F2E">
        <w:rPr>
          <w:rFonts w:ascii="Georgia" w:hAnsi="Georgia"/>
          <w:sz w:val="24"/>
          <w:szCs w:val="24"/>
        </w:rPr>
        <w:t xml:space="preserve">, and other types of communities where the implications of commonality are of less clear legal </w:t>
      </w:r>
      <w:r w:rsidR="00241229" w:rsidRPr="000A40DB">
        <w:rPr>
          <w:rFonts w:ascii="Georgia" w:hAnsi="Georgia"/>
          <w:sz w:val="24"/>
          <w:szCs w:val="24"/>
        </w:rPr>
        <w:t>or political</w:t>
      </w:r>
      <w:r w:rsidR="00241229">
        <w:rPr>
          <w:rFonts w:ascii="Georgia" w:hAnsi="Georgia"/>
          <w:sz w:val="24"/>
          <w:szCs w:val="24"/>
        </w:rPr>
        <w:t xml:space="preserve"> </w:t>
      </w:r>
      <w:r w:rsidR="005846E7" w:rsidRPr="00BD7F2E">
        <w:rPr>
          <w:rFonts w:ascii="Georgia" w:hAnsi="Georgia"/>
          <w:sz w:val="24"/>
          <w:szCs w:val="24"/>
        </w:rPr>
        <w:t>relevance.</w:t>
      </w:r>
      <w:r w:rsidR="0063454F" w:rsidRPr="00BD7F2E">
        <w:rPr>
          <w:rStyle w:val="FootnoteReference"/>
          <w:rFonts w:ascii="Georgia" w:hAnsi="Georgia" w:cs="Segoe UI"/>
          <w:sz w:val="24"/>
          <w:szCs w:val="24"/>
        </w:rPr>
        <w:footnoteReference w:id="25"/>
      </w:r>
      <w:r w:rsidR="00D559A9" w:rsidRPr="00BD7F2E">
        <w:rPr>
          <w:rFonts w:ascii="Georgia" w:hAnsi="Georgia"/>
          <w:sz w:val="24"/>
          <w:szCs w:val="24"/>
        </w:rPr>
        <w:t xml:space="preserve"> </w:t>
      </w:r>
      <w:r w:rsidRPr="00BD7F2E">
        <w:rPr>
          <w:rFonts w:ascii="Georgia" w:hAnsi="Georgia"/>
          <w:sz w:val="24"/>
          <w:szCs w:val="24"/>
        </w:rPr>
        <w:t xml:space="preserve">With respect to </w:t>
      </w:r>
      <w:r w:rsidR="001F20C7" w:rsidRPr="00BD7F2E">
        <w:rPr>
          <w:rFonts w:ascii="Georgia" w:hAnsi="Georgia"/>
          <w:sz w:val="24"/>
          <w:szCs w:val="24"/>
        </w:rPr>
        <w:t>this second distinction</w:t>
      </w:r>
      <w:r w:rsidRPr="00BD7F2E">
        <w:rPr>
          <w:rFonts w:ascii="Georgia" w:hAnsi="Georgia"/>
          <w:sz w:val="24"/>
          <w:szCs w:val="24"/>
        </w:rPr>
        <w:t>, we</w:t>
      </w:r>
      <w:r w:rsidR="00B4766A" w:rsidRPr="00BD7F2E">
        <w:rPr>
          <w:rFonts w:ascii="Georgia" w:hAnsi="Georgia"/>
          <w:sz w:val="24"/>
          <w:szCs w:val="24"/>
        </w:rPr>
        <w:t xml:space="preserve"> would </w:t>
      </w:r>
      <w:r w:rsidRPr="00BD7F2E">
        <w:rPr>
          <w:rFonts w:ascii="Georgia" w:hAnsi="Georgia"/>
          <w:sz w:val="24"/>
          <w:szCs w:val="24"/>
        </w:rPr>
        <w:t xml:space="preserve">particularly </w:t>
      </w:r>
      <w:r w:rsidR="00B4766A" w:rsidRPr="00BD7F2E">
        <w:rPr>
          <w:rFonts w:ascii="Georgia" w:hAnsi="Georgia"/>
          <w:sz w:val="24"/>
          <w:szCs w:val="24"/>
        </w:rPr>
        <w:t xml:space="preserve">call attention to the work of </w:t>
      </w:r>
      <w:proofErr w:type="spellStart"/>
      <w:r w:rsidR="00B4766A" w:rsidRPr="00BD7F2E">
        <w:rPr>
          <w:rFonts w:ascii="Georgia" w:hAnsi="Georgia"/>
          <w:sz w:val="24"/>
          <w:szCs w:val="24"/>
        </w:rPr>
        <w:t>Koetzle</w:t>
      </w:r>
      <w:proofErr w:type="spellEnd"/>
      <w:r w:rsidR="00B4766A" w:rsidRPr="00BD7F2E">
        <w:rPr>
          <w:rFonts w:ascii="Georgia" w:hAnsi="Georgia"/>
          <w:sz w:val="24"/>
          <w:szCs w:val="24"/>
        </w:rPr>
        <w:t xml:space="preserve"> (</w:t>
      </w:r>
      <w:r w:rsidRPr="00BD7F2E">
        <w:rPr>
          <w:rFonts w:ascii="Georgia" w:hAnsi="Georgia"/>
          <w:sz w:val="24"/>
          <w:szCs w:val="24"/>
        </w:rPr>
        <w:t>1998). He identifies five features of a district population that are specifically relevant to</w:t>
      </w:r>
      <w:r w:rsidR="00D559A9" w:rsidRPr="00BD7F2E">
        <w:rPr>
          <w:rFonts w:ascii="Georgia" w:hAnsi="Georgia"/>
          <w:sz w:val="24"/>
          <w:szCs w:val="24"/>
        </w:rPr>
        <w:t xml:space="preserve"> </w:t>
      </w:r>
      <w:r w:rsidRPr="00BD7F2E">
        <w:rPr>
          <w:rFonts w:ascii="Georgia" w:hAnsi="Georgia"/>
          <w:sz w:val="24"/>
          <w:szCs w:val="24"/>
        </w:rPr>
        <w:t>our ability to predict the district’s partisan proclivities.</w:t>
      </w:r>
      <w:r w:rsidR="00D559A9" w:rsidRPr="00BD7F2E">
        <w:rPr>
          <w:rFonts w:ascii="Georgia" w:hAnsi="Georgia"/>
          <w:sz w:val="24"/>
          <w:szCs w:val="24"/>
        </w:rPr>
        <w:t xml:space="preserve"> </w:t>
      </w:r>
      <w:r w:rsidRPr="00BD7F2E">
        <w:rPr>
          <w:rFonts w:ascii="Georgia" w:hAnsi="Georgia"/>
          <w:sz w:val="24"/>
          <w:szCs w:val="24"/>
        </w:rPr>
        <w:t>We would also call attention to the work of</w:t>
      </w:r>
      <w:r w:rsidR="00D559A9" w:rsidRPr="00BD7F2E">
        <w:rPr>
          <w:rFonts w:ascii="Georgia" w:hAnsi="Georgia"/>
          <w:sz w:val="24"/>
          <w:szCs w:val="24"/>
        </w:rPr>
        <w:t xml:space="preserve"> </w:t>
      </w:r>
      <w:r w:rsidR="00201E5B" w:rsidRPr="00BD7F2E">
        <w:rPr>
          <w:rFonts w:ascii="Georgia" w:hAnsi="Georgia"/>
          <w:sz w:val="24"/>
          <w:szCs w:val="24"/>
        </w:rPr>
        <w:t xml:space="preserve">Brace, </w:t>
      </w:r>
      <w:proofErr w:type="spellStart"/>
      <w:r w:rsidR="00201E5B" w:rsidRPr="00BD7F2E">
        <w:rPr>
          <w:rFonts w:ascii="Georgia" w:hAnsi="Georgia"/>
          <w:sz w:val="24"/>
          <w:szCs w:val="24"/>
        </w:rPr>
        <w:t>Grofman</w:t>
      </w:r>
      <w:proofErr w:type="spellEnd"/>
      <w:r w:rsidR="00201E5B" w:rsidRPr="00BD7F2E">
        <w:rPr>
          <w:rFonts w:ascii="Georgia" w:hAnsi="Georgia"/>
          <w:sz w:val="24"/>
          <w:szCs w:val="24"/>
        </w:rPr>
        <w:t>, and Handley (19</w:t>
      </w:r>
      <w:r w:rsidR="5744EBE1" w:rsidRPr="00BD7F2E">
        <w:rPr>
          <w:rFonts w:ascii="Georgia" w:hAnsi="Georgia"/>
          <w:sz w:val="24"/>
          <w:szCs w:val="24"/>
        </w:rPr>
        <w:t>8</w:t>
      </w:r>
      <w:r w:rsidR="00201E5B" w:rsidRPr="00BD7F2E">
        <w:rPr>
          <w:rFonts w:ascii="Georgia" w:hAnsi="Georgia"/>
          <w:sz w:val="24"/>
          <w:szCs w:val="24"/>
        </w:rPr>
        <w:t xml:space="preserve">7), </w:t>
      </w:r>
      <w:proofErr w:type="spellStart"/>
      <w:r w:rsidRPr="00BD7F2E">
        <w:rPr>
          <w:rFonts w:ascii="Georgia" w:hAnsi="Georgia"/>
          <w:sz w:val="24"/>
          <w:szCs w:val="24"/>
        </w:rPr>
        <w:t>Grofman</w:t>
      </w:r>
      <w:proofErr w:type="spellEnd"/>
      <w:r w:rsidRPr="00BD7F2E">
        <w:rPr>
          <w:rFonts w:ascii="Georgia" w:hAnsi="Georgia"/>
          <w:sz w:val="24"/>
          <w:szCs w:val="24"/>
        </w:rPr>
        <w:t>, Handley and Lublin (2001</w:t>
      </w:r>
      <w:r w:rsidR="00201E5B" w:rsidRPr="00BD7F2E">
        <w:rPr>
          <w:rFonts w:ascii="Georgia" w:hAnsi="Georgia"/>
          <w:sz w:val="24"/>
          <w:szCs w:val="24"/>
        </w:rPr>
        <w:t>)</w:t>
      </w:r>
      <w:r w:rsidR="00384E81">
        <w:rPr>
          <w:rFonts w:ascii="Georgia" w:hAnsi="Georgia"/>
          <w:sz w:val="24"/>
          <w:szCs w:val="24"/>
        </w:rPr>
        <w:t xml:space="preserve">; </w:t>
      </w:r>
      <w:proofErr w:type="spellStart"/>
      <w:r w:rsidR="00384E81" w:rsidRPr="1BC0107E">
        <w:rPr>
          <w:rFonts w:ascii="Georgia" w:hAnsi="Georgia"/>
          <w:sz w:val="24"/>
          <w:szCs w:val="24"/>
        </w:rPr>
        <w:t>Gimpel</w:t>
      </w:r>
      <w:proofErr w:type="spellEnd"/>
      <w:r w:rsidR="00384E81" w:rsidRPr="1BC0107E">
        <w:rPr>
          <w:rFonts w:ascii="Georgia" w:hAnsi="Georgia"/>
          <w:sz w:val="24"/>
          <w:szCs w:val="24"/>
        </w:rPr>
        <w:t xml:space="preserve">, </w:t>
      </w:r>
      <w:proofErr w:type="spellStart"/>
      <w:r w:rsidR="00384E81" w:rsidRPr="1BC0107E">
        <w:rPr>
          <w:rFonts w:ascii="Georgia" w:hAnsi="Georgia"/>
          <w:sz w:val="24"/>
          <w:szCs w:val="24"/>
        </w:rPr>
        <w:t>Harbridge</w:t>
      </w:r>
      <w:proofErr w:type="spellEnd"/>
      <w:r w:rsidR="00384E81" w:rsidRPr="1BC0107E">
        <w:rPr>
          <w:rFonts w:ascii="Georgia" w:hAnsi="Georgia"/>
          <w:sz w:val="24"/>
          <w:szCs w:val="24"/>
        </w:rPr>
        <w:t xml:space="preserve"> and Yong (2</w:t>
      </w:r>
      <w:r w:rsidR="338EDB04" w:rsidRPr="1BC0107E">
        <w:rPr>
          <w:rFonts w:ascii="Georgia" w:hAnsi="Georgia"/>
          <w:sz w:val="24"/>
          <w:szCs w:val="24"/>
        </w:rPr>
        <w:t>020</w:t>
      </w:r>
      <w:r w:rsidR="00384E81" w:rsidRPr="1BC0107E">
        <w:rPr>
          <w:rFonts w:ascii="Georgia" w:hAnsi="Georgia"/>
          <w:sz w:val="24"/>
          <w:szCs w:val="24"/>
        </w:rPr>
        <w:t>)</w:t>
      </w:r>
      <w:r w:rsidR="00384E81">
        <w:rPr>
          <w:rFonts w:ascii="Georgia" w:hAnsi="Georgia"/>
          <w:sz w:val="24"/>
          <w:szCs w:val="24"/>
        </w:rPr>
        <w:t xml:space="preserve">, </w:t>
      </w:r>
      <w:r w:rsidR="00201E5B" w:rsidRPr="00BD7F2E">
        <w:rPr>
          <w:rFonts w:ascii="Georgia" w:hAnsi="Georgia"/>
          <w:sz w:val="24"/>
          <w:szCs w:val="24"/>
        </w:rPr>
        <w:t>and</w:t>
      </w:r>
      <w:r w:rsidRPr="00BD7F2E">
        <w:rPr>
          <w:rFonts w:ascii="Georgia" w:hAnsi="Georgia"/>
          <w:sz w:val="24"/>
          <w:szCs w:val="24"/>
        </w:rPr>
        <w:t xml:space="preserve"> Lublin et al (2020) about the link between</w:t>
      </w:r>
      <w:r w:rsidR="00201E5B" w:rsidRPr="00BD7F2E">
        <w:rPr>
          <w:rFonts w:ascii="Georgia" w:hAnsi="Georgia"/>
          <w:sz w:val="24"/>
          <w:szCs w:val="24"/>
        </w:rPr>
        <w:t xml:space="preserve"> racial representation and partisan representation.</w:t>
      </w:r>
    </w:p>
    <w:p w14:paraId="7AF635C7" w14:textId="06A65955" w:rsidR="1E9CA6D6" w:rsidRDefault="1E9CA6D6" w:rsidP="1E9CA6D6">
      <w:pPr>
        <w:spacing w:line="360" w:lineRule="auto"/>
        <w:ind w:firstLine="720"/>
        <w:rPr>
          <w:rFonts w:ascii="Georgia" w:hAnsi="Georgia"/>
          <w:sz w:val="24"/>
          <w:szCs w:val="24"/>
        </w:rPr>
      </w:pPr>
    </w:p>
    <w:p w14:paraId="68CFCE11" w14:textId="17631A65" w:rsidR="008A3BB1" w:rsidRPr="008A3BB1" w:rsidRDefault="008A3BB1" w:rsidP="008A3BB1">
      <w:pPr>
        <w:pStyle w:val="Heading2"/>
        <w:rPr>
          <w:rFonts w:cs="Times New Roman"/>
          <w:i/>
          <w:iCs/>
        </w:rPr>
      </w:pPr>
      <w:r w:rsidRPr="1E9CA6D6">
        <w:rPr>
          <w:i/>
          <w:iCs/>
        </w:rPr>
        <w:t>Conclusion</w:t>
      </w:r>
    </w:p>
    <w:p w14:paraId="62022D10" w14:textId="069B7B60" w:rsidR="1E9CA6D6" w:rsidRDefault="1E9CA6D6" w:rsidP="1E9CA6D6"/>
    <w:p w14:paraId="1228A105" w14:textId="77777777" w:rsidR="008A3BB1" w:rsidRDefault="00203572" w:rsidP="008A3BB1">
      <w:pPr>
        <w:autoSpaceDE w:val="0"/>
        <w:autoSpaceDN w:val="0"/>
        <w:adjustRightInd w:val="0"/>
        <w:spacing w:after="0" w:line="360" w:lineRule="auto"/>
        <w:ind w:firstLine="720"/>
        <w:rPr>
          <w:rFonts w:ascii="Georgia" w:eastAsia="Times New Roman" w:hAnsi="Georgia" w:cs="Segoe UI"/>
          <w:sz w:val="24"/>
          <w:szCs w:val="24"/>
        </w:rPr>
      </w:pPr>
      <w:r>
        <w:rPr>
          <w:rFonts w:ascii="Georgia" w:hAnsi="Georgia"/>
          <w:sz w:val="24"/>
          <w:szCs w:val="24"/>
          <w:lang w:bidi="th-TH"/>
        </w:rPr>
        <w:t>W</w:t>
      </w:r>
      <w:r w:rsidR="00453D8A">
        <w:rPr>
          <w:rFonts w:ascii="Georgia" w:hAnsi="Georgia"/>
          <w:sz w:val="24"/>
          <w:szCs w:val="24"/>
          <w:lang w:bidi="th-TH"/>
        </w:rPr>
        <w:t xml:space="preserve">e have argued that the </w:t>
      </w:r>
      <w:r w:rsidR="00453D8A" w:rsidRPr="1BC0107E">
        <w:rPr>
          <w:rFonts w:ascii="Georgia" w:hAnsi="Georgia"/>
          <w:sz w:val="24"/>
          <w:szCs w:val="24"/>
          <w:lang w:bidi="th-TH"/>
        </w:rPr>
        <w:t>research design and the corresponding regression analyses</w:t>
      </w:r>
      <w:r w:rsidR="00453D8A">
        <w:rPr>
          <w:rFonts w:ascii="Georgia" w:hAnsi="Georgia"/>
          <w:sz w:val="24"/>
          <w:szCs w:val="24"/>
          <w:lang w:bidi="th-TH"/>
        </w:rPr>
        <w:t xml:space="preserve"> in Curiel and Steelman (2018, 2020)</w:t>
      </w:r>
      <w:r w:rsidR="00453D8A" w:rsidRPr="1BC0107E">
        <w:rPr>
          <w:rFonts w:ascii="Georgia" w:hAnsi="Georgia"/>
          <w:sz w:val="24"/>
          <w:szCs w:val="24"/>
          <w:lang w:bidi="th-TH"/>
        </w:rPr>
        <w:t xml:space="preserve">, though reflecting great sophistication in data gathering and careful use of control variables, is not really a direct test of the importance of split </w:t>
      </w:r>
      <w:r w:rsidR="00453D8A">
        <w:rPr>
          <w:rFonts w:ascii="Georgia" w:hAnsi="Georgia"/>
          <w:sz w:val="24"/>
          <w:szCs w:val="24"/>
          <w:lang w:bidi="th-TH"/>
        </w:rPr>
        <w:t>ZIP</w:t>
      </w:r>
      <w:r w:rsidR="00453D8A" w:rsidRPr="1BC0107E">
        <w:rPr>
          <w:rFonts w:ascii="Georgia" w:hAnsi="Georgia"/>
          <w:sz w:val="24"/>
          <w:szCs w:val="24"/>
          <w:lang w:bidi="th-TH"/>
        </w:rPr>
        <w:t xml:space="preserve"> codes for voter cognitions and legislator name recognition, and there may be factors not controlled for that might explain their regression results</w:t>
      </w:r>
      <w:r w:rsidR="00453D8A">
        <w:rPr>
          <w:rFonts w:ascii="Georgia" w:hAnsi="Georgia"/>
          <w:sz w:val="24"/>
          <w:szCs w:val="24"/>
          <w:lang w:bidi="th-TH"/>
        </w:rPr>
        <w:t xml:space="preserve">, </w:t>
      </w:r>
      <w:r w:rsidR="00453D8A" w:rsidRPr="1BC0107E">
        <w:rPr>
          <w:rFonts w:ascii="Georgia" w:hAnsi="Georgia" w:cs="AdvPSA88A"/>
          <w:sz w:val="24"/>
          <w:szCs w:val="24"/>
        </w:rPr>
        <w:t xml:space="preserve">such as splitting cities or </w:t>
      </w:r>
      <w:r w:rsidR="00453D8A">
        <w:rPr>
          <w:rFonts w:ascii="Georgia" w:hAnsi="Georgia" w:cs="AdvPSA88A"/>
          <w:sz w:val="24"/>
          <w:szCs w:val="24"/>
        </w:rPr>
        <w:t xml:space="preserve">counties, or </w:t>
      </w:r>
      <w:r w:rsidR="00453D8A" w:rsidRPr="1BC0107E">
        <w:rPr>
          <w:rFonts w:ascii="Georgia" w:hAnsi="Georgia" w:cs="AdvPSA88A"/>
          <w:sz w:val="24"/>
          <w:szCs w:val="24"/>
        </w:rPr>
        <w:t>fragmenting racial groups</w:t>
      </w:r>
      <w:r w:rsidR="00453D8A" w:rsidRPr="1BC0107E">
        <w:rPr>
          <w:rFonts w:ascii="Georgia" w:hAnsi="Georgia"/>
          <w:sz w:val="24"/>
          <w:szCs w:val="24"/>
          <w:lang w:bidi="th-TH"/>
        </w:rPr>
        <w:t>.</w:t>
      </w:r>
      <w:r w:rsidR="00453D8A">
        <w:rPr>
          <w:rFonts w:ascii="Georgia" w:hAnsi="Georgia"/>
          <w:sz w:val="24"/>
          <w:szCs w:val="24"/>
          <w:lang w:bidi="th-TH"/>
        </w:rPr>
        <w:t xml:space="preserve"> But </w:t>
      </w:r>
      <w:r w:rsidR="00453D8A" w:rsidRPr="5037D466">
        <w:rPr>
          <w:rFonts w:ascii="Georgia" w:hAnsi="Georgia"/>
          <w:sz w:val="24"/>
          <w:szCs w:val="24"/>
        </w:rPr>
        <w:t>w</w:t>
      </w:r>
      <w:r w:rsidR="009445E3" w:rsidRPr="5037D466">
        <w:rPr>
          <w:rFonts w:ascii="Georgia" w:hAnsi="Georgia"/>
          <w:sz w:val="24"/>
          <w:szCs w:val="24"/>
        </w:rPr>
        <w:t xml:space="preserve">e also do not want to be misinterpreted as having argued for the view that </w:t>
      </w:r>
      <w:r w:rsidR="00453D8A" w:rsidRPr="5037D466">
        <w:rPr>
          <w:rFonts w:ascii="Georgia" w:hAnsi="Georgia"/>
          <w:sz w:val="24"/>
          <w:szCs w:val="24"/>
        </w:rPr>
        <w:t>ZIP</w:t>
      </w:r>
      <w:r w:rsidR="009445E3" w:rsidRPr="5037D466">
        <w:rPr>
          <w:rFonts w:ascii="Georgia" w:hAnsi="Georgia"/>
          <w:sz w:val="24"/>
          <w:szCs w:val="24"/>
        </w:rPr>
        <w:t xml:space="preserve"> codes are fatally flawed for use in redistricting. Rather, we take the view that Curiel and Steelman have not provided compelling evidence in support of many of their key arguments in favor of </w:t>
      </w:r>
      <w:r w:rsidR="00453D8A" w:rsidRPr="5037D466">
        <w:rPr>
          <w:rFonts w:ascii="Georgia" w:hAnsi="Georgia"/>
          <w:sz w:val="24"/>
          <w:szCs w:val="24"/>
        </w:rPr>
        <w:t>ZIP</w:t>
      </w:r>
      <w:r w:rsidR="009445E3" w:rsidRPr="5037D466">
        <w:rPr>
          <w:rFonts w:ascii="Georgia" w:hAnsi="Georgia"/>
          <w:sz w:val="24"/>
          <w:szCs w:val="24"/>
        </w:rPr>
        <w:t xml:space="preserve"> code use. </w:t>
      </w:r>
      <w:r w:rsidR="00115898" w:rsidRPr="00115898">
        <w:rPr>
          <w:rFonts w:ascii="Georgia" w:hAnsi="Georgia"/>
          <w:sz w:val="24"/>
          <w:szCs w:val="24"/>
          <w:lang w:bidi="th-TH"/>
        </w:rPr>
        <w:t xml:space="preserve">In particular, they do not present direct evidence on their implicit claim </w:t>
      </w:r>
      <w:r w:rsidR="00115898" w:rsidRPr="00115898">
        <w:rPr>
          <w:rFonts w:ascii="Georgia" w:eastAsia="Times New Roman" w:hAnsi="Georgia" w:cs="Segoe UI"/>
          <w:sz w:val="24"/>
          <w:szCs w:val="24"/>
        </w:rPr>
        <w:t xml:space="preserve">that those who share a </w:t>
      </w:r>
      <w:r w:rsidR="0CB81345" w:rsidRPr="00115898">
        <w:rPr>
          <w:rFonts w:ascii="Georgia" w:eastAsia="Times New Roman" w:hAnsi="Georgia" w:cs="Segoe UI"/>
          <w:sz w:val="24"/>
          <w:szCs w:val="24"/>
        </w:rPr>
        <w:t xml:space="preserve">ZIP </w:t>
      </w:r>
      <w:r w:rsidR="00115898" w:rsidRPr="00115898">
        <w:rPr>
          <w:rFonts w:ascii="Georgia" w:eastAsia="Times New Roman" w:hAnsi="Georgia" w:cs="Segoe UI"/>
          <w:sz w:val="24"/>
          <w:szCs w:val="24"/>
        </w:rPr>
        <w:t>code</w:t>
      </w:r>
      <w:r w:rsidR="00115898" w:rsidRPr="00115898">
        <w:rPr>
          <w:rStyle w:val="FootnoteReference"/>
          <w:rFonts w:ascii="Georgia" w:eastAsia="Times New Roman" w:hAnsi="Georgia" w:cs="Segoe UI"/>
          <w:sz w:val="24"/>
          <w:szCs w:val="24"/>
        </w:rPr>
        <w:t xml:space="preserve"> </w:t>
      </w:r>
      <w:r w:rsidR="00115898" w:rsidRPr="00115898">
        <w:rPr>
          <w:rFonts w:ascii="Georgia" w:eastAsia="Times New Roman" w:hAnsi="Georgia" w:cs="Segoe UI"/>
          <w:sz w:val="24"/>
          <w:szCs w:val="24"/>
        </w:rPr>
        <w:t xml:space="preserve">share </w:t>
      </w:r>
      <w:r w:rsidR="00115898" w:rsidRPr="00115898">
        <w:rPr>
          <w:rFonts w:ascii="Georgia" w:eastAsia="Times New Roman" w:hAnsi="Georgia" w:cs="Segoe UI"/>
          <w:sz w:val="24"/>
          <w:szCs w:val="24"/>
          <w:u w:val="single"/>
        </w:rPr>
        <w:t>politically relevant</w:t>
      </w:r>
      <w:r w:rsidR="00115898" w:rsidRPr="00115898">
        <w:rPr>
          <w:rFonts w:ascii="Georgia" w:eastAsia="Times New Roman" w:hAnsi="Georgia" w:cs="Segoe UI"/>
          <w:sz w:val="24"/>
          <w:szCs w:val="24"/>
        </w:rPr>
        <w:t xml:space="preserve"> interests that make it more desirable to aggregate the inhabitants of a zip code within a single district than to use units such as census tracts</w:t>
      </w:r>
      <w:r w:rsidR="7A3F5448" w:rsidRPr="00115898">
        <w:rPr>
          <w:rFonts w:ascii="Georgia" w:eastAsia="Times New Roman" w:hAnsi="Georgia" w:cs="Segoe UI"/>
          <w:sz w:val="24"/>
          <w:szCs w:val="24"/>
        </w:rPr>
        <w:t xml:space="preserve">, </w:t>
      </w:r>
      <w:r w:rsidR="7A3F5448" w:rsidRPr="000D25EA">
        <w:rPr>
          <w:rFonts w:ascii="Georgia" w:eastAsia="Times New Roman" w:hAnsi="Georgia" w:cs="Segoe UI"/>
          <w:sz w:val="24"/>
          <w:szCs w:val="24"/>
        </w:rPr>
        <w:t>which nest within</w:t>
      </w:r>
      <w:r w:rsidR="00115898" w:rsidRPr="00115898">
        <w:rPr>
          <w:rFonts w:ascii="Georgia" w:eastAsia="Times New Roman" w:hAnsi="Georgia" w:cs="Segoe UI"/>
          <w:sz w:val="24"/>
          <w:szCs w:val="24"/>
        </w:rPr>
        <w:t xml:space="preserve"> count</w:t>
      </w:r>
      <w:r w:rsidR="32DF9C75" w:rsidRPr="00115898">
        <w:rPr>
          <w:rFonts w:ascii="Georgia" w:eastAsia="Times New Roman" w:hAnsi="Georgia" w:cs="Segoe UI"/>
          <w:sz w:val="24"/>
          <w:szCs w:val="24"/>
        </w:rPr>
        <w:t>ies</w:t>
      </w:r>
      <w:r w:rsidR="32DF9C75" w:rsidRPr="5037D466">
        <w:rPr>
          <w:rFonts w:ascii="Georgia" w:eastAsia="Times New Roman" w:hAnsi="Georgia" w:cs="Segoe UI"/>
          <w:b/>
          <w:bCs/>
          <w:sz w:val="24"/>
          <w:szCs w:val="24"/>
        </w:rPr>
        <w:t xml:space="preserve"> </w:t>
      </w:r>
      <w:r w:rsidR="32DF9C75" w:rsidRPr="000D25EA">
        <w:rPr>
          <w:rFonts w:ascii="Georgia" w:eastAsia="Times New Roman" w:hAnsi="Georgia" w:cs="Segoe UI"/>
          <w:sz w:val="24"/>
          <w:szCs w:val="24"/>
        </w:rPr>
        <w:t>and often cities</w:t>
      </w:r>
      <w:r w:rsidR="00115898" w:rsidRPr="00115898">
        <w:rPr>
          <w:rFonts w:ascii="Georgia" w:eastAsia="Times New Roman" w:hAnsi="Georgia" w:cs="Segoe UI"/>
          <w:sz w:val="24"/>
          <w:szCs w:val="24"/>
        </w:rPr>
        <w:t>.</w:t>
      </w:r>
      <w:r w:rsidR="00434677">
        <w:rPr>
          <w:rFonts w:ascii="Georgia" w:eastAsia="Times New Roman" w:hAnsi="Georgia" w:cs="Segoe UI"/>
          <w:sz w:val="24"/>
          <w:szCs w:val="24"/>
        </w:rPr>
        <w:t xml:space="preserve"> </w:t>
      </w:r>
      <w:r w:rsidR="000D25EA">
        <w:rPr>
          <w:rFonts w:ascii="Georgia" w:eastAsia="Times New Roman" w:hAnsi="Georgia" w:cs="Segoe UI"/>
          <w:sz w:val="24"/>
          <w:szCs w:val="24"/>
        </w:rPr>
        <w:t>But, a</w:t>
      </w:r>
      <w:r w:rsidR="00115898" w:rsidRPr="00115898">
        <w:rPr>
          <w:rFonts w:ascii="Georgia" w:eastAsia="Times New Roman" w:hAnsi="Georgia" w:cs="Segoe UI"/>
          <w:sz w:val="24"/>
          <w:szCs w:val="24"/>
        </w:rPr>
        <w:t>bsent empirical investigations well beyond the scope of the present note, we cannot rule out the possibility that such evidence could be educed</w:t>
      </w:r>
      <w:r w:rsidR="62C4475A" w:rsidRPr="00115898">
        <w:rPr>
          <w:rFonts w:ascii="Georgia" w:eastAsia="Times New Roman" w:hAnsi="Georgia" w:cs="Segoe UI"/>
          <w:sz w:val="24"/>
          <w:szCs w:val="24"/>
        </w:rPr>
        <w:t>.</w:t>
      </w:r>
    </w:p>
    <w:p w14:paraId="181E746F" w14:textId="0631974B" w:rsidR="00453D8A" w:rsidRPr="008A3BB1" w:rsidRDefault="009445E3" w:rsidP="008A3BB1">
      <w:pPr>
        <w:autoSpaceDE w:val="0"/>
        <w:autoSpaceDN w:val="0"/>
        <w:adjustRightInd w:val="0"/>
        <w:spacing w:after="0" w:line="360" w:lineRule="auto"/>
        <w:ind w:firstLine="720"/>
        <w:rPr>
          <w:rFonts w:ascii="Georgia" w:eastAsia="Times New Roman" w:hAnsi="Georgia" w:cs="Segoe UI"/>
          <w:sz w:val="24"/>
          <w:szCs w:val="24"/>
        </w:rPr>
      </w:pPr>
      <w:r>
        <w:rPr>
          <w:rFonts w:ascii="Georgia" w:hAnsi="Georgia"/>
          <w:sz w:val="24"/>
          <w:szCs w:val="24"/>
        </w:rPr>
        <w:t xml:space="preserve">The concept of </w:t>
      </w:r>
      <w:r w:rsidRPr="489FFC7A">
        <w:rPr>
          <w:rFonts w:ascii="Georgia" w:hAnsi="Georgia"/>
          <w:i/>
          <w:iCs/>
          <w:sz w:val="24"/>
          <w:szCs w:val="24"/>
        </w:rPr>
        <w:t>community of interest</w:t>
      </w:r>
      <w:r>
        <w:rPr>
          <w:rFonts w:ascii="Georgia" w:hAnsi="Georgia"/>
          <w:sz w:val="24"/>
          <w:szCs w:val="24"/>
        </w:rPr>
        <w:t xml:space="preserve"> </w:t>
      </w:r>
      <w:r w:rsidRPr="00AA68C1">
        <w:rPr>
          <w:rFonts w:ascii="Georgia" w:hAnsi="Georgia"/>
          <w:sz w:val="24"/>
          <w:szCs w:val="24"/>
        </w:rPr>
        <w:t>will be of even greater relevance in the 2020 round of districting than in the past.</w:t>
      </w:r>
      <w:r>
        <w:rPr>
          <w:rFonts w:ascii="Georgia" w:hAnsi="Georgia"/>
          <w:b/>
          <w:bCs/>
          <w:sz w:val="24"/>
          <w:szCs w:val="24"/>
        </w:rPr>
        <w:t xml:space="preserve"> </w:t>
      </w:r>
      <w:r w:rsidR="00F45C14">
        <w:rPr>
          <w:rFonts w:ascii="Georgia" w:hAnsi="Georgia" w:cs="Segoe UI"/>
          <w:sz w:val="24"/>
          <w:szCs w:val="24"/>
        </w:rPr>
        <w:t xml:space="preserve">Recent successful initiatives seeking to </w:t>
      </w:r>
      <w:r w:rsidR="00F45C14" w:rsidRPr="009445E3">
        <w:rPr>
          <w:rFonts w:ascii="Georgia" w:hAnsi="Georgia" w:cs="Segoe UI"/>
          <w:sz w:val="24"/>
          <w:szCs w:val="24"/>
        </w:rPr>
        <w:t>reform/improve</w:t>
      </w:r>
      <w:r w:rsidR="00F45C14">
        <w:rPr>
          <w:rFonts w:ascii="Georgia" w:hAnsi="Georgia" w:cs="Segoe UI"/>
          <w:b/>
          <w:bCs/>
          <w:sz w:val="24"/>
          <w:szCs w:val="24"/>
        </w:rPr>
        <w:t xml:space="preserve"> </w:t>
      </w:r>
      <w:r w:rsidR="00F45C14">
        <w:rPr>
          <w:rFonts w:ascii="Georgia" w:hAnsi="Georgia" w:cs="Segoe UI"/>
          <w:sz w:val="24"/>
          <w:szCs w:val="24"/>
        </w:rPr>
        <w:t xml:space="preserve">redistricting criteria or </w:t>
      </w:r>
      <w:r w:rsidR="00F45C14" w:rsidRPr="00BD7F2E">
        <w:rPr>
          <w:rFonts w:ascii="Georgia" w:hAnsi="Georgia" w:cs="Segoe UI"/>
          <w:sz w:val="24"/>
          <w:szCs w:val="24"/>
        </w:rPr>
        <w:t>mechanisms</w:t>
      </w:r>
      <w:r w:rsidR="00F45C14" w:rsidRPr="009445E3">
        <w:rPr>
          <w:rFonts w:ascii="Georgia" w:hAnsi="Georgia" w:cs="Segoe UI"/>
          <w:color w:val="FF0000"/>
          <w:sz w:val="24"/>
          <w:szCs w:val="24"/>
        </w:rPr>
        <w:t xml:space="preserve"> </w:t>
      </w:r>
      <w:r w:rsidR="00F45C14" w:rsidRPr="00BD7F2E">
        <w:rPr>
          <w:rFonts w:ascii="Georgia" w:hAnsi="Georgia" w:cs="Segoe UI"/>
          <w:color w:val="000000" w:themeColor="text1"/>
          <w:sz w:val="24"/>
          <w:szCs w:val="24"/>
        </w:rPr>
        <w:t>hav</w:t>
      </w:r>
      <w:r w:rsidR="00F45C14">
        <w:rPr>
          <w:rFonts w:ascii="Georgia" w:hAnsi="Georgia" w:cs="Segoe UI"/>
          <w:color w:val="000000" w:themeColor="text1"/>
          <w:sz w:val="24"/>
          <w:szCs w:val="24"/>
        </w:rPr>
        <w:t xml:space="preserve">e </w:t>
      </w:r>
      <w:r w:rsidR="00F45C14" w:rsidRPr="00BD7F2E">
        <w:rPr>
          <w:rFonts w:ascii="Georgia" w:hAnsi="Georgia" w:cs="Segoe UI"/>
          <w:color w:val="000000" w:themeColor="text1"/>
          <w:sz w:val="24"/>
          <w:szCs w:val="24"/>
        </w:rPr>
        <w:t xml:space="preserve">included language </w:t>
      </w:r>
      <w:r w:rsidR="00F45C14">
        <w:rPr>
          <w:rFonts w:ascii="Georgia" w:hAnsi="Georgia" w:cs="Segoe UI"/>
          <w:color w:val="000000" w:themeColor="text1"/>
          <w:sz w:val="24"/>
          <w:szCs w:val="24"/>
        </w:rPr>
        <w:t xml:space="preserve">about </w:t>
      </w:r>
      <w:r w:rsidR="00F45C14" w:rsidRPr="00BD7F2E">
        <w:rPr>
          <w:rFonts w:ascii="Georgia" w:hAnsi="Georgia" w:cs="Segoe UI"/>
          <w:color w:val="000000" w:themeColor="text1"/>
          <w:sz w:val="24"/>
          <w:szCs w:val="24"/>
        </w:rPr>
        <w:t>protecting communities</w:t>
      </w:r>
      <w:r w:rsidR="00F45C14">
        <w:rPr>
          <w:rFonts w:ascii="Georgia" w:hAnsi="Georgia" w:cs="Segoe UI"/>
          <w:color w:val="000000" w:themeColor="text1"/>
          <w:sz w:val="24"/>
          <w:szCs w:val="24"/>
        </w:rPr>
        <w:t xml:space="preserve"> of interest</w:t>
      </w:r>
      <w:r w:rsidR="00F45C14" w:rsidRPr="00BD7F2E">
        <w:rPr>
          <w:rFonts w:ascii="Georgia" w:hAnsi="Georgia" w:cs="Segoe UI"/>
          <w:sz w:val="24"/>
          <w:szCs w:val="24"/>
        </w:rPr>
        <w:t>.</w:t>
      </w:r>
      <w:r w:rsidR="00F45C14" w:rsidRPr="5037D466">
        <w:rPr>
          <w:rStyle w:val="FootnoteReference"/>
          <w:rFonts w:ascii="Georgia" w:hAnsi="Georgia" w:cs="Segoe UI"/>
          <w:sz w:val="24"/>
          <w:szCs w:val="24"/>
        </w:rPr>
        <w:footnoteReference w:id="26"/>
      </w:r>
      <w:r w:rsidR="00F45C14">
        <w:rPr>
          <w:rFonts w:ascii="Georgia" w:hAnsi="Georgia" w:cs="Segoe UI"/>
          <w:sz w:val="24"/>
          <w:szCs w:val="24"/>
        </w:rPr>
        <w:t xml:space="preserve"> </w:t>
      </w:r>
      <w:r>
        <w:rPr>
          <w:rFonts w:ascii="Georgia" w:hAnsi="Georgia" w:cs="Segoe UI"/>
          <w:sz w:val="24"/>
          <w:szCs w:val="24"/>
        </w:rPr>
        <w:t xml:space="preserve">Language referencing that term </w:t>
      </w:r>
      <w:r w:rsidRPr="00AA68C1">
        <w:rPr>
          <w:rFonts w:ascii="Georgia" w:hAnsi="Georgia" w:cs="Segoe UI"/>
          <w:sz w:val="24"/>
          <w:szCs w:val="24"/>
        </w:rPr>
        <w:t>is now found</w:t>
      </w:r>
      <w:r>
        <w:rPr>
          <w:rFonts w:ascii="Georgia" w:hAnsi="Georgia" w:cs="Segoe UI"/>
          <w:sz w:val="24"/>
          <w:szCs w:val="24"/>
        </w:rPr>
        <w:t xml:space="preserve"> in </w:t>
      </w:r>
      <w:r w:rsidRPr="001A13BA">
        <w:rPr>
          <w:rFonts w:ascii="Georgia" w:hAnsi="Georgia" w:cs="Segoe UI"/>
          <w:sz w:val="24"/>
          <w:szCs w:val="24"/>
        </w:rPr>
        <w:t>26 states for congressional, legislative, or both types of maps (NCSL 201</w:t>
      </w:r>
      <w:r w:rsidR="00F45C14" w:rsidRPr="001A13BA">
        <w:rPr>
          <w:rFonts w:ascii="Georgia" w:hAnsi="Georgia" w:cs="Segoe UI"/>
          <w:sz w:val="24"/>
          <w:szCs w:val="24"/>
        </w:rPr>
        <w:t>9</w:t>
      </w:r>
      <w:r w:rsidR="00F45C14">
        <w:rPr>
          <w:rFonts w:ascii="Georgia" w:hAnsi="Georgia" w:cs="Segoe UI"/>
          <w:sz w:val="24"/>
          <w:szCs w:val="24"/>
        </w:rPr>
        <w:t>).</w:t>
      </w:r>
      <w:r w:rsidR="00F45C14">
        <w:rPr>
          <w:rStyle w:val="FootnoteReference"/>
          <w:rFonts w:ascii="Georgia" w:hAnsi="Georgia" w:cs="Segoe UI"/>
          <w:sz w:val="24"/>
          <w:szCs w:val="24"/>
        </w:rPr>
        <w:footnoteReference w:id="27"/>
      </w:r>
      <w:r w:rsidR="00434677">
        <w:rPr>
          <w:rFonts w:ascii="Georgia" w:hAnsi="Georgia" w:cs="Segoe UI"/>
          <w:sz w:val="24"/>
          <w:szCs w:val="24"/>
        </w:rPr>
        <w:t xml:space="preserve"> </w:t>
      </w:r>
      <w:r w:rsidR="00F45C14" w:rsidRPr="00FB5923">
        <w:rPr>
          <w:rFonts w:ascii="Georgia" w:hAnsi="Georgia" w:cs="Segoe UI"/>
          <w:sz w:val="24"/>
          <w:szCs w:val="24"/>
        </w:rPr>
        <w:t xml:space="preserve">The </w:t>
      </w:r>
      <w:r w:rsidR="00F45C14" w:rsidRPr="489FFC7A">
        <w:rPr>
          <w:rFonts w:ascii="Georgia" w:hAnsi="Georgia" w:cs="Segoe UI"/>
          <w:i/>
          <w:iCs/>
          <w:sz w:val="24"/>
          <w:szCs w:val="24"/>
        </w:rPr>
        <w:t xml:space="preserve">Princeton Gerrymandering Project </w:t>
      </w:r>
      <w:r w:rsidR="00F45C14" w:rsidRPr="00FB5923">
        <w:rPr>
          <w:rFonts w:ascii="Georgia" w:hAnsi="Georgia" w:cs="Segoe UI"/>
          <w:sz w:val="24"/>
          <w:szCs w:val="24"/>
        </w:rPr>
        <w:t xml:space="preserve">has introduced a tool, </w:t>
      </w:r>
      <w:r w:rsidR="00F45C14" w:rsidRPr="489FFC7A">
        <w:rPr>
          <w:rFonts w:ascii="Georgia" w:hAnsi="Georgia" w:cs="Segoe UI"/>
          <w:i/>
          <w:iCs/>
          <w:sz w:val="24"/>
          <w:szCs w:val="24"/>
        </w:rPr>
        <w:t>Representable</w:t>
      </w:r>
      <w:r w:rsidR="00F45C14" w:rsidRPr="00FB5923">
        <w:rPr>
          <w:rFonts w:ascii="Georgia" w:hAnsi="Georgia" w:cs="Segoe UI"/>
          <w:sz w:val="24"/>
          <w:szCs w:val="24"/>
        </w:rPr>
        <w:t>, to facilitate the inclusion of individual and group cognitive perceptions of communities into the redistricting process.</w:t>
      </w:r>
      <w:r w:rsidR="00F45C14" w:rsidRPr="00FB5923">
        <w:rPr>
          <w:rStyle w:val="FootnoteReference"/>
          <w:rFonts w:ascii="Georgia" w:hAnsi="Georgia" w:cs="Segoe UI"/>
          <w:sz w:val="24"/>
          <w:szCs w:val="24"/>
        </w:rPr>
        <w:footnoteReference w:id="28"/>
      </w:r>
      <w:r w:rsidR="00F45C14" w:rsidRPr="00FB5923">
        <w:rPr>
          <w:rFonts w:ascii="Georgia" w:hAnsi="Georgia" w:cs="Segoe UI"/>
          <w:sz w:val="24"/>
          <w:szCs w:val="24"/>
        </w:rPr>
        <w:t xml:space="preserve"> A number of</w:t>
      </w:r>
      <w:r w:rsidR="00434677">
        <w:rPr>
          <w:rFonts w:ascii="Georgia" w:hAnsi="Georgia" w:cs="Segoe UI"/>
          <w:sz w:val="24"/>
          <w:szCs w:val="24"/>
        </w:rPr>
        <w:t xml:space="preserve"> </w:t>
      </w:r>
      <w:r w:rsidR="00F45C14" w:rsidRPr="00FB5923">
        <w:rPr>
          <w:rFonts w:ascii="Georgia" w:hAnsi="Georgia" w:cs="Segoe UI"/>
          <w:sz w:val="24"/>
          <w:szCs w:val="24"/>
        </w:rPr>
        <w:t>recent academic papers have addressed the issue of how to integrate community of interest concerns into map-making and/or of how better to understand constituent-representative linkages that have a geographic component (</w:t>
      </w:r>
      <w:proofErr w:type="spellStart"/>
      <w:r w:rsidR="00F45C14" w:rsidRPr="00FB5923">
        <w:rPr>
          <w:rFonts w:ascii="Georgia" w:hAnsi="Georgia" w:cs="Segoe UI"/>
          <w:sz w:val="24"/>
          <w:szCs w:val="24"/>
        </w:rPr>
        <w:t>Makse</w:t>
      </w:r>
      <w:proofErr w:type="spellEnd"/>
      <w:r w:rsidR="00F45C14" w:rsidRPr="00FB5923">
        <w:rPr>
          <w:rFonts w:ascii="Georgia" w:hAnsi="Georgia" w:cs="Segoe UI"/>
          <w:sz w:val="24"/>
          <w:szCs w:val="24"/>
        </w:rPr>
        <w:t xml:space="preserve"> 2012; MacDonald and Cain 2013; </w:t>
      </w:r>
      <w:r w:rsidR="159D3844" w:rsidRPr="1E9CA6D6">
        <w:rPr>
          <w:rFonts w:ascii="Georgia" w:eastAsia="Georgia" w:hAnsi="Georgia" w:cs="Georgia"/>
          <w:sz w:val="24"/>
          <w:szCs w:val="24"/>
        </w:rPr>
        <w:t>Spielman and Singleton 2015;</w:t>
      </w:r>
      <w:r w:rsidR="547210F8" w:rsidRPr="1E9CA6D6">
        <w:rPr>
          <w:rFonts w:ascii="Georgia" w:eastAsia="Georgia" w:hAnsi="Georgia" w:cs="Georgia"/>
          <w:sz w:val="24"/>
          <w:szCs w:val="24"/>
        </w:rPr>
        <w:t xml:space="preserve"> Phillips and Montello 2017;</w:t>
      </w:r>
      <w:r w:rsidR="00F45C14" w:rsidRPr="00FB5923">
        <w:rPr>
          <w:rFonts w:ascii="Georgia" w:hAnsi="Georgia" w:cs="Segoe UI"/>
          <w:sz w:val="24"/>
          <w:szCs w:val="24"/>
        </w:rPr>
        <w:t xml:space="preserve"> Rossiter et al 2019; </w:t>
      </w:r>
      <w:proofErr w:type="spellStart"/>
      <w:r w:rsidR="00F45C14" w:rsidRPr="00FB5923">
        <w:rPr>
          <w:rFonts w:ascii="Georgia" w:hAnsi="Georgia" w:cs="Segoe UI"/>
          <w:sz w:val="24"/>
          <w:szCs w:val="24"/>
        </w:rPr>
        <w:t>Gimpel</w:t>
      </w:r>
      <w:proofErr w:type="spellEnd"/>
      <w:r w:rsidR="00F45C14" w:rsidRPr="00FB5923">
        <w:rPr>
          <w:rFonts w:ascii="Georgia" w:hAnsi="Georgia" w:cs="Segoe UI"/>
          <w:sz w:val="24"/>
          <w:szCs w:val="24"/>
        </w:rPr>
        <w:t xml:space="preserve"> and </w:t>
      </w:r>
      <w:proofErr w:type="spellStart"/>
      <w:r w:rsidR="00F45C14" w:rsidRPr="00FB5923">
        <w:rPr>
          <w:rFonts w:ascii="Georgia" w:hAnsi="Georgia" w:cs="Segoe UI"/>
          <w:sz w:val="24"/>
          <w:szCs w:val="24"/>
        </w:rPr>
        <w:t>Harbridge</w:t>
      </w:r>
      <w:proofErr w:type="spellEnd"/>
      <w:r w:rsidR="00F45C14" w:rsidRPr="00FB5923">
        <w:rPr>
          <w:rFonts w:ascii="Georgia" w:hAnsi="Georgia" w:cs="Segoe UI"/>
          <w:sz w:val="24"/>
          <w:szCs w:val="24"/>
        </w:rPr>
        <w:t>-Yong 2</w:t>
      </w:r>
      <w:r w:rsidR="067EBCC1" w:rsidRPr="00FB5923">
        <w:rPr>
          <w:rFonts w:ascii="Georgia" w:hAnsi="Georgia" w:cs="Segoe UI"/>
          <w:sz w:val="24"/>
          <w:szCs w:val="24"/>
        </w:rPr>
        <w:t>020</w:t>
      </w:r>
      <w:r w:rsidR="00F45C14" w:rsidRPr="00FB5923">
        <w:rPr>
          <w:rFonts w:ascii="Georgia" w:hAnsi="Georgia" w:cs="Segoe UI"/>
          <w:sz w:val="24"/>
          <w:szCs w:val="24"/>
        </w:rPr>
        <w:t xml:space="preserve">; </w:t>
      </w:r>
      <w:proofErr w:type="spellStart"/>
      <w:r w:rsidR="00F45C14" w:rsidRPr="00FB5923">
        <w:rPr>
          <w:rFonts w:ascii="Georgia" w:hAnsi="Georgia" w:cs="Segoe UI"/>
          <w:sz w:val="24"/>
          <w:szCs w:val="24"/>
        </w:rPr>
        <w:t>Magpantay</w:t>
      </w:r>
      <w:proofErr w:type="spellEnd"/>
      <w:r w:rsidR="00F45C14" w:rsidRPr="00FB5923">
        <w:rPr>
          <w:rFonts w:ascii="Georgia" w:hAnsi="Georgia" w:cs="Segoe UI"/>
          <w:sz w:val="24"/>
          <w:szCs w:val="24"/>
        </w:rPr>
        <w:t xml:space="preserve"> 2020).</w:t>
      </w:r>
      <w:r w:rsidR="000D25EA" w:rsidRPr="00FB5923">
        <w:rPr>
          <w:rFonts w:ascii="Georgia" w:hAnsi="Georgia"/>
          <w:sz w:val="24"/>
          <w:szCs w:val="24"/>
        </w:rPr>
        <w:t xml:space="preserve"> We </w:t>
      </w:r>
      <w:r w:rsidR="00FB5923" w:rsidRPr="00FB5923">
        <w:rPr>
          <w:rFonts w:ascii="Georgia" w:hAnsi="Georgia"/>
          <w:sz w:val="24"/>
          <w:szCs w:val="24"/>
        </w:rPr>
        <w:t xml:space="preserve">strongly </w:t>
      </w:r>
      <w:r w:rsidR="000D25EA" w:rsidRPr="00FB5923">
        <w:rPr>
          <w:rFonts w:ascii="Georgia" w:hAnsi="Georgia"/>
          <w:sz w:val="24"/>
          <w:szCs w:val="24"/>
        </w:rPr>
        <w:t xml:space="preserve">encourage </w:t>
      </w:r>
      <w:r w:rsidR="00F45C14" w:rsidRPr="00FB5923">
        <w:rPr>
          <w:rFonts w:ascii="Georgia" w:hAnsi="Georgia"/>
          <w:sz w:val="24"/>
          <w:szCs w:val="24"/>
        </w:rPr>
        <w:t>Curiel and Steelman</w:t>
      </w:r>
      <w:r w:rsidR="000D25EA" w:rsidRPr="00FB5923">
        <w:rPr>
          <w:rFonts w:ascii="Georgia" w:hAnsi="Georgia"/>
          <w:sz w:val="24"/>
          <w:szCs w:val="24"/>
        </w:rPr>
        <w:t xml:space="preserve"> (and others) to pursue further empirical investigations of ZIP codes and other ways to identify communities of interest</w:t>
      </w:r>
    </w:p>
    <w:p w14:paraId="6CEA7E9C" w14:textId="6365748E" w:rsidR="001B72F4" w:rsidRPr="00BF3266" w:rsidRDefault="001B72F4" w:rsidP="00BF3266">
      <w:pPr>
        <w:pStyle w:val="HTMLPreformatted"/>
        <w:spacing w:line="360" w:lineRule="auto"/>
        <w:ind w:firstLine="720"/>
        <w:rPr>
          <w:rFonts w:ascii="Georgia" w:hAnsi="Georgia" w:cs="Segoe UI"/>
          <w:color w:val="C00000"/>
          <w:sz w:val="24"/>
          <w:szCs w:val="24"/>
        </w:rPr>
      </w:pPr>
    </w:p>
    <w:p w14:paraId="35EFFA97" w14:textId="77777777" w:rsidR="00636B88" w:rsidRDefault="00636B88" w:rsidP="00636B88">
      <w:pPr>
        <w:rPr>
          <w:rFonts w:ascii="Georgia" w:eastAsia="Times New Roman" w:hAnsi="Georgia" w:cs="Segoe UI"/>
          <w:sz w:val="24"/>
          <w:szCs w:val="24"/>
        </w:rPr>
        <w:sectPr w:rsidR="00636B88" w:rsidSect="003A11E0">
          <w:type w:val="continuous"/>
          <w:pgSz w:w="12240" w:h="15840"/>
          <w:pgMar w:top="1440" w:right="1440" w:bottom="1440" w:left="1440" w:header="720" w:footer="720" w:gutter="0"/>
          <w:cols w:space="720"/>
          <w:titlePg/>
          <w:docGrid w:linePitch="360"/>
        </w:sectPr>
      </w:pPr>
    </w:p>
    <w:p w14:paraId="6CD19907" w14:textId="6816E1AE" w:rsidR="00275315" w:rsidRPr="008A3BB1" w:rsidRDefault="00D47BE7" w:rsidP="008A3BB1">
      <w:pPr>
        <w:pStyle w:val="Heading2"/>
        <w:rPr>
          <w:rFonts w:eastAsia="Times New Roman" w:cs="Courier New"/>
          <w:i/>
          <w:iCs/>
        </w:rPr>
      </w:pPr>
      <w:r w:rsidRPr="1E9CA6D6">
        <w:rPr>
          <w:rFonts w:eastAsia="Times New Roman"/>
          <w:i/>
          <w:iCs/>
        </w:rPr>
        <w:t>REFERENCES</w:t>
      </w:r>
    </w:p>
    <w:p w14:paraId="35F75691" w14:textId="433F206B" w:rsidR="1E9CA6D6" w:rsidRDefault="1E9CA6D6" w:rsidP="1E9CA6D6"/>
    <w:p w14:paraId="6C6FD0BA" w14:textId="69196BED" w:rsidR="794829A7" w:rsidRDefault="794829A7" w:rsidP="5037D466">
      <w:pPr>
        <w:ind w:left="480" w:hanging="480"/>
      </w:pPr>
      <w:r w:rsidRPr="5037D466">
        <w:rPr>
          <w:rFonts w:ascii="Calibri" w:eastAsia="Calibri" w:hAnsi="Calibri" w:cs="Calibri"/>
        </w:rPr>
        <w:t xml:space="preserve">Bowen, Daniel C. 2014. “Boundaries, Redistricting Criteria, and Representation in the U.S. House of Representatives.” </w:t>
      </w:r>
      <w:r w:rsidRPr="5037D466">
        <w:rPr>
          <w:rFonts w:ascii="Calibri" w:eastAsia="Calibri" w:hAnsi="Calibri" w:cs="Calibri"/>
          <w:i/>
          <w:iCs/>
        </w:rPr>
        <w:t>American Politics Research</w:t>
      </w:r>
      <w:r w:rsidRPr="5037D466">
        <w:rPr>
          <w:rFonts w:ascii="Calibri" w:eastAsia="Calibri" w:hAnsi="Calibri" w:cs="Calibri"/>
        </w:rPr>
        <w:t xml:space="preserve"> 42(5): 856–895. </w:t>
      </w:r>
      <w:hyperlink r:id="rId13">
        <w:r w:rsidRPr="5037D466">
          <w:rPr>
            <w:rStyle w:val="Hyperlink"/>
            <w:rFonts w:ascii="Calibri" w:eastAsia="Calibri" w:hAnsi="Calibri" w:cs="Calibri"/>
          </w:rPr>
          <w:t>http://journals.sagepub.com/doi/10.1177/1532673X13519127</w:t>
        </w:r>
      </w:hyperlink>
      <w:r w:rsidRPr="5037D466">
        <w:rPr>
          <w:rFonts w:ascii="Calibri" w:eastAsia="Calibri" w:hAnsi="Calibri" w:cs="Calibri"/>
        </w:rPr>
        <w:t>.</w:t>
      </w:r>
    </w:p>
    <w:p w14:paraId="63B93E75" w14:textId="492E2416" w:rsidR="794829A7" w:rsidRDefault="794829A7" w:rsidP="5037D466">
      <w:pPr>
        <w:ind w:left="480" w:hanging="480"/>
      </w:pPr>
      <w:r w:rsidRPr="5037D466">
        <w:rPr>
          <w:rFonts w:ascii="Calibri" w:eastAsia="Calibri" w:hAnsi="Calibri" w:cs="Calibri"/>
        </w:rPr>
        <w:t xml:space="preserve">Brace, Kimball, Bernard </w:t>
      </w:r>
      <w:proofErr w:type="spellStart"/>
      <w:r w:rsidRPr="5037D466">
        <w:rPr>
          <w:rFonts w:ascii="Calibri" w:eastAsia="Calibri" w:hAnsi="Calibri" w:cs="Calibri"/>
        </w:rPr>
        <w:t>Grofman</w:t>
      </w:r>
      <w:proofErr w:type="spellEnd"/>
      <w:r w:rsidRPr="5037D466">
        <w:rPr>
          <w:rFonts w:ascii="Calibri" w:eastAsia="Calibri" w:hAnsi="Calibri" w:cs="Calibri"/>
        </w:rPr>
        <w:t xml:space="preserve">, and Lisa Handley. 1987. “Does Redistricting Aimed to Help Blacks Necessarily Help Republicans?” </w:t>
      </w:r>
      <w:r w:rsidRPr="5037D466">
        <w:rPr>
          <w:rFonts w:ascii="Calibri" w:eastAsia="Calibri" w:hAnsi="Calibri" w:cs="Calibri"/>
          <w:i/>
          <w:iCs/>
        </w:rPr>
        <w:t>The Journal of Politics</w:t>
      </w:r>
      <w:r w:rsidRPr="5037D466">
        <w:rPr>
          <w:rFonts w:ascii="Calibri" w:eastAsia="Calibri" w:hAnsi="Calibri" w:cs="Calibri"/>
        </w:rPr>
        <w:t xml:space="preserve"> 49(1): 169–185. </w:t>
      </w:r>
      <w:hyperlink r:id="rId14">
        <w:r w:rsidRPr="5037D466">
          <w:rPr>
            <w:rStyle w:val="Hyperlink"/>
            <w:rFonts w:ascii="Calibri" w:eastAsia="Calibri" w:hAnsi="Calibri" w:cs="Calibri"/>
          </w:rPr>
          <w:t>https://www.journals.uchicago.edu/doi/10.2307/2131139</w:t>
        </w:r>
      </w:hyperlink>
      <w:r w:rsidRPr="5037D466">
        <w:rPr>
          <w:rFonts w:ascii="Calibri" w:eastAsia="Calibri" w:hAnsi="Calibri" w:cs="Calibri"/>
        </w:rPr>
        <w:t xml:space="preserve"> (Accessed February 18, 2020).</w:t>
      </w:r>
    </w:p>
    <w:p w14:paraId="1556D47C" w14:textId="13B4A72A" w:rsidR="794829A7" w:rsidRDefault="794829A7" w:rsidP="5037D466">
      <w:pPr>
        <w:ind w:left="480" w:hanging="480"/>
      </w:pPr>
      <w:r w:rsidRPr="5037D466">
        <w:rPr>
          <w:rFonts w:ascii="Calibri" w:eastAsia="Calibri" w:hAnsi="Calibri" w:cs="Calibri"/>
        </w:rPr>
        <w:t xml:space="preserve">Card, David, and Alan B Krueger. 2000. “Minimum Wages and Employment: A Case Study of the Fast-Food Industry in New Jersey and Pennsylvania: Reply.” </w:t>
      </w:r>
      <w:r w:rsidRPr="5037D466">
        <w:rPr>
          <w:rFonts w:ascii="Calibri" w:eastAsia="Calibri" w:hAnsi="Calibri" w:cs="Calibri"/>
          <w:i/>
          <w:iCs/>
        </w:rPr>
        <w:t>American Economic Review</w:t>
      </w:r>
      <w:r w:rsidRPr="5037D466">
        <w:rPr>
          <w:rFonts w:ascii="Calibri" w:eastAsia="Calibri" w:hAnsi="Calibri" w:cs="Calibri"/>
        </w:rPr>
        <w:t xml:space="preserve"> 90(5): 1397–1420. </w:t>
      </w:r>
      <w:hyperlink r:id="rId15">
        <w:r w:rsidRPr="5037D466">
          <w:rPr>
            <w:rStyle w:val="Hyperlink"/>
            <w:rFonts w:ascii="Calibri" w:eastAsia="Calibri" w:hAnsi="Calibri" w:cs="Calibri"/>
          </w:rPr>
          <w:t>https://www.aeaweb.org/articles?id=10.1257/aer.90.5.1397</w:t>
        </w:r>
      </w:hyperlink>
      <w:r w:rsidRPr="5037D466">
        <w:rPr>
          <w:rFonts w:ascii="Calibri" w:eastAsia="Calibri" w:hAnsi="Calibri" w:cs="Calibri"/>
        </w:rPr>
        <w:t>.</w:t>
      </w:r>
    </w:p>
    <w:p w14:paraId="3DC9F0B5" w14:textId="47FE77AD" w:rsidR="794829A7" w:rsidRDefault="794829A7" w:rsidP="5037D466">
      <w:pPr>
        <w:ind w:left="480" w:hanging="480"/>
      </w:pPr>
      <w:r w:rsidRPr="5037D466">
        <w:rPr>
          <w:rFonts w:ascii="Calibri" w:eastAsia="Calibri" w:hAnsi="Calibri" w:cs="Calibri"/>
        </w:rPr>
        <w:t xml:space="preserve">Curiel, John A., and Tyler Steelman. 2020. “A Response to ‘Tests for Unconstitutional Partisan Gerrymandering in a Post- Gill World’ in a Post- </w:t>
      </w:r>
      <w:proofErr w:type="spellStart"/>
      <w:r w:rsidRPr="5037D466">
        <w:rPr>
          <w:rFonts w:ascii="Calibri" w:eastAsia="Calibri" w:hAnsi="Calibri" w:cs="Calibri"/>
        </w:rPr>
        <w:t>Rucho</w:t>
      </w:r>
      <w:proofErr w:type="spellEnd"/>
      <w:r w:rsidRPr="5037D466">
        <w:rPr>
          <w:rFonts w:ascii="Calibri" w:eastAsia="Calibri" w:hAnsi="Calibri" w:cs="Calibri"/>
        </w:rPr>
        <w:t xml:space="preserve"> World.” </w:t>
      </w:r>
      <w:r w:rsidRPr="5037D466">
        <w:rPr>
          <w:rFonts w:ascii="Calibri" w:eastAsia="Calibri" w:hAnsi="Calibri" w:cs="Calibri"/>
          <w:i/>
          <w:iCs/>
        </w:rPr>
        <w:t>Election Law Journal: Rules, Politics, and Policy</w:t>
      </w:r>
      <w:r w:rsidRPr="5037D466">
        <w:rPr>
          <w:rFonts w:ascii="Calibri" w:eastAsia="Calibri" w:hAnsi="Calibri" w:cs="Calibri"/>
        </w:rPr>
        <w:t xml:space="preserve"> 19(1): 101–109. </w:t>
      </w:r>
      <w:hyperlink r:id="rId16">
        <w:r w:rsidRPr="5037D466">
          <w:rPr>
            <w:rStyle w:val="Hyperlink"/>
            <w:rFonts w:ascii="Calibri" w:eastAsia="Calibri" w:hAnsi="Calibri" w:cs="Calibri"/>
          </w:rPr>
          <w:t>https://www.liebertpub.com/doi/10.1089/elj.2019.0612</w:t>
        </w:r>
      </w:hyperlink>
      <w:r w:rsidRPr="5037D466">
        <w:rPr>
          <w:rFonts w:ascii="Calibri" w:eastAsia="Calibri" w:hAnsi="Calibri" w:cs="Calibri"/>
        </w:rPr>
        <w:t>.</w:t>
      </w:r>
    </w:p>
    <w:p w14:paraId="7EA92992" w14:textId="370DBE4F" w:rsidR="794829A7" w:rsidRDefault="794829A7" w:rsidP="5037D466">
      <w:pPr>
        <w:ind w:left="480" w:hanging="480"/>
      </w:pPr>
      <w:r w:rsidRPr="5037D466">
        <w:rPr>
          <w:rFonts w:ascii="Calibri" w:eastAsia="Calibri" w:hAnsi="Calibri" w:cs="Calibri"/>
        </w:rPr>
        <w:t xml:space="preserve">Curiel, John A., and Tyler Steelman. 2018. “Redistricting Out Representation: Democratic Harms in Splitting Zip Codes.” </w:t>
      </w:r>
      <w:r w:rsidRPr="5037D466">
        <w:rPr>
          <w:rFonts w:ascii="Calibri" w:eastAsia="Calibri" w:hAnsi="Calibri" w:cs="Calibri"/>
          <w:i/>
          <w:iCs/>
        </w:rPr>
        <w:t>Election Law Journal: Rules, Politics, and Policy</w:t>
      </w:r>
      <w:r w:rsidRPr="5037D466">
        <w:rPr>
          <w:rFonts w:ascii="Calibri" w:eastAsia="Calibri" w:hAnsi="Calibri" w:cs="Calibri"/>
        </w:rPr>
        <w:t xml:space="preserve"> 17(4): 328–353. </w:t>
      </w:r>
      <w:hyperlink>
        <w:r w:rsidRPr="5037D466">
          <w:rPr>
            <w:rStyle w:val="Hyperlink"/>
            <w:rFonts w:ascii="Calibri" w:eastAsia="Calibri" w:hAnsi="Calibri" w:cs="Calibri"/>
          </w:rPr>
          <w:t>www.liebertpub.com</w:t>
        </w:r>
      </w:hyperlink>
      <w:r w:rsidRPr="5037D466">
        <w:rPr>
          <w:rFonts w:ascii="Calibri" w:eastAsia="Calibri" w:hAnsi="Calibri" w:cs="Calibri"/>
        </w:rPr>
        <w:t xml:space="preserve"> (Accessed December 28, 2018).</w:t>
      </w:r>
    </w:p>
    <w:p w14:paraId="03D77371" w14:textId="3C249F86" w:rsidR="794829A7" w:rsidRDefault="794829A7" w:rsidP="5037D466">
      <w:pPr>
        <w:ind w:left="480" w:hanging="480"/>
      </w:pPr>
      <w:proofErr w:type="spellStart"/>
      <w:r w:rsidRPr="1E9CA6D6">
        <w:rPr>
          <w:rFonts w:ascii="Calibri" w:eastAsia="Calibri" w:hAnsi="Calibri" w:cs="Calibri"/>
        </w:rPr>
        <w:t>Galderisi</w:t>
      </w:r>
      <w:proofErr w:type="spellEnd"/>
      <w:r w:rsidRPr="1E9CA6D6">
        <w:rPr>
          <w:rFonts w:ascii="Calibri" w:eastAsia="Calibri" w:hAnsi="Calibri" w:cs="Calibri"/>
        </w:rPr>
        <w:t xml:space="preserve">, Peter F. 2005. </w:t>
      </w:r>
      <w:r w:rsidRPr="1E9CA6D6">
        <w:rPr>
          <w:rFonts w:ascii="Calibri" w:eastAsia="Calibri" w:hAnsi="Calibri" w:cs="Calibri"/>
          <w:i/>
          <w:iCs/>
        </w:rPr>
        <w:t xml:space="preserve">Redistricting in the new millennium / edited by Peter F. </w:t>
      </w:r>
      <w:proofErr w:type="spellStart"/>
      <w:r w:rsidRPr="1E9CA6D6">
        <w:rPr>
          <w:rFonts w:ascii="Calibri" w:eastAsia="Calibri" w:hAnsi="Calibri" w:cs="Calibri"/>
          <w:i/>
          <w:iCs/>
        </w:rPr>
        <w:t>Galderisi</w:t>
      </w:r>
      <w:proofErr w:type="spellEnd"/>
      <w:r w:rsidRPr="1E9CA6D6">
        <w:rPr>
          <w:rFonts w:ascii="Calibri" w:eastAsia="Calibri" w:hAnsi="Calibri" w:cs="Calibri"/>
        </w:rPr>
        <w:t xml:space="preserve">. Lexington Books. </w:t>
      </w:r>
      <w:hyperlink r:id="rId17">
        <w:r w:rsidRPr="1E9CA6D6">
          <w:rPr>
            <w:rStyle w:val="Hyperlink"/>
            <w:rFonts w:ascii="Calibri" w:eastAsia="Calibri" w:hAnsi="Calibri" w:cs="Calibri"/>
          </w:rPr>
          <w:t>http://libproxy.mit.edu/login?url=http://search.ebscohost.com/login.aspx?direct=true&amp;db=cat00916a&amp;AN=mit.001386028&amp;site=eds-live&amp;scope=cite</w:t>
        </w:r>
      </w:hyperlink>
      <w:r w:rsidRPr="1E9CA6D6">
        <w:rPr>
          <w:rFonts w:ascii="Calibri" w:eastAsia="Calibri" w:hAnsi="Calibri" w:cs="Calibri"/>
        </w:rPr>
        <w:t xml:space="preserve"> (Accessed June 14, 2020).</w:t>
      </w:r>
    </w:p>
    <w:p w14:paraId="42D9DC7A" w14:textId="7847D707" w:rsidR="7F3DA60D" w:rsidRDefault="7F3DA60D" w:rsidP="1E9CA6D6">
      <w:pPr>
        <w:ind w:left="480" w:hanging="480"/>
      </w:pPr>
      <w:proofErr w:type="spellStart"/>
      <w:r w:rsidRPr="1E9CA6D6">
        <w:rPr>
          <w:rFonts w:ascii="Calibri" w:eastAsia="Calibri" w:hAnsi="Calibri" w:cs="Calibri"/>
        </w:rPr>
        <w:t>Gimpel</w:t>
      </w:r>
      <w:proofErr w:type="spellEnd"/>
      <w:r w:rsidRPr="1E9CA6D6">
        <w:rPr>
          <w:rFonts w:ascii="Calibri" w:eastAsia="Calibri" w:hAnsi="Calibri" w:cs="Calibri"/>
        </w:rPr>
        <w:t xml:space="preserve">, James G., and Laurel </w:t>
      </w:r>
      <w:proofErr w:type="spellStart"/>
      <w:r w:rsidRPr="1E9CA6D6">
        <w:rPr>
          <w:rFonts w:ascii="Calibri" w:eastAsia="Calibri" w:hAnsi="Calibri" w:cs="Calibri"/>
        </w:rPr>
        <w:t>Harbridge</w:t>
      </w:r>
      <w:proofErr w:type="spellEnd"/>
      <w:r w:rsidRPr="1E9CA6D6">
        <w:rPr>
          <w:rFonts w:ascii="Calibri" w:eastAsia="Calibri" w:hAnsi="Calibri" w:cs="Calibri"/>
        </w:rPr>
        <w:t xml:space="preserve">-Yong. 2020. “Conflicting Goals of Redistricting: Do Districts That Maximize Competition Reckon with Communities of Interest?” </w:t>
      </w:r>
      <w:r w:rsidRPr="1E9CA6D6">
        <w:rPr>
          <w:rFonts w:ascii="Calibri" w:eastAsia="Calibri" w:hAnsi="Calibri" w:cs="Calibri"/>
          <w:i/>
          <w:iCs/>
        </w:rPr>
        <w:t>Election Law Journal: Rules, Politics, and Policy</w:t>
      </w:r>
      <w:r w:rsidRPr="1E9CA6D6">
        <w:rPr>
          <w:rFonts w:ascii="Calibri" w:eastAsia="Calibri" w:hAnsi="Calibri" w:cs="Calibri"/>
        </w:rPr>
        <w:t xml:space="preserve">: elj.2019.0576. </w:t>
      </w:r>
      <w:hyperlink>
        <w:r w:rsidRPr="1E9CA6D6">
          <w:rPr>
            <w:rStyle w:val="Hyperlink"/>
            <w:rFonts w:ascii="Calibri" w:eastAsia="Calibri" w:hAnsi="Calibri" w:cs="Calibri"/>
          </w:rPr>
          <w:t>www.liebertpub.com</w:t>
        </w:r>
      </w:hyperlink>
      <w:r w:rsidRPr="1E9CA6D6">
        <w:rPr>
          <w:rFonts w:ascii="Calibri" w:eastAsia="Calibri" w:hAnsi="Calibri" w:cs="Calibri"/>
        </w:rPr>
        <w:t xml:space="preserve"> (Accessed June 30, 2020).</w:t>
      </w:r>
    </w:p>
    <w:p w14:paraId="772D46D1" w14:textId="436B6E2E" w:rsidR="794829A7" w:rsidRDefault="794829A7" w:rsidP="5037D466">
      <w:pPr>
        <w:ind w:left="480" w:hanging="480"/>
      </w:pPr>
      <w:proofErr w:type="spellStart"/>
      <w:r w:rsidRPr="5037D466">
        <w:rPr>
          <w:rFonts w:ascii="Calibri" w:eastAsia="Calibri" w:hAnsi="Calibri" w:cs="Calibri"/>
        </w:rPr>
        <w:t>Grofman</w:t>
      </w:r>
      <w:proofErr w:type="spellEnd"/>
      <w:r w:rsidRPr="5037D466">
        <w:rPr>
          <w:rFonts w:ascii="Calibri" w:eastAsia="Calibri" w:hAnsi="Calibri" w:cs="Calibri"/>
        </w:rPr>
        <w:t xml:space="preserve">, Bernard. 2015. </w:t>
      </w:r>
      <w:r w:rsidRPr="5037D466">
        <w:rPr>
          <w:rFonts w:ascii="Calibri" w:eastAsia="Calibri" w:hAnsi="Calibri" w:cs="Calibri"/>
          <w:i/>
          <w:iCs/>
        </w:rPr>
        <w:t xml:space="preserve">Report of the Special Master, </w:t>
      </w:r>
      <w:proofErr w:type="spellStart"/>
      <w:r w:rsidRPr="5037D466">
        <w:rPr>
          <w:rFonts w:ascii="Calibri" w:eastAsia="Calibri" w:hAnsi="Calibri" w:cs="Calibri"/>
          <w:i/>
          <w:iCs/>
        </w:rPr>
        <w:t>Personhuballah</w:t>
      </w:r>
      <w:proofErr w:type="spellEnd"/>
      <w:r w:rsidRPr="5037D466">
        <w:rPr>
          <w:rFonts w:ascii="Calibri" w:eastAsia="Calibri" w:hAnsi="Calibri" w:cs="Calibri"/>
          <w:i/>
          <w:iCs/>
        </w:rPr>
        <w:t xml:space="preserve"> et al. v. Alcorn et al. 239 F. Supp. 3d 929 (E.D. Va. 2017)</w:t>
      </w:r>
      <w:r w:rsidRPr="5037D466">
        <w:rPr>
          <w:rFonts w:ascii="Calibri" w:eastAsia="Calibri" w:hAnsi="Calibri" w:cs="Calibri"/>
        </w:rPr>
        <w:t>.</w:t>
      </w:r>
    </w:p>
    <w:p w14:paraId="1ADDB84C" w14:textId="799E7ED5" w:rsidR="794829A7" w:rsidRDefault="794829A7">
      <w:proofErr w:type="spellStart"/>
      <w:r>
        <w:t>Grofman</w:t>
      </w:r>
      <w:proofErr w:type="spellEnd"/>
      <w:r>
        <w:t xml:space="preserve">, Bernard. 1992. Declaration in </w:t>
      </w:r>
      <w:r w:rsidRPr="5037D466">
        <w:rPr>
          <w:i/>
          <w:iCs/>
        </w:rPr>
        <w:t>Pope et al. v. Blue et al</w:t>
      </w:r>
      <w:r>
        <w:t xml:space="preserve">., U.S. District Court, Western District, Charlotte, North Carolina Division, March 5. See also 809 F. Supp. 392 (W.D.N.C. 1992). </w:t>
      </w:r>
    </w:p>
    <w:p w14:paraId="7C52764F" w14:textId="4DB6F465" w:rsidR="794829A7" w:rsidRDefault="794829A7" w:rsidP="5037D466">
      <w:pPr>
        <w:ind w:left="480" w:hanging="480"/>
      </w:pPr>
      <w:proofErr w:type="spellStart"/>
      <w:r w:rsidRPr="5037D466">
        <w:rPr>
          <w:rFonts w:ascii="Calibri" w:eastAsia="Calibri" w:hAnsi="Calibri" w:cs="Calibri"/>
        </w:rPr>
        <w:t>Grofman</w:t>
      </w:r>
      <w:proofErr w:type="spellEnd"/>
      <w:r w:rsidRPr="5037D466">
        <w:rPr>
          <w:rFonts w:ascii="Calibri" w:eastAsia="Calibri" w:hAnsi="Calibri" w:cs="Calibri"/>
        </w:rPr>
        <w:t xml:space="preserve">, Bernard. 1992. “Would Vince Lombardi Have Been Right If He Had Said: When it Comes to Redistricting, Race Isn’t Everything, It’s the Only Thing.” </w:t>
      </w:r>
      <w:r w:rsidRPr="5037D466">
        <w:rPr>
          <w:rFonts w:ascii="Calibri" w:eastAsia="Calibri" w:hAnsi="Calibri" w:cs="Calibri"/>
          <w:i/>
          <w:iCs/>
        </w:rPr>
        <w:t>Cardozo Law Review</w:t>
      </w:r>
      <w:r w:rsidRPr="5037D466">
        <w:rPr>
          <w:rFonts w:ascii="Calibri" w:eastAsia="Calibri" w:hAnsi="Calibri" w:cs="Calibri"/>
        </w:rPr>
        <w:t xml:space="preserve"> 14: 1237–1276.</w:t>
      </w:r>
    </w:p>
    <w:p w14:paraId="57954B5A" w14:textId="481D0AD4" w:rsidR="794829A7" w:rsidRDefault="794829A7" w:rsidP="5037D466">
      <w:pPr>
        <w:ind w:left="480" w:hanging="480"/>
      </w:pPr>
      <w:proofErr w:type="spellStart"/>
      <w:r w:rsidRPr="5037D466">
        <w:rPr>
          <w:rFonts w:ascii="Calibri" w:eastAsia="Calibri" w:hAnsi="Calibri" w:cs="Calibri"/>
        </w:rPr>
        <w:t>Grofman</w:t>
      </w:r>
      <w:proofErr w:type="spellEnd"/>
      <w:r w:rsidRPr="5037D466">
        <w:rPr>
          <w:rFonts w:ascii="Calibri" w:eastAsia="Calibri" w:hAnsi="Calibri" w:cs="Calibri"/>
        </w:rPr>
        <w:t xml:space="preserve">, Bernard. 2019. “Tests for Unconstitutional Partisan Gerrymandering in a Post-Gill World.” </w:t>
      </w:r>
      <w:r w:rsidRPr="5037D466">
        <w:rPr>
          <w:rFonts w:ascii="Calibri" w:eastAsia="Calibri" w:hAnsi="Calibri" w:cs="Calibri"/>
          <w:i/>
          <w:iCs/>
        </w:rPr>
        <w:t>Election Law Journal</w:t>
      </w:r>
      <w:r w:rsidRPr="5037D466">
        <w:rPr>
          <w:rFonts w:ascii="Calibri" w:eastAsia="Calibri" w:hAnsi="Calibri" w:cs="Calibri"/>
        </w:rPr>
        <w:t xml:space="preserve"> 18(2): 93–115. </w:t>
      </w:r>
      <w:hyperlink>
        <w:r w:rsidRPr="5037D466">
          <w:rPr>
            <w:rStyle w:val="Hyperlink"/>
            <w:rFonts w:ascii="Calibri" w:eastAsia="Calibri" w:hAnsi="Calibri" w:cs="Calibri"/>
          </w:rPr>
          <w:t>www.liebertpub.com</w:t>
        </w:r>
      </w:hyperlink>
      <w:r w:rsidRPr="5037D466">
        <w:rPr>
          <w:rFonts w:ascii="Calibri" w:eastAsia="Calibri" w:hAnsi="Calibri" w:cs="Calibri"/>
        </w:rPr>
        <w:t xml:space="preserve"> (Accessed June 11, 2019).</w:t>
      </w:r>
    </w:p>
    <w:p w14:paraId="5328CB3D" w14:textId="79FE0AA7" w:rsidR="794829A7" w:rsidRDefault="794829A7" w:rsidP="5037D466">
      <w:pPr>
        <w:ind w:left="480" w:hanging="480"/>
      </w:pPr>
      <w:proofErr w:type="spellStart"/>
      <w:r w:rsidRPr="5037D466">
        <w:rPr>
          <w:rFonts w:ascii="Calibri" w:eastAsia="Calibri" w:hAnsi="Calibri" w:cs="Calibri"/>
        </w:rPr>
        <w:t>Grofman</w:t>
      </w:r>
      <w:proofErr w:type="spellEnd"/>
      <w:r w:rsidRPr="5037D466">
        <w:rPr>
          <w:rFonts w:ascii="Calibri" w:eastAsia="Calibri" w:hAnsi="Calibri" w:cs="Calibri"/>
        </w:rPr>
        <w:t xml:space="preserve">, Bernard. 1985. “Criteria for Districting: A Social Science Perspective.” </w:t>
      </w:r>
      <w:r w:rsidRPr="5037D466">
        <w:rPr>
          <w:rFonts w:ascii="Calibri" w:eastAsia="Calibri" w:hAnsi="Calibri" w:cs="Calibri"/>
          <w:i/>
          <w:iCs/>
        </w:rPr>
        <w:t>UCLA Law Review</w:t>
      </w:r>
      <w:r w:rsidRPr="5037D466">
        <w:rPr>
          <w:rFonts w:ascii="Calibri" w:eastAsia="Calibri" w:hAnsi="Calibri" w:cs="Calibri"/>
        </w:rPr>
        <w:t xml:space="preserve"> 33: 77–184.</w:t>
      </w:r>
    </w:p>
    <w:p w14:paraId="3B4C2532" w14:textId="2E49F6FE" w:rsidR="794829A7" w:rsidRDefault="794829A7" w:rsidP="5037D466">
      <w:pPr>
        <w:ind w:left="480" w:hanging="480"/>
      </w:pPr>
      <w:proofErr w:type="spellStart"/>
      <w:r w:rsidRPr="5037D466">
        <w:rPr>
          <w:rFonts w:ascii="Calibri" w:eastAsia="Calibri" w:hAnsi="Calibri" w:cs="Calibri"/>
        </w:rPr>
        <w:t>Grofman</w:t>
      </w:r>
      <w:proofErr w:type="spellEnd"/>
      <w:r w:rsidRPr="5037D466">
        <w:rPr>
          <w:rFonts w:ascii="Calibri" w:eastAsia="Calibri" w:hAnsi="Calibri" w:cs="Calibri"/>
        </w:rPr>
        <w:t xml:space="preserve">, Bernard, Lisa Handley, and David Lublin. 2001. “Drawing Effective Minority Districts: A Conceptual Framework and Some Empirical Evidence.” </w:t>
      </w:r>
      <w:r w:rsidRPr="5037D466">
        <w:rPr>
          <w:rFonts w:ascii="Calibri" w:eastAsia="Calibri" w:hAnsi="Calibri" w:cs="Calibri"/>
          <w:i/>
          <w:iCs/>
        </w:rPr>
        <w:t>North Carolina Law Review</w:t>
      </w:r>
      <w:r w:rsidRPr="5037D466">
        <w:rPr>
          <w:rFonts w:ascii="Calibri" w:eastAsia="Calibri" w:hAnsi="Calibri" w:cs="Calibri"/>
        </w:rPr>
        <w:t xml:space="preserve"> 79(5): 1383–1430. </w:t>
      </w:r>
      <w:hyperlink r:id="rId18">
        <w:r w:rsidRPr="5037D466">
          <w:rPr>
            <w:rStyle w:val="Hyperlink"/>
            <w:rFonts w:ascii="Calibri" w:eastAsia="Calibri" w:hAnsi="Calibri" w:cs="Calibri"/>
          </w:rPr>
          <w:t>http://scholarship.law.unc.edu/nclrhttp://scholarship.law.unc.edu/nclr/vol79/iss5/12</w:t>
        </w:r>
      </w:hyperlink>
      <w:r w:rsidRPr="5037D466">
        <w:rPr>
          <w:rFonts w:ascii="Calibri" w:eastAsia="Calibri" w:hAnsi="Calibri" w:cs="Calibri"/>
        </w:rPr>
        <w:t xml:space="preserve"> (Accessed June 14, 2019).</w:t>
      </w:r>
    </w:p>
    <w:p w14:paraId="0D3CE215" w14:textId="475A5668" w:rsidR="0A5758E6" w:rsidRDefault="0A5758E6" w:rsidP="0A7B03BD">
      <w:pPr>
        <w:ind w:left="480" w:hanging="480"/>
      </w:pPr>
      <w:r w:rsidRPr="0A7B03BD">
        <w:rPr>
          <w:rFonts w:ascii="Calibri" w:eastAsia="Calibri" w:hAnsi="Calibri" w:cs="Calibri"/>
        </w:rPr>
        <w:t xml:space="preserve">Grubesic, Tony H. 2008. “Zip codes and spatial analysis: Problems and prospects.” </w:t>
      </w:r>
      <w:r w:rsidRPr="0A7B03BD">
        <w:rPr>
          <w:rFonts w:ascii="Calibri" w:eastAsia="Calibri" w:hAnsi="Calibri" w:cs="Calibri"/>
          <w:i/>
          <w:iCs/>
        </w:rPr>
        <w:t>Socio-Economic Planning Sciences</w:t>
      </w:r>
      <w:r w:rsidRPr="0A7B03BD">
        <w:rPr>
          <w:rFonts w:ascii="Calibri" w:eastAsia="Calibri" w:hAnsi="Calibri" w:cs="Calibri"/>
        </w:rPr>
        <w:t xml:space="preserve"> 42(2): 129–149. </w:t>
      </w:r>
      <w:hyperlink r:id="rId19">
        <w:r w:rsidRPr="0A7B03BD">
          <w:rPr>
            <w:rStyle w:val="Hyperlink"/>
            <w:rFonts w:ascii="Calibri" w:eastAsia="Calibri" w:hAnsi="Calibri" w:cs="Calibri"/>
          </w:rPr>
          <w:t>https://linkinghub.elsevier.com/retrieve/pii/S0038012106000516</w:t>
        </w:r>
      </w:hyperlink>
      <w:r w:rsidRPr="0A7B03BD">
        <w:rPr>
          <w:rFonts w:ascii="Calibri" w:eastAsia="Calibri" w:hAnsi="Calibri" w:cs="Calibri"/>
        </w:rPr>
        <w:t>.</w:t>
      </w:r>
    </w:p>
    <w:p w14:paraId="62887708" w14:textId="24E734D5" w:rsidR="794829A7" w:rsidRDefault="794829A7" w:rsidP="5037D466">
      <w:pPr>
        <w:ind w:left="480" w:hanging="480"/>
      </w:pPr>
      <w:proofErr w:type="spellStart"/>
      <w:r w:rsidRPr="5037D466">
        <w:rPr>
          <w:rFonts w:ascii="Calibri" w:eastAsia="Calibri" w:hAnsi="Calibri" w:cs="Calibri"/>
        </w:rPr>
        <w:t>Koetzle</w:t>
      </w:r>
      <w:proofErr w:type="spellEnd"/>
      <w:r w:rsidRPr="5037D466">
        <w:rPr>
          <w:rFonts w:ascii="Calibri" w:eastAsia="Calibri" w:hAnsi="Calibri" w:cs="Calibri"/>
        </w:rPr>
        <w:t xml:space="preserve">, William. 1998. “The Impact of Constituency Diversity upon the Competitiveness of U. S. House Elections, 1962-96.” </w:t>
      </w:r>
      <w:r w:rsidRPr="5037D466">
        <w:rPr>
          <w:rFonts w:ascii="Calibri" w:eastAsia="Calibri" w:hAnsi="Calibri" w:cs="Calibri"/>
          <w:i/>
          <w:iCs/>
        </w:rPr>
        <w:t>Legislative Studies Quarterly</w:t>
      </w:r>
      <w:r w:rsidRPr="5037D466">
        <w:rPr>
          <w:rFonts w:ascii="Calibri" w:eastAsia="Calibri" w:hAnsi="Calibri" w:cs="Calibri"/>
        </w:rPr>
        <w:t xml:space="preserve"> 23(4): 561. </w:t>
      </w:r>
      <w:hyperlink r:id="rId20">
        <w:r w:rsidRPr="5037D466">
          <w:rPr>
            <w:rStyle w:val="Hyperlink"/>
            <w:rFonts w:ascii="Calibri" w:eastAsia="Calibri" w:hAnsi="Calibri" w:cs="Calibri"/>
          </w:rPr>
          <w:t>https://www.jstor.org/stable/440240</w:t>
        </w:r>
      </w:hyperlink>
      <w:r w:rsidRPr="5037D466">
        <w:rPr>
          <w:rFonts w:ascii="Calibri" w:eastAsia="Calibri" w:hAnsi="Calibri" w:cs="Calibri"/>
        </w:rPr>
        <w:t xml:space="preserve"> (Accessed May 20, 2020).</w:t>
      </w:r>
    </w:p>
    <w:p w14:paraId="404401C4" w14:textId="482B4C49" w:rsidR="794829A7" w:rsidRDefault="794829A7" w:rsidP="5037D466">
      <w:pPr>
        <w:ind w:left="480" w:hanging="480"/>
      </w:pPr>
      <w:r w:rsidRPr="5037D466">
        <w:rPr>
          <w:rFonts w:ascii="Calibri" w:eastAsia="Calibri" w:hAnsi="Calibri" w:cs="Calibri"/>
        </w:rPr>
        <w:t xml:space="preserve">Lublin, David, Lisa Handley, Thomas L </w:t>
      </w:r>
      <w:proofErr w:type="spellStart"/>
      <w:r w:rsidRPr="5037D466">
        <w:rPr>
          <w:rFonts w:ascii="Calibri" w:eastAsia="Calibri" w:hAnsi="Calibri" w:cs="Calibri"/>
        </w:rPr>
        <w:t>Brunell</w:t>
      </w:r>
      <w:proofErr w:type="spellEnd"/>
      <w:r w:rsidRPr="5037D466">
        <w:rPr>
          <w:rFonts w:ascii="Calibri" w:eastAsia="Calibri" w:hAnsi="Calibri" w:cs="Calibri"/>
        </w:rPr>
        <w:t xml:space="preserve">, and Bernard </w:t>
      </w:r>
      <w:proofErr w:type="spellStart"/>
      <w:r w:rsidRPr="5037D466">
        <w:rPr>
          <w:rFonts w:ascii="Calibri" w:eastAsia="Calibri" w:hAnsi="Calibri" w:cs="Calibri"/>
        </w:rPr>
        <w:t>Grofman</w:t>
      </w:r>
      <w:proofErr w:type="spellEnd"/>
      <w:r w:rsidRPr="5037D466">
        <w:rPr>
          <w:rFonts w:ascii="Calibri" w:eastAsia="Calibri" w:hAnsi="Calibri" w:cs="Calibri"/>
        </w:rPr>
        <w:t xml:space="preserve">. 2020. “Minority Success in Non-Majority Minority Districts: Finding the ‘Sweet Spot.’” </w:t>
      </w:r>
      <w:r w:rsidRPr="5037D466">
        <w:rPr>
          <w:rFonts w:ascii="Calibri" w:eastAsia="Calibri" w:hAnsi="Calibri" w:cs="Calibri"/>
          <w:i/>
          <w:iCs/>
        </w:rPr>
        <w:t>The Journal of Race, Ethnicity, and Politics</w:t>
      </w:r>
      <w:r w:rsidRPr="5037D466">
        <w:rPr>
          <w:rFonts w:ascii="Calibri" w:eastAsia="Calibri" w:hAnsi="Calibri" w:cs="Calibri"/>
        </w:rPr>
        <w:t xml:space="preserve"> 5(2): 275–298. </w:t>
      </w:r>
      <w:hyperlink r:id="rId21">
        <w:r w:rsidRPr="5037D466">
          <w:rPr>
            <w:rStyle w:val="Hyperlink"/>
            <w:rFonts w:ascii="Calibri" w:eastAsia="Calibri" w:hAnsi="Calibri" w:cs="Calibri"/>
          </w:rPr>
          <w:t>https://doi.org/10.1017/rep.2019.24</w:t>
        </w:r>
      </w:hyperlink>
      <w:r w:rsidRPr="5037D466">
        <w:rPr>
          <w:rFonts w:ascii="Calibri" w:eastAsia="Calibri" w:hAnsi="Calibri" w:cs="Calibri"/>
        </w:rPr>
        <w:t xml:space="preserve"> (Accessed June 14, 2020).</w:t>
      </w:r>
    </w:p>
    <w:p w14:paraId="193440EC" w14:textId="2C933B9E" w:rsidR="794829A7" w:rsidRDefault="794829A7" w:rsidP="5037D466">
      <w:pPr>
        <w:ind w:left="480" w:hanging="480"/>
      </w:pPr>
      <w:r w:rsidRPr="5037D466">
        <w:rPr>
          <w:rFonts w:ascii="Calibri" w:eastAsia="Calibri" w:hAnsi="Calibri" w:cs="Calibri"/>
        </w:rPr>
        <w:t xml:space="preserve">Mac Donald, Karin, and Bruce E. Cain. 2013. “Community of Interest Methodology and Public Testimony.” </w:t>
      </w:r>
      <w:r w:rsidRPr="5037D466">
        <w:rPr>
          <w:rFonts w:ascii="Calibri" w:eastAsia="Calibri" w:hAnsi="Calibri" w:cs="Calibri"/>
          <w:i/>
          <w:iCs/>
        </w:rPr>
        <w:t>UC Irvine Law Review</w:t>
      </w:r>
      <w:r w:rsidRPr="5037D466">
        <w:rPr>
          <w:rFonts w:ascii="Calibri" w:eastAsia="Calibri" w:hAnsi="Calibri" w:cs="Calibri"/>
        </w:rPr>
        <w:t xml:space="preserve"> 3. </w:t>
      </w:r>
      <w:hyperlink r:id="rId22">
        <w:r w:rsidRPr="5037D466">
          <w:rPr>
            <w:rStyle w:val="Hyperlink"/>
            <w:rFonts w:ascii="Calibri" w:eastAsia="Calibri" w:hAnsi="Calibri" w:cs="Calibri"/>
          </w:rPr>
          <w:t>https://heinonline.org/HOL/Page?handle=hein.journals/ucirvlre3&amp;id=618&amp;div=29&amp;collection=journals</w:t>
        </w:r>
      </w:hyperlink>
      <w:r w:rsidRPr="5037D466">
        <w:rPr>
          <w:rFonts w:ascii="Calibri" w:eastAsia="Calibri" w:hAnsi="Calibri" w:cs="Calibri"/>
        </w:rPr>
        <w:t xml:space="preserve"> (Accessed June 15, 2020).</w:t>
      </w:r>
    </w:p>
    <w:p w14:paraId="72A32A7A" w14:textId="09B5DF55" w:rsidR="794829A7" w:rsidRDefault="794829A7" w:rsidP="5037D466">
      <w:pPr>
        <w:ind w:left="480" w:hanging="480"/>
      </w:pPr>
      <w:proofErr w:type="spellStart"/>
      <w:r w:rsidRPr="5037D466">
        <w:rPr>
          <w:rFonts w:ascii="Calibri" w:eastAsia="Calibri" w:hAnsi="Calibri" w:cs="Calibri"/>
        </w:rPr>
        <w:t>Magpantay</w:t>
      </w:r>
      <w:proofErr w:type="spellEnd"/>
      <w:r w:rsidRPr="5037D466">
        <w:rPr>
          <w:rFonts w:ascii="Calibri" w:eastAsia="Calibri" w:hAnsi="Calibri" w:cs="Calibri"/>
        </w:rPr>
        <w:t xml:space="preserve">, Glenn D. 25 Barry Law Review </w:t>
      </w:r>
      <w:r w:rsidRPr="5037D466">
        <w:rPr>
          <w:rFonts w:ascii="Calibri" w:eastAsia="Calibri" w:hAnsi="Calibri" w:cs="Calibri"/>
          <w:i/>
          <w:iCs/>
        </w:rPr>
        <w:t xml:space="preserve">A Shield Becomes a Sword: Defining and Deploying a </w:t>
      </w:r>
      <w:proofErr w:type="spellStart"/>
      <w:r w:rsidRPr="5037D466">
        <w:rPr>
          <w:rFonts w:ascii="Calibri" w:eastAsia="Calibri" w:hAnsi="Calibri" w:cs="Calibri"/>
          <w:i/>
          <w:iCs/>
        </w:rPr>
        <w:t>A</w:t>
      </w:r>
      <w:proofErr w:type="spellEnd"/>
      <w:r w:rsidRPr="5037D466">
        <w:rPr>
          <w:rFonts w:ascii="Calibri" w:eastAsia="Calibri" w:hAnsi="Calibri" w:cs="Calibri"/>
          <w:i/>
          <w:iCs/>
        </w:rPr>
        <w:t xml:space="preserve"> Shield Becomes a Sword: Defining and Deploying a Constitutional Theory for Communities of Interest</w:t>
      </w:r>
      <w:r w:rsidRPr="5037D466">
        <w:rPr>
          <w:rFonts w:ascii="Calibri" w:eastAsia="Calibri" w:hAnsi="Calibri" w:cs="Calibri"/>
        </w:rPr>
        <w:t xml:space="preserve">. </w:t>
      </w:r>
      <w:hyperlink r:id="rId23">
        <w:r w:rsidRPr="5037D466">
          <w:rPr>
            <w:rStyle w:val="Hyperlink"/>
            <w:rFonts w:ascii="Calibri" w:eastAsia="Calibri" w:hAnsi="Calibri" w:cs="Calibri"/>
          </w:rPr>
          <w:t>https://lawpublications.barry.edu/barrylrev/vol25/iss1/1</w:t>
        </w:r>
      </w:hyperlink>
      <w:r w:rsidRPr="5037D466">
        <w:rPr>
          <w:rFonts w:ascii="Calibri" w:eastAsia="Calibri" w:hAnsi="Calibri" w:cs="Calibri"/>
        </w:rPr>
        <w:t xml:space="preserve"> (Accessed June 15, 2020).</w:t>
      </w:r>
    </w:p>
    <w:p w14:paraId="2E953CF7" w14:textId="18B88ED7" w:rsidR="794829A7" w:rsidRDefault="794829A7" w:rsidP="5037D466">
      <w:pPr>
        <w:ind w:left="480" w:hanging="480"/>
      </w:pPr>
      <w:proofErr w:type="spellStart"/>
      <w:r w:rsidRPr="5037D466">
        <w:rPr>
          <w:rFonts w:ascii="Calibri" w:eastAsia="Calibri" w:hAnsi="Calibri" w:cs="Calibri"/>
        </w:rPr>
        <w:t>Makse</w:t>
      </w:r>
      <w:proofErr w:type="spellEnd"/>
      <w:r w:rsidRPr="5037D466">
        <w:rPr>
          <w:rFonts w:ascii="Calibri" w:eastAsia="Calibri" w:hAnsi="Calibri" w:cs="Calibri"/>
        </w:rPr>
        <w:t xml:space="preserve">, Todd. 2012. “Defining Communities of Interest in Redistricting Through Initiative Voting.” </w:t>
      </w:r>
      <w:r w:rsidRPr="5037D466">
        <w:rPr>
          <w:rFonts w:ascii="Calibri" w:eastAsia="Calibri" w:hAnsi="Calibri" w:cs="Calibri"/>
          <w:i/>
          <w:iCs/>
        </w:rPr>
        <w:t>Election Law Journal: Rules, Politics, and Policy</w:t>
      </w:r>
      <w:r w:rsidRPr="5037D466">
        <w:rPr>
          <w:rFonts w:ascii="Calibri" w:eastAsia="Calibri" w:hAnsi="Calibri" w:cs="Calibri"/>
        </w:rPr>
        <w:t xml:space="preserve"> 11(4): 503–517. </w:t>
      </w:r>
      <w:hyperlink r:id="rId24">
        <w:r w:rsidRPr="5037D466">
          <w:rPr>
            <w:rStyle w:val="Hyperlink"/>
            <w:rFonts w:ascii="Calibri" w:eastAsia="Calibri" w:hAnsi="Calibri" w:cs="Calibri"/>
          </w:rPr>
          <w:t>http://www.liebertpub.com/doi/10.1089/elj.2011.0144</w:t>
        </w:r>
      </w:hyperlink>
      <w:r w:rsidRPr="5037D466">
        <w:rPr>
          <w:rFonts w:ascii="Calibri" w:eastAsia="Calibri" w:hAnsi="Calibri" w:cs="Calibri"/>
        </w:rPr>
        <w:t xml:space="preserve"> (Accessed June 15, 2020).</w:t>
      </w:r>
    </w:p>
    <w:p w14:paraId="53D8DBC9" w14:textId="53104A1B" w:rsidR="794829A7" w:rsidRDefault="794829A7" w:rsidP="5037D466">
      <w:pPr>
        <w:ind w:left="480" w:hanging="480"/>
      </w:pPr>
      <w:r w:rsidRPr="5037D466">
        <w:rPr>
          <w:rFonts w:ascii="Calibri" w:eastAsia="Calibri" w:hAnsi="Calibri" w:cs="Calibri"/>
        </w:rPr>
        <w:t xml:space="preserve">Meyer, Bruce D. 1995. “Natural and Quasi-Experiments in Economics.” </w:t>
      </w:r>
      <w:r w:rsidRPr="5037D466">
        <w:rPr>
          <w:rFonts w:ascii="Calibri" w:eastAsia="Calibri" w:hAnsi="Calibri" w:cs="Calibri"/>
          <w:i/>
          <w:iCs/>
        </w:rPr>
        <w:t>Journal of Business &amp; Economic Statistics</w:t>
      </w:r>
      <w:r w:rsidRPr="5037D466">
        <w:rPr>
          <w:rFonts w:ascii="Calibri" w:eastAsia="Calibri" w:hAnsi="Calibri" w:cs="Calibri"/>
        </w:rPr>
        <w:t xml:space="preserve"> 13(2): 151–161. </w:t>
      </w:r>
      <w:hyperlink r:id="rId25">
        <w:r w:rsidRPr="5037D466">
          <w:rPr>
            <w:rStyle w:val="Hyperlink"/>
            <w:rFonts w:ascii="Calibri" w:eastAsia="Calibri" w:hAnsi="Calibri" w:cs="Calibri"/>
          </w:rPr>
          <w:t>http://www.jstor.org/stable/1392369</w:t>
        </w:r>
      </w:hyperlink>
      <w:r w:rsidRPr="5037D466">
        <w:rPr>
          <w:rFonts w:ascii="Calibri" w:eastAsia="Calibri" w:hAnsi="Calibri" w:cs="Calibri"/>
        </w:rPr>
        <w:t>.</w:t>
      </w:r>
    </w:p>
    <w:p w14:paraId="082E69A7" w14:textId="15848BB8" w:rsidR="794829A7" w:rsidRDefault="794829A7" w:rsidP="5037D466">
      <w:pPr>
        <w:ind w:left="480" w:hanging="480"/>
      </w:pPr>
      <w:r w:rsidRPr="5037D466">
        <w:rPr>
          <w:rFonts w:ascii="Calibri" w:eastAsia="Calibri" w:hAnsi="Calibri" w:cs="Calibri"/>
        </w:rPr>
        <w:t xml:space="preserve">NCSL. 2019. </w:t>
      </w:r>
      <w:r w:rsidRPr="5037D466">
        <w:rPr>
          <w:rFonts w:ascii="Calibri" w:eastAsia="Calibri" w:hAnsi="Calibri" w:cs="Calibri"/>
          <w:i/>
          <w:iCs/>
        </w:rPr>
        <w:t>Redistricting Law 2020</w:t>
      </w:r>
      <w:r w:rsidRPr="5037D466">
        <w:rPr>
          <w:rFonts w:ascii="Calibri" w:eastAsia="Calibri" w:hAnsi="Calibri" w:cs="Calibri"/>
        </w:rPr>
        <w:t>. Legislatures, National Conference of State.</w:t>
      </w:r>
    </w:p>
    <w:p w14:paraId="6274C63A" w14:textId="2EBF1E4E" w:rsidR="794829A7" w:rsidRDefault="794829A7" w:rsidP="5037D466">
      <w:pPr>
        <w:ind w:left="480" w:hanging="480"/>
      </w:pPr>
      <w:proofErr w:type="spellStart"/>
      <w:r w:rsidRPr="489FFC7A">
        <w:rPr>
          <w:rFonts w:ascii="Calibri" w:eastAsia="Calibri" w:hAnsi="Calibri" w:cs="Calibri"/>
        </w:rPr>
        <w:t>Pildes</w:t>
      </w:r>
      <w:proofErr w:type="spellEnd"/>
      <w:r w:rsidRPr="489FFC7A">
        <w:rPr>
          <w:rFonts w:ascii="Calibri" w:eastAsia="Calibri" w:hAnsi="Calibri" w:cs="Calibri"/>
        </w:rPr>
        <w:t xml:space="preserve">, Richard H., and Richard G. Niemi. 1993. “Expressive </w:t>
      </w:r>
      <w:proofErr w:type="gramStart"/>
      <w:r w:rsidRPr="489FFC7A">
        <w:rPr>
          <w:rFonts w:ascii="Calibri" w:eastAsia="Calibri" w:hAnsi="Calibri" w:cs="Calibri"/>
        </w:rPr>
        <w:t>Harms ,</w:t>
      </w:r>
      <w:proofErr w:type="gramEnd"/>
      <w:r w:rsidRPr="489FFC7A">
        <w:rPr>
          <w:rFonts w:ascii="Calibri" w:eastAsia="Calibri" w:hAnsi="Calibri" w:cs="Calibri"/>
        </w:rPr>
        <w:t xml:space="preserve"> ‘ Bizarre Districts ,’ and Voting Rights : Evaluating Election-District Appearances after Shaw v . Reno.” </w:t>
      </w:r>
      <w:r w:rsidRPr="489FFC7A">
        <w:rPr>
          <w:rFonts w:ascii="Calibri" w:eastAsia="Calibri" w:hAnsi="Calibri" w:cs="Calibri"/>
          <w:i/>
          <w:iCs/>
        </w:rPr>
        <w:t>Michigan Law Review</w:t>
      </w:r>
      <w:r w:rsidRPr="489FFC7A">
        <w:rPr>
          <w:rFonts w:ascii="Calibri" w:eastAsia="Calibri" w:hAnsi="Calibri" w:cs="Calibri"/>
        </w:rPr>
        <w:t xml:space="preserve"> 92(3): 483–587.</w:t>
      </w:r>
    </w:p>
    <w:p w14:paraId="0B1F137A" w14:textId="4564B5C8" w:rsidR="794829A7" w:rsidRDefault="6510EABB" w:rsidP="489FFC7A">
      <w:pPr>
        <w:ind w:left="480" w:hanging="480"/>
      </w:pPr>
      <w:r w:rsidRPr="489FFC7A">
        <w:rPr>
          <w:rFonts w:ascii="Calibri" w:eastAsia="Calibri" w:hAnsi="Calibri" w:cs="Calibri"/>
        </w:rPr>
        <w:t>Schaffner, Brian F., And Patrick J. Sellers</w:t>
      </w:r>
      <w:r w:rsidR="794829A7" w:rsidRPr="489FFC7A">
        <w:rPr>
          <w:rFonts w:ascii="Calibri" w:eastAsia="Calibri" w:hAnsi="Calibri" w:cs="Calibri"/>
        </w:rPr>
        <w:t xml:space="preserve">. 2003. “The Structural Determinants of Local Congressional News Coverage.” </w:t>
      </w:r>
      <w:r w:rsidR="794829A7" w:rsidRPr="489FFC7A">
        <w:rPr>
          <w:rFonts w:ascii="Calibri" w:eastAsia="Calibri" w:hAnsi="Calibri" w:cs="Calibri"/>
          <w:i/>
          <w:iCs/>
        </w:rPr>
        <w:t>Political Communication</w:t>
      </w:r>
      <w:r w:rsidR="794829A7" w:rsidRPr="489FFC7A">
        <w:rPr>
          <w:rFonts w:ascii="Calibri" w:eastAsia="Calibri" w:hAnsi="Calibri" w:cs="Calibri"/>
        </w:rPr>
        <w:t xml:space="preserve"> 20(1): 41–57. </w:t>
      </w:r>
      <w:hyperlink r:id="rId26">
        <w:r w:rsidR="794829A7" w:rsidRPr="489FFC7A">
          <w:rPr>
            <w:rStyle w:val="Hyperlink"/>
            <w:rFonts w:ascii="Calibri" w:eastAsia="Calibri" w:hAnsi="Calibri" w:cs="Calibri"/>
          </w:rPr>
          <w:t>https://www.tandfonline.com/action/journalInformation?journalCode=upcp20</w:t>
        </w:r>
      </w:hyperlink>
      <w:r w:rsidR="794829A7" w:rsidRPr="489FFC7A">
        <w:rPr>
          <w:rFonts w:ascii="Calibri" w:eastAsia="Calibri" w:hAnsi="Calibri" w:cs="Calibri"/>
        </w:rPr>
        <w:t xml:space="preserve"> (Accessed June 14, 2020).</w:t>
      </w:r>
    </w:p>
    <w:p w14:paraId="7473E5CA" w14:textId="5536F31A" w:rsidR="794829A7" w:rsidRDefault="794829A7" w:rsidP="5037D466">
      <w:pPr>
        <w:ind w:left="480" w:hanging="480"/>
      </w:pPr>
      <w:r w:rsidRPr="5037D466">
        <w:rPr>
          <w:rFonts w:ascii="Calibri" w:eastAsia="Calibri" w:hAnsi="Calibri" w:cs="Calibri"/>
        </w:rPr>
        <w:t xml:space="preserve">Stephanopoulos, Nicholas O. 2012. “Spatial Diversity.” </w:t>
      </w:r>
      <w:r w:rsidRPr="5037D466">
        <w:rPr>
          <w:rFonts w:ascii="Calibri" w:eastAsia="Calibri" w:hAnsi="Calibri" w:cs="Calibri"/>
          <w:i/>
          <w:iCs/>
        </w:rPr>
        <w:t>Harvard Law Review</w:t>
      </w:r>
      <w:r w:rsidRPr="5037D466">
        <w:rPr>
          <w:rFonts w:ascii="Calibri" w:eastAsia="Calibri" w:hAnsi="Calibri" w:cs="Calibri"/>
        </w:rPr>
        <w:t xml:space="preserve"> 125: 1905–1981. </w:t>
      </w:r>
      <w:hyperlink r:id="rId27">
        <w:r w:rsidRPr="5037D466">
          <w:rPr>
            <w:rStyle w:val="Hyperlink"/>
            <w:rFonts w:ascii="Calibri" w:eastAsia="Calibri" w:hAnsi="Calibri" w:cs="Calibri"/>
          </w:rPr>
          <w:t>http://www.nationaljournal.com/almanac/area/pa/06</w:t>
        </w:r>
      </w:hyperlink>
      <w:r w:rsidRPr="5037D466">
        <w:rPr>
          <w:rFonts w:ascii="Calibri" w:eastAsia="Calibri" w:hAnsi="Calibri" w:cs="Calibri"/>
        </w:rPr>
        <w:t xml:space="preserve"> (Accessed December 17, 2019).</w:t>
      </w:r>
    </w:p>
    <w:p w14:paraId="442BD9F2" w14:textId="7459B8CE" w:rsidR="794829A7" w:rsidRDefault="794829A7" w:rsidP="5037D466">
      <w:pPr>
        <w:ind w:left="480" w:hanging="480"/>
      </w:pPr>
      <w:r w:rsidRPr="5037D466">
        <w:rPr>
          <w:rFonts w:ascii="Calibri" w:eastAsia="Calibri" w:hAnsi="Calibri" w:cs="Calibri"/>
        </w:rPr>
        <w:t xml:space="preserve">Stephanopoulos, Nicholas O. 2012. “Redistricting and the territorial community.” </w:t>
      </w:r>
      <w:r w:rsidRPr="5037D466">
        <w:rPr>
          <w:rFonts w:ascii="Calibri" w:eastAsia="Calibri" w:hAnsi="Calibri" w:cs="Calibri"/>
          <w:i/>
          <w:iCs/>
        </w:rPr>
        <w:t>University of Pennsylvania Law Review</w:t>
      </w:r>
      <w:r w:rsidRPr="5037D466">
        <w:rPr>
          <w:rFonts w:ascii="Calibri" w:eastAsia="Calibri" w:hAnsi="Calibri" w:cs="Calibri"/>
        </w:rPr>
        <w:t xml:space="preserve"> 160(5): 1379–1477.</w:t>
      </w:r>
    </w:p>
    <w:p w14:paraId="3AF1F2F7" w14:textId="7A6BF7F4" w:rsidR="794829A7" w:rsidRDefault="794829A7" w:rsidP="5037D466">
      <w:pPr>
        <w:ind w:left="480" w:hanging="480"/>
      </w:pPr>
      <w:r w:rsidRPr="5037D466">
        <w:rPr>
          <w:rFonts w:ascii="Calibri" w:eastAsia="Calibri" w:hAnsi="Calibri" w:cs="Calibri"/>
        </w:rPr>
        <w:t xml:space="preserve">Wong, Cara J. 2010. Boundaries of Obligation in American Politics: Geographic, National, and Racial Communities </w:t>
      </w:r>
      <w:r w:rsidRPr="5037D466">
        <w:rPr>
          <w:rFonts w:ascii="Calibri" w:eastAsia="Calibri" w:hAnsi="Calibri" w:cs="Calibri"/>
          <w:i/>
          <w:iCs/>
        </w:rPr>
        <w:t>Boundaries of Obligation in American Politics</w:t>
      </w:r>
      <w:r w:rsidRPr="5037D466">
        <w:rPr>
          <w:rFonts w:ascii="Calibri" w:eastAsia="Calibri" w:hAnsi="Calibri" w:cs="Calibri"/>
        </w:rPr>
        <w:t xml:space="preserve">. Cambridge: Cambridge University Press. </w:t>
      </w:r>
      <w:hyperlink r:id="rId28">
        <w:r w:rsidRPr="5037D466">
          <w:rPr>
            <w:rStyle w:val="Hyperlink"/>
            <w:rFonts w:ascii="Calibri" w:eastAsia="Calibri" w:hAnsi="Calibri" w:cs="Calibri"/>
          </w:rPr>
          <w:t>http://ebooks.cambridge.org/ref/id/CBO9780511802874</w:t>
        </w:r>
      </w:hyperlink>
      <w:r w:rsidRPr="5037D466">
        <w:rPr>
          <w:rFonts w:ascii="Calibri" w:eastAsia="Calibri" w:hAnsi="Calibri" w:cs="Calibri"/>
        </w:rPr>
        <w:t xml:space="preserve"> (Accessed May 23, 2020).</w:t>
      </w:r>
    </w:p>
    <w:p w14:paraId="39878D3A" w14:textId="0851EE58" w:rsidR="5037D466" w:rsidRDefault="5037D466" w:rsidP="5037D466">
      <w:pPr>
        <w:ind w:left="480" w:hanging="480"/>
        <w:rPr>
          <w:rFonts w:ascii="Calibri" w:eastAsia="Calibri" w:hAnsi="Calibri" w:cs="Calibri"/>
        </w:rPr>
      </w:pPr>
    </w:p>
    <w:p w14:paraId="6C08F92A" w14:textId="4597657E" w:rsidR="5037D466" w:rsidRDefault="5037D466" w:rsidP="5037D466">
      <w:pPr>
        <w:ind w:left="480" w:hanging="480"/>
        <w:rPr>
          <w:rFonts w:ascii="Calibri" w:eastAsia="Calibri" w:hAnsi="Calibri" w:cs="Calibri"/>
        </w:rPr>
      </w:pPr>
    </w:p>
    <w:p w14:paraId="2D789294" w14:textId="5646F53E" w:rsidR="5037D466" w:rsidRDefault="5037D466" w:rsidP="5037D466">
      <w:pPr>
        <w:spacing w:line="360" w:lineRule="auto"/>
        <w:rPr>
          <w:rFonts w:ascii="Georgia" w:eastAsia="Georgia" w:hAnsi="Georgia" w:cs="Georgia"/>
          <w:sz w:val="24"/>
          <w:szCs w:val="24"/>
        </w:rPr>
      </w:pPr>
    </w:p>
    <w:p w14:paraId="1B7B1EF2" w14:textId="539751F5" w:rsidR="4C00BD75" w:rsidRPr="008A3BB1" w:rsidRDefault="4C00BD75" w:rsidP="008A3BB1">
      <w:pPr>
        <w:pStyle w:val="Heading2"/>
        <w:rPr>
          <w:rFonts w:eastAsia="Georgia"/>
          <w:i/>
          <w:iCs/>
        </w:rPr>
      </w:pPr>
      <w:r w:rsidRPr="1E9CA6D6">
        <w:rPr>
          <w:rFonts w:eastAsia="Georgia"/>
          <w:i/>
          <w:iCs/>
        </w:rPr>
        <w:t>CASES CITED</w:t>
      </w:r>
    </w:p>
    <w:p w14:paraId="21F3DC93" w14:textId="0A3C77CE" w:rsidR="1E9CA6D6" w:rsidRDefault="1E9CA6D6" w:rsidP="1E9CA6D6"/>
    <w:p w14:paraId="4F3A2747" w14:textId="711CDA26" w:rsidR="4C00BD75" w:rsidRDefault="4C00BD75" w:rsidP="5037D466">
      <w:pPr>
        <w:rPr>
          <w:rFonts w:ascii="Georgia" w:eastAsia="Georgia" w:hAnsi="Georgia" w:cs="Georgia"/>
          <w:sz w:val="24"/>
          <w:szCs w:val="24"/>
        </w:rPr>
      </w:pPr>
      <w:proofErr w:type="spellStart"/>
      <w:r w:rsidRPr="008A3BB1">
        <w:rPr>
          <w:rFonts w:ascii="Georgia" w:eastAsia="Georgia" w:hAnsi="Georgia" w:cs="Georgia"/>
          <w:i/>
          <w:iCs/>
          <w:sz w:val="24"/>
          <w:szCs w:val="24"/>
        </w:rPr>
        <w:t>Gomillion</w:t>
      </w:r>
      <w:proofErr w:type="spellEnd"/>
      <w:r w:rsidRPr="008A3BB1">
        <w:rPr>
          <w:rFonts w:ascii="Georgia" w:eastAsia="Georgia" w:hAnsi="Georgia" w:cs="Georgia"/>
          <w:i/>
          <w:iCs/>
          <w:sz w:val="24"/>
          <w:szCs w:val="24"/>
        </w:rPr>
        <w:t> v. L</w:t>
      </w:r>
      <w:r w:rsidRPr="5037D466">
        <w:rPr>
          <w:rFonts w:ascii="Georgia" w:eastAsia="Georgia" w:hAnsi="Georgia" w:cs="Georgia"/>
          <w:i/>
          <w:iCs/>
          <w:sz w:val="24"/>
          <w:szCs w:val="24"/>
        </w:rPr>
        <w:t>ightfoot</w:t>
      </w:r>
      <w:r w:rsidRPr="5037D466">
        <w:rPr>
          <w:rFonts w:ascii="Georgia" w:eastAsia="Georgia" w:hAnsi="Georgia" w:cs="Georgia"/>
          <w:sz w:val="24"/>
          <w:szCs w:val="24"/>
        </w:rPr>
        <w:t>, 364 U.S. 339 (1960)</w:t>
      </w:r>
    </w:p>
    <w:p w14:paraId="01BE9C65" w14:textId="7E695D2F" w:rsidR="4C00BD75" w:rsidRDefault="4C00BD75" w:rsidP="5037D466">
      <w:pPr>
        <w:rPr>
          <w:rFonts w:ascii="Georgia" w:eastAsia="Georgia" w:hAnsi="Georgia" w:cs="Georgia"/>
          <w:sz w:val="24"/>
          <w:szCs w:val="24"/>
        </w:rPr>
      </w:pPr>
      <w:r w:rsidRPr="5037D466">
        <w:rPr>
          <w:rFonts w:ascii="Georgia" w:eastAsia="Georgia" w:hAnsi="Georgia" w:cs="Georgia"/>
          <w:i/>
          <w:iCs/>
          <w:sz w:val="24"/>
          <w:szCs w:val="24"/>
        </w:rPr>
        <w:t>United Jewish Organizations of </w:t>
      </w:r>
      <w:proofErr w:type="spellStart"/>
      <w:r w:rsidRPr="5037D466">
        <w:rPr>
          <w:rFonts w:ascii="Georgia" w:eastAsia="Georgia" w:hAnsi="Georgia" w:cs="Georgia"/>
          <w:i/>
          <w:iCs/>
          <w:sz w:val="24"/>
          <w:szCs w:val="24"/>
        </w:rPr>
        <w:t>Williamsburgh</w:t>
      </w:r>
      <w:proofErr w:type="spellEnd"/>
      <w:r w:rsidRPr="5037D466">
        <w:rPr>
          <w:rFonts w:ascii="Georgia" w:eastAsia="Georgia" w:hAnsi="Georgia" w:cs="Georgia"/>
          <w:i/>
          <w:iCs/>
          <w:sz w:val="24"/>
          <w:szCs w:val="24"/>
        </w:rPr>
        <w:t>, Inc. v. Carey</w:t>
      </w:r>
      <w:r w:rsidRPr="5037D466">
        <w:rPr>
          <w:rFonts w:ascii="Georgia" w:eastAsia="Georgia" w:hAnsi="Georgia" w:cs="Georgia"/>
          <w:sz w:val="24"/>
          <w:szCs w:val="24"/>
        </w:rPr>
        <w:t> 430 U.S. 144 (1977)</w:t>
      </w:r>
    </w:p>
    <w:p w14:paraId="3E5C041B" w14:textId="5F7D48C7" w:rsidR="4C00BD75" w:rsidRDefault="4C00BD75" w:rsidP="5037D466">
      <w:pPr>
        <w:rPr>
          <w:rFonts w:ascii="Georgia" w:eastAsia="Georgia" w:hAnsi="Georgia" w:cs="Georgia"/>
          <w:sz w:val="24"/>
          <w:szCs w:val="24"/>
        </w:rPr>
      </w:pPr>
      <w:r w:rsidRPr="5037D466">
        <w:rPr>
          <w:rFonts w:ascii="Georgia" w:eastAsia="Georgia" w:hAnsi="Georgia" w:cs="Georgia"/>
          <w:i/>
          <w:iCs/>
          <w:sz w:val="24"/>
          <w:szCs w:val="24"/>
        </w:rPr>
        <w:t xml:space="preserve">Davis v. </w:t>
      </w:r>
      <w:proofErr w:type="spellStart"/>
      <w:r w:rsidRPr="5037D466">
        <w:rPr>
          <w:rFonts w:ascii="Georgia" w:eastAsia="Georgia" w:hAnsi="Georgia" w:cs="Georgia"/>
          <w:i/>
          <w:iCs/>
          <w:sz w:val="24"/>
          <w:szCs w:val="24"/>
        </w:rPr>
        <w:t>Bandemer</w:t>
      </w:r>
      <w:proofErr w:type="spellEnd"/>
      <w:r w:rsidRPr="5037D466">
        <w:rPr>
          <w:rFonts w:ascii="Georgia" w:eastAsia="Georgia" w:hAnsi="Georgia" w:cs="Georgia"/>
          <w:sz w:val="24"/>
          <w:szCs w:val="24"/>
        </w:rPr>
        <w:t>, 478 U.S. 109 (1986)</w:t>
      </w:r>
    </w:p>
    <w:p w14:paraId="154BB022" w14:textId="5950F3D9" w:rsidR="4C00BD75" w:rsidRDefault="4C00BD75" w:rsidP="5037D466">
      <w:pPr>
        <w:rPr>
          <w:rFonts w:ascii="Georgia" w:eastAsia="Georgia" w:hAnsi="Georgia" w:cs="Georgia"/>
          <w:sz w:val="24"/>
          <w:szCs w:val="24"/>
        </w:rPr>
      </w:pPr>
      <w:r w:rsidRPr="5037D466">
        <w:rPr>
          <w:rFonts w:ascii="Georgia" w:eastAsia="Georgia" w:hAnsi="Georgia" w:cs="Georgia"/>
          <w:i/>
          <w:iCs/>
          <w:sz w:val="24"/>
          <w:szCs w:val="24"/>
        </w:rPr>
        <w:t>Pope v. Blue</w:t>
      </w:r>
      <w:r w:rsidRPr="5037D466">
        <w:rPr>
          <w:rFonts w:ascii="Georgia" w:eastAsia="Georgia" w:hAnsi="Georgia" w:cs="Georgia"/>
          <w:sz w:val="24"/>
          <w:szCs w:val="24"/>
        </w:rPr>
        <w:t>, 809 F. Supp. 392 (W.D.N.C. 1992)</w:t>
      </w:r>
    </w:p>
    <w:p w14:paraId="4866DDD9" w14:textId="1C2F8BDC" w:rsidR="4C00BD75" w:rsidRDefault="4C00BD75" w:rsidP="5037D466">
      <w:pPr>
        <w:rPr>
          <w:rFonts w:ascii="Georgia" w:eastAsia="Georgia" w:hAnsi="Georgia" w:cs="Georgia"/>
          <w:sz w:val="24"/>
          <w:szCs w:val="24"/>
        </w:rPr>
      </w:pPr>
      <w:r w:rsidRPr="5037D466">
        <w:rPr>
          <w:rFonts w:ascii="Georgia" w:eastAsia="Georgia" w:hAnsi="Georgia" w:cs="Georgia"/>
          <w:i/>
          <w:iCs/>
          <w:sz w:val="24"/>
          <w:szCs w:val="24"/>
        </w:rPr>
        <w:t>Shaw v. Reno</w:t>
      </w:r>
      <w:r w:rsidRPr="5037D466">
        <w:rPr>
          <w:rFonts w:ascii="Georgia" w:eastAsia="Georgia" w:hAnsi="Georgia" w:cs="Georgia"/>
          <w:sz w:val="24"/>
          <w:szCs w:val="24"/>
        </w:rPr>
        <w:t>, 509 U.S. 630 (1993)</w:t>
      </w:r>
    </w:p>
    <w:p w14:paraId="67D33109" w14:textId="62451E81" w:rsidR="4C00BD75" w:rsidRDefault="4C00BD75" w:rsidP="5037D466">
      <w:pPr>
        <w:rPr>
          <w:rFonts w:ascii="Georgia" w:eastAsia="Georgia" w:hAnsi="Georgia" w:cs="Georgia"/>
          <w:sz w:val="24"/>
          <w:szCs w:val="24"/>
        </w:rPr>
      </w:pPr>
      <w:r w:rsidRPr="5037D466">
        <w:rPr>
          <w:rFonts w:ascii="Georgia" w:eastAsia="Georgia" w:hAnsi="Georgia" w:cs="Georgia"/>
          <w:i/>
          <w:iCs/>
          <w:sz w:val="24"/>
          <w:szCs w:val="24"/>
        </w:rPr>
        <w:t>In re Legislative Districting of State</w:t>
      </w:r>
      <w:r w:rsidRPr="5037D466">
        <w:rPr>
          <w:rFonts w:ascii="Georgia" w:eastAsia="Georgia" w:hAnsi="Georgia" w:cs="Georgia"/>
          <w:sz w:val="24"/>
          <w:szCs w:val="24"/>
        </w:rPr>
        <w:t>, 370 Md. at 323, 805 A.2d at 298 (2002)</w:t>
      </w:r>
    </w:p>
    <w:p w14:paraId="3B8B7428" w14:textId="1574858C" w:rsidR="4C00BD75" w:rsidRDefault="4C00BD75" w:rsidP="5037D466">
      <w:pPr>
        <w:rPr>
          <w:rFonts w:ascii="Georgia" w:eastAsia="Georgia" w:hAnsi="Georgia" w:cs="Georgia"/>
          <w:sz w:val="24"/>
          <w:szCs w:val="24"/>
        </w:rPr>
      </w:pPr>
      <w:r w:rsidRPr="5037D466">
        <w:rPr>
          <w:rFonts w:ascii="Georgia" w:eastAsia="Georgia" w:hAnsi="Georgia" w:cs="Georgia"/>
          <w:i/>
          <w:iCs/>
          <w:sz w:val="24"/>
          <w:szCs w:val="24"/>
        </w:rPr>
        <w:t>LULAC v. Perry</w:t>
      </w:r>
      <w:r w:rsidRPr="5037D466">
        <w:rPr>
          <w:rFonts w:ascii="Georgia" w:eastAsia="Georgia" w:hAnsi="Georgia" w:cs="Georgia"/>
          <w:sz w:val="24"/>
          <w:szCs w:val="24"/>
        </w:rPr>
        <w:t>, 548 U.S. 339 (2006)</w:t>
      </w:r>
    </w:p>
    <w:p w14:paraId="5F6563DF" w14:textId="7B35475F" w:rsidR="4C00BD75" w:rsidRDefault="4C00BD75" w:rsidP="5037D466">
      <w:pPr>
        <w:rPr>
          <w:rFonts w:ascii="Georgia" w:eastAsia="Georgia" w:hAnsi="Georgia" w:cs="Georgia"/>
          <w:sz w:val="24"/>
          <w:szCs w:val="24"/>
        </w:rPr>
      </w:pPr>
      <w:r w:rsidRPr="5037D466">
        <w:rPr>
          <w:rFonts w:ascii="Georgia" w:eastAsia="Georgia" w:hAnsi="Georgia" w:cs="Georgia"/>
          <w:i/>
          <w:iCs/>
          <w:sz w:val="24"/>
          <w:szCs w:val="24"/>
        </w:rPr>
        <w:t>Alabama Legislative Black Caucus v. Alabama</w:t>
      </w:r>
      <w:r w:rsidRPr="5037D466">
        <w:rPr>
          <w:rFonts w:ascii="Georgia" w:eastAsia="Georgia" w:hAnsi="Georgia" w:cs="Georgia"/>
          <w:sz w:val="24"/>
          <w:szCs w:val="24"/>
        </w:rPr>
        <w:t>, 135 S. Ct. 1257 (2015)</w:t>
      </w:r>
    </w:p>
    <w:p w14:paraId="4851A027" w14:textId="324549A4" w:rsidR="4C00BD75" w:rsidRDefault="4C00BD75" w:rsidP="5037D466">
      <w:pPr>
        <w:rPr>
          <w:rFonts w:ascii="Georgia" w:eastAsia="Georgia" w:hAnsi="Georgia" w:cs="Georgia"/>
          <w:sz w:val="24"/>
          <w:szCs w:val="24"/>
        </w:rPr>
      </w:pPr>
      <w:proofErr w:type="spellStart"/>
      <w:r w:rsidRPr="5037D466">
        <w:rPr>
          <w:rFonts w:ascii="Georgia" w:eastAsia="Georgia" w:hAnsi="Georgia" w:cs="Georgia"/>
          <w:i/>
          <w:iCs/>
          <w:sz w:val="24"/>
          <w:szCs w:val="24"/>
        </w:rPr>
        <w:t>Personhuballah</w:t>
      </w:r>
      <w:proofErr w:type="spellEnd"/>
      <w:r w:rsidRPr="5037D466">
        <w:rPr>
          <w:rFonts w:ascii="Georgia" w:eastAsia="Georgia" w:hAnsi="Georgia" w:cs="Georgia"/>
          <w:i/>
          <w:iCs/>
          <w:sz w:val="24"/>
          <w:szCs w:val="24"/>
        </w:rPr>
        <w:t xml:space="preserve"> et al. v. Alcorn</w:t>
      </w:r>
      <w:r w:rsidRPr="5037D466">
        <w:rPr>
          <w:rFonts w:ascii="Georgia" w:eastAsia="Georgia" w:hAnsi="Georgia" w:cs="Georgia"/>
          <w:sz w:val="24"/>
          <w:szCs w:val="24"/>
        </w:rPr>
        <w:t xml:space="preserve"> et al. 239 F. Supp. 3d 929 (E.D. Va. 2017)</w:t>
      </w:r>
    </w:p>
    <w:p w14:paraId="1D84A67E" w14:textId="3F314BB4" w:rsidR="4C00BD75" w:rsidRDefault="4C00BD75" w:rsidP="5037D466">
      <w:pPr>
        <w:spacing w:line="360" w:lineRule="auto"/>
        <w:rPr>
          <w:rFonts w:ascii="Georgia" w:eastAsia="Georgia" w:hAnsi="Georgia" w:cs="Georgia"/>
          <w:sz w:val="24"/>
          <w:szCs w:val="24"/>
        </w:rPr>
      </w:pPr>
      <w:proofErr w:type="spellStart"/>
      <w:r w:rsidRPr="5037D466">
        <w:rPr>
          <w:rFonts w:ascii="Georgia" w:eastAsia="Georgia" w:hAnsi="Georgia" w:cs="Georgia"/>
          <w:i/>
          <w:iCs/>
          <w:sz w:val="24"/>
          <w:szCs w:val="24"/>
        </w:rPr>
        <w:t>Rucho</w:t>
      </w:r>
      <w:proofErr w:type="spellEnd"/>
      <w:r w:rsidRPr="5037D466">
        <w:rPr>
          <w:rFonts w:ascii="Georgia" w:eastAsia="Georgia" w:hAnsi="Georgia" w:cs="Georgia"/>
          <w:i/>
          <w:iCs/>
          <w:sz w:val="24"/>
          <w:szCs w:val="24"/>
        </w:rPr>
        <w:t xml:space="preserve"> v. Common Cause</w:t>
      </w:r>
      <w:r w:rsidRPr="5037D466">
        <w:rPr>
          <w:rFonts w:ascii="Georgia" w:eastAsia="Georgia" w:hAnsi="Georgia" w:cs="Georgia"/>
          <w:sz w:val="24"/>
          <w:szCs w:val="24"/>
        </w:rPr>
        <w:t>, 588 U.S. ___ (2019)</w:t>
      </w:r>
    </w:p>
    <w:sectPr w:rsidR="4C00BD75" w:rsidSect="00636B8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5D1FFD" w14:textId="77777777" w:rsidR="00A32325" w:rsidRDefault="00A32325" w:rsidP="00D90839">
      <w:pPr>
        <w:spacing w:after="0" w:line="240" w:lineRule="auto"/>
      </w:pPr>
      <w:r>
        <w:separator/>
      </w:r>
    </w:p>
  </w:endnote>
  <w:endnote w:type="continuationSeparator" w:id="0">
    <w:p w14:paraId="363E2401" w14:textId="77777777" w:rsidR="00A32325" w:rsidRDefault="00A32325" w:rsidP="00D90839">
      <w:pPr>
        <w:spacing w:after="0" w:line="240" w:lineRule="auto"/>
      </w:pPr>
      <w:r>
        <w:continuationSeparator/>
      </w:r>
    </w:p>
  </w:endnote>
  <w:endnote w:type="continuationNotice" w:id="1">
    <w:p w14:paraId="2F8807EF" w14:textId="77777777" w:rsidR="00A32325" w:rsidRDefault="00A323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Roboto-Bold">
    <w:altName w:val="Arial"/>
    <w:panose1 w:val="020B0604020202020204"/>
    <w:charset w:val="00"/>
    <w:family w:val="auto"/>
    <w:pitch w:val="default"/>
    <w:sig w:usb0="00000003" w:usb1="00000000" w:usb2="00000000" w:usb3="00000000" w:csb0="00000001" w:csb1="00000000"/>
  </w:font>
  <w:font w:name="AdvPSA88A">
    <w:altName w:val="Cambria"/>
    <w:panose1 w:val="020B0604020202020204"/>
    <w:charset w:val="00"/>
    <w:family w:val="roman"/>
    <w:pitch w:val="default"/>
    <w:sig w:usb0="00000003" w:usb1="00000000" w:usb2="00000000" w:usb3="00000000" w:csb0="00000001" w:csb1="00000000"/>
  </w:font>
  <w:font w:name="GillSansStd">
    <w:altName w:val="Yu Gothic"/>
    <w:panose1 w:val="020B0604020202020204"/>
    <w:charset w:val="80"/>
    <w:family w:val="swiss"/>
    <w:pitch w:val="default"/>
    <w:sig w:usb0="00000001" w:usb1="08070000" w:usb2="00000010" w:usb3="00000000" w:csb0="00020000" w:csb1="00000000"/>
  </w:font>
  <w:font w:name="TimesNewRomanPSMT">
    <w:altName w:val="Times New Roman"/>
    <w:panose1 w:val="020B0604020202020204"/>
    <w:charset w:val="00"/>
    <w:family w:val="roman"/>
    <w:pitch w:val="default"/>
    <w:sig w:usb0="00000003" w:usb1="00000000" w:usb2="00000000" w:usb3="00000000" w:csb0="00000001" w:csb1="00000000"/>
  </w:font>
  <w:font w:name="URWPalladioL-Ital">
    <w:altName w:val="Calibri"/>
    <w:panose1 w:val="020B0604020202020204"/>
    <w:charset w:val="00"/>
    <w:family w:val="auto"/>
    <w:pitch w:val="default"/>
    <w:sig w:usb0="00000003" w:usb1="00000000" w:usb2="00000000" w:usb3="00000000" w:csb0="00000001" w:csb1="00000000"/>
  </w:font>
  <w:font w:name="URWPalladioL-Roma">
    <w:altName w:val="Calibri"/>
    <w:panose1 w:val="020B06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17749417"/>
      <w:docPartObj>
        <w:docPartGallery w:val="Page Numbers (Bottom of Page)"/>
        <w:docPartUnique/>
      </w:docPartObj>
    </w:sdtPr>
    <w:sdtContent>
      <w:p w14:paraId="3D236A45" w14:textId="1E4B1149" w:rsidR="00F06C03" w:rsidRDefault="00F06C03" w:rsidP="00F97E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2F7A25" w14:textId="77777777" w:rsidR="00F06C03" w:rsidRDefault="00F06C03" w:rsidP="00F06C0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94367052"/>
      <w:docPartObj>
        <w:docPartGallery w:val="Page Numbers (Bottom of Page)"/>
        <w:docPartUnique/>
      </w:docPartObj>
    </w:sdtPr>
    <w:sdtContent>
      <w:p w14:paraId="1360FAA9" w14:textId="2A5B20F4" w:rsidR="00F06C03" w:rsidRDefault="00F06C03" w:rsidP="00F97E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BBB23F" w14:textId="77777777" w:rsidR="00F06C03" w:rsidRDefault="00F06C03" w:rsidP="00F06C0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1BA5C" w14:textId="77777777" w:rsidR="00F06C03" w:rsidRDefault="00F06C03" w:rsidP="00F06C0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E55C9" w14:textId="77777777" w:rsidR="00A32325" w:rsidRDefault="00A32325" w:rsidP="00D90839">
      <w:pPr>
        <w:spacing w:after="0" w:line="240" w:lineRule="auto"/>
      </w:pPr>
      <w:r>
        <w:separator/>
      </w:r>
    </w:p>
  </w:footnote>
  <w:footnote w:type="continuationSeparator" w:id="0">
    <w:p w14:paraId="5E24F4E6" w14:textId="77777777" w:rsidR="00A32325" w:rsidRDefault="00A32325" w:rsidP="00D90839">
      <w:pPr>
        <w:spacing w:after="0" w:line="240" w:lineRule="auto"/>
      </w:pPr>
      <w:r>
        <w:continuationSeparator/>
      </w:r>
    </w:p>
  </w:footnote>
  <w:footnote w:type="continuationNotice" w:id="1">
    <w:p w14:paraId="408E1475" w14:textId="77777777" w:rsidR="00A32325" w:rsidRDefault="00A32325">
      <w:pPr>
        <w:spacing w:after="0" w:line="240" w:lineRule="auto"/>
      </w:pPr>
    </w:p>
  </w:footnote>
  <w:footnote w:id="2">
    <w:p w14:paraId="60388277" w14:textId="77777777" w:rsidR="00880B78" w:rsidRPr="005167D1" w:rsidRDefault="00880B78" w:rsidP="489FFC7A">
      <w:pPr>
        <w:pStyle w:val="FootnoteText"/>
        <w:ind w:firstLine="720"/>
        <w:rPr>
          <w:rFonts w:ascii="Georgia" w:hAnsi="Georgia"/>
          <w:b/>
          <w:bCs/>
        </w:rPr>
      </w:pPr>
      <w:r w:rsidRPr="489FFC7A">
        <w:rPr>
          <w:rStyle w:val="FootnoteReference"/>
          <w:rFonts w:ascii="Calibri" w:eastAsia="Calibri" w:hAnsi="Calibri" w:cs="Calibri"/>
          <w:b/>
          <w:bCs/>
        </w:rPr>
        <w:footnoteRef/>
      </w:r>
      <w:r w:rsidR="489FFC7A" w:rsidRPr="489FFC7A">
        <w:rPr>
          <w:rFonts w:ascii="Calibri" w:eastAsia="Calibri" w:hAnsi="Calibri" w:cs="Calibri"/>
          <w:b/>
          <w:bCs/>
        </w:rPr>
        <w:t xml:space="preserve"> </w:t>
      </w:r>
      <w:r w:rsidR="489FFC7A" w:rsidRPr="489FFC7A">
        <w:rPr>
          <w:rFonts w:ascii="Calibri" w:eastAsia="Calibri" w:hAnsi="Calibri" w:cs="Calibri"/>
        </w:rPr>
        <w:t xml:space="preserve">In addition, there are school districts of various sorts and a </w:t>
      </w:r>
      <w:proofErr w:type="spellStart"/>
      <w:r w:rsidR="489FFC7A" w:rsidRPr="489FFC7A">
        <w:rPr>
          <w:rFonts w:ascii="Calibri" w:eastAsia="Calibri" w:hAnsi="Calibri" w:cs="Calibri"/>
        </w:rPr>
        <w:t>congery</w:t>
      </w:r>
      <w:proofErr w:type="spellEnd"/>
      <w:r w:rsidR="489FFC7A" w:rsidRPr="489FFC7A">
        <w:rPr>
          <w:rFonts w:ascii="Calibri" w:eastAsia="Calibri" w:hAnsi="Calibri" w:cs="Calibri"/>
        </w:rPr>
        <w:t xml:space="preserve"> of special purpose districts that also need redrawing.</w:t>
      </w:r>
      <w:r w:rsidR="489FFC7A" w:rsidRPr="489FFC7A">
        <w:rPr>
          <w:rFonts w:ascii="Calibri" w:eastAsia="Calibri" w:hAnsi="Calibri" w:cs="Calibri"/>
          <w:b/>
          <w:bCs/>
        </w:rPr>
        <w:t xml:space="preserve"> </w:t>
      </w:r>
    </w:p>
    <w:p w14:paraId="72F1FC19" w14:textId="77777777" w:rsidR="00880B78" w:rsidRPr="00AB7776" w:rsidRDefault="00880B78" w:rsidP="489FFC7A">
      <w:pPr>
        <w:pStyle w:val="FootnoteText"/>
        <w:ind w:firstLine="720"/>
        <w:rPr>
          <w:rFonts w:ascii="Georgia" w:hAnsi="Georgia"/>
        </w:rPr>
      </w:pPr>
    </w:p>
  </w:footnote>
  <w:footnote w:id="3">
    <w:p w14:paraId="4861485D" w14:textId="77777777" w:rsidR="00880B78" w:rsidRPr="00AB7776" w:rsidRDefault="00880B78" w:rsidP="489FFC7A">
      <w:pPr>
        <w:pStyle w:val="FootnoteText"/>
        <w:ind w:firstLine="720"/>
        <w:rPr>
          <w:rFonts w:ascii="Georgia" w:hAnsi="Georgia"/>
        </w:rPr>
      </w:pPr>
      <w:r w:rsidRPr="489FFC7A">
        <w:rPr>
          <w:rStyle w:val="FootnoteReference"/>
          <w:rFonts w:ascii="Calibri" w:eastAsia="Calibri" w:hAnsi="Calibri" w:cs="Calibri"/>
        </w:rPr>
        <w:footnoteRef/>
      </w:r>
      <w:r w:rsidR="489FFC7A" w:rsidRPr="489FFC7A">
        <w:rPr>
          <w:rFonts w:ascii="Calibri" w:eastAsia="Calibri" w:hAnsi="Calibri" w:cs="Calibri"/>
        </w:rPr>
        <w:t xml:space="preserve"> We include Nebraska’s unicameral legislature.</w:t>
      </w:r>
    </w:p>
    <w:p w14:paraId="5721E63C" w14:textId="77777777" w:rsidR="00880B78" w:rsidRPr="00AB7776" w:rsidRDefault="00880B78" w:rsidP="489FFC7A">
      <w:pPr>
        <w:pStyle w:val="FootnoteText"/>
        <w:ind w:firstLine="720"/>
        <w:rPr>
          <w:rFonts w:ascii="Georgia" w:hAnsi="Georgia"/>
        </w:rPr>
      </w:pPr>
    </w:p>
  </w:footnote>
  <w:footnote w:id="4">
    <w:p w14:paraId="6B2C5BDF" w14:textId="05321ECC" w:rsidR="003B6C58" w:rsidRPr="003B6C58" w:rsidRDefault="003B6C58" w:rsidP="489FFC7A">
      <w:pPr>
        <w:pStyle w:val="FootnoteText"/>
        <w:ind w:firstLine="720"/>
        <w:rPr>
          <w:rFonts w:ascii="Georgia" w:hAnsi="Georgia" w:cs="Times New Roman"/>
          <w:lang w:bidi="th-TH"/>
        </w:rPr>
      </w:pPr>
      <w:r w:rsidRPr="489FFC7A">
        <w:rPr>
          <w:rStyle w:val="FootnoteReference"/>
          <w:rFonts w:ascii="Calibri" w:eastAsia="Calibri" w:hAnsi="Calibri" w:cs="Calibri"/>
        </w:rPr>
        <w:footnoteRef/>
      </w:r>
      <w:r w:rsidR="489FFC7A" w:rsidRPr="489FFC7A">
        <w:rPr>
          <w:rFonts w:ascii="Calibri" w:eastAsia="Calibri" w:hAnsi="Calibri" w:cs="Calibri"/>
        </w:rPr>
        <w:t xml:space="preserve"> Avoiding the use of race as a preponderant motive is identified by the U.S Supreme Court as </w:t>
      </w:r>
      <w:r w:rsidR="489FFC7A" w:rsidRPr="489FFC7A">
        <w:rPr>
          <w:rFonts w:ascii="Calibri" w:eastAsia="Calibri" w:hAnsi="Calibri" w:cs="Calibri"/>
          <w:lang w:bidi="th-TH"/>
        </w:rPr>
        <w:t xml:space="preserve">constitutionally mandated in </w:t>
      </w:r>
      <w:r w:rsidR="489FFC7A" w:rsidRPr="489FFC7A">
        <w:rPr>
          <w:rFonts w:ascii="Calibri" w:eastAsia="Calibri" w:hAnsi="Calibri" w:cs="Calibri"/>
          <w:i/>
          <w:iCs/>
          <w:lang w:bidi="th-TH"/>
        </w:rPr>
        <w:t>Shaw v. Reno</w:t>
      </w:r>
      <w:r w:rsidR="489FFC7A" w:rsidRPr="489FFC7A">
        <w:rPr>
          <w:rFonts w:ascii="Calibri" w:eastAsia="Calibri" w:hAnsi="Calibri" w:cs="Calibri"/>
        </w:rPr>
        <w:t>, 509 U.S. 630 (1993)</w:t>
      </w:r>
      <w:r w:rsidR="489FFC7A" w:rsidRPr="489FFC7A">
        <w:rPr>
          <w:rFonts w:ascii="Calibri" w:eastAsia="Calibri" w:hAnsi="Calibri" w:cs="Calibri"/>
          <w:lang w:bidi="th-TH"/>
        </w:rPr>
        <w:t xml:space="preserve">, reaffirmed in </w:t>
      </w:r>
      <w:r w:rsidR="489FFC7A" w:rsidRPr="489FFC7A">
        <w:rPr>
          <w:rFonts w:ascii="Calibri" w:eastAsia="Calibri" w:hAnsi="Calibri" w:cs="Calibri"/>
          <w:i/>
          <w:iCs/>
          <w:lang w:bidi="th-TH"/>
        </w:rPr>
        <w:t>Alabama Legislative Black Caucus v. Alabama</w:t>
      </w:r>
      <w:r w:rsidR="489FFC7A" w:rsidRPr="489FFC7A">
        <w:rPr>
          <w:rFonts w:ascii="Calibri" w:eastAsia="Calibri" w:hAnsi="Calibri" w:cs="Calibri"/>
          <w:lang w:bidi="th-TH"/>
        </w:rPr>
        <w:t>, 135 S. Ct. 1257 (2015).</w:t>
      </w:r>
    </w:p>
  </w:footnote>
  <w:footnote w:id="5">
    <w:p w14:paraId="4D19B002" w14:textId="2AAC99D2" w:rsidR="00F0487F" w:rsidRPr="00840BFE" w:rsidRDefault="00F0487F" w:rsidP="489FFC7A">
      <w:pPr>
        <w:pStyle w:val="FootnoteText"/>
        <w:ind w:firstLine="720"/>
        <w:rPr>
          <w:rFonts w:ascii="Georgia" w:hAnsi="Georgia" w:cs="Arial"/>
          <w:b/>
          <w:bCs/>
          <w:shd w:val="clear" w:color="auto" w:fill="FFFFFF"/>
        </w:rPr>
      </w:pPr>
      <w:r w:rsidRPr="489FFC7A">
        <w:rPr>
          <w:rStyle w:val="FootnoteReference"/>
          <w:rFonts w:ascii="Calibri" w:eastAsia="Calibri" w:hAnsi="Calibri" w:cs="Calibri"/>
        </w:rPr>
        <w:footnoteRef/>
      </w:r>
      <w:r w:rsidR="489FFC7A" w:rsidRPr="489FFC7A">
        <w:rPr>
          <w:rFonts w:ascii="Calibri" w:eastAsia="Calibri" w:hAnsi="Calibri" w:cs="Calibri"/>
        </w:rPr>
        <w:t xml:space="preserve"> While it once appeared that the Supreme Court might accept a district specific standard for partisan gerrymandering while rejecting a state-wide standard, after </w:t>
      </w:r>
      <w:proofErr w:type="spellStart"/>
      <w:r w:rsidR="489FFC7A" w:rsidRPr="489FFC7A">
        <w:rPr>
          <w:rStyle w:val="Emphasis"/>
          <w:rFonts w:ascii="Calibri" w:eastAsia="Calibri" w:hAnsi="Calibri" w:cs="Calibri"/>
          <w:shd w:val="clear" w:color="auto" w:fill="FFFFFF"/>
        </w:rPr>
        <w:t>Rucho</w:t>
      </w:r>
      <w:proofErr w:type="spellEnd"/>
      <w:r w:rsidR="489FFC7A" w:rsidRPr="489FFC7A">
        <w:rPr>
          <w:rStyle w:val="Emphasis"/>
          <w:rFonts w:ascii="Calibri" w:eastAsia="Calibri" w:hAnsi="Calibri" w:cs="Calibri"/>
          <w:shd w:val="clear" w:color="auto" w:fill="FFFFFF"/>
        </w:rPr>
        <w:t xml:space="preserve"> v</w:t>
      </w:r>
      <w:r w:rsidR="489FFC7A" w:rsidRPr="489FFC7A">
        <w:rPr>
          <w:rFonts w:ascii="Calibri" w:eastAsia="Calibri" w:hAnsi="Calibri" w:cs="Calibri"/>
          <w:shd w:val="clear" w:color="auto" w:fill="FFFFFF"/>
        </w:rPr>
        <w:t>. </w:t>
      </w:r>
      <w:r w:rsidR="489FFC7A" w:rsidRPr="489FFC7A">
        <w:rPr>
          <w:rStyle w:val="Emphasis"/>
          <w:rFonts w:ascii="Calibri" w:eastAsia="Calibri" w:hAnsi="Calibri" w:cs="Calibri"/>
          <w:shd w:val="clear" w:color="auto" w:fill="FFFFFF"/>
        </w:rPr>
        <w:t>Common Cause</w:t>
      </w:r>
      <w:r w:rsidR="489FFC7A" w:rsidRPr="489FFC7A">
        <w:rPr>
          <w:rFonts w:ascii="Calibri" w:eastAsia="Calibri" w:hAnsi="Calibri" w:cs="Calibri"/>
          <w:shd w:val="clear" w:color="auto" w:fill="FFFFFF"/>
        </w:rPr>
        <w:t>, 588 U.S. ___ (</w:t>
      </w:r>
      <w:r w:rsidR="489FFC7A" w:rsidRPr="489FFC7A">
        <w:rPr>
          <w:rStyle w:val="Emphasis"/>
          <w:rFonts w:ascii="Calibri" w:eastAsia="Calibri" w:hAnsi="Calibri" w:cs="Calibri"/>
          <w:i w:val="0"/>
          <w:iCs w:val="0"/>
          <w:shd w:val="clear" w:color="auto" w:fill="FFFFFF"/>
        </w:rPr>
        <w:t>2019</w:t>
      </w:r>
      <w:r w:rsidR="489FFC7A" w:rsidRPr="489FFC7A">
        <w:rPr>
          <w:rFonts w:ascii="Calibri" w:eastAsia="Calibri" w:hAnsi="Calibri" w:cs="Calibri"/>
          <w:shd w:val="clear" w:color="auto" w:fill="FFFFFF"/>
        </w:rPr>
        <w:t xml:space="preserve">), there will simply be no federal remedy for partisan gerrymandering whether the allegation is about district-specific or about state-wide gerrymandering. However, racial gerrymandering cases and cases brought under the </w:t>
      </w:r>
      <w:r w:rsidR="489FFC7A" w:rsidRPr="489FFC7A">
        <w:rPr>
          <w:rFonts w:ascii="Calibri" w:eastAsia="Calibri" w:hAnsi="Calibri" w:cs="Calibri"/>
          <w:i/>
          <w:iCs/>
          <w:shd w:val="clear" w:color="auto" w:fill="FFFFFF"/>
        </w:rPr>
        <w:t>Shaw v. Reno</w:t>
      </w:r>
      <w:r w:rsidR="489FFC7A" w:rsidRPr="489FFC7A">
        <w:rPr>
          <w:rFonts w:ascii="Calibri" w:eastAsia="Calibri" w:hAnsi="Calibri" w:cs="Calibri"/>
          <w:shd w:val="clear" w:color="auto" w:fill="FFFFFF"/>
        </w:rPr>
        <w:t xml:space="preserve"> 509 U.S. 630 (1993) racial preponderance test do require district-specific evidence. But, Curiel and Steedman’s (2020: 6) assertion that </w:t>
      </w:r>
      <w:proofErr w:type="spellStart"/>
      <w:r w:rsidR="489FFC7A" w:rsidRPr="489FFC7A">
        <w:rPr>
          <w:rFonts w:ascii="Calibri" w:eastAsia="Calibri" w:hAnsi="Calibri" w:cs="Calibri"/>
          <w:shd w:val="clear" w:color="auto" w:fill="FFFFFF"/>
        </w:rPr>
        <w:t>Grofman</w:t>
      </w:r>
      <w:proofErr w:type="spellEnd"/>
      <w:r w:rsidR="489FFC7A" w:rsidRPr="489FFC7A">
        <w:rPr>
          <w:rFonts w:ascii="Calibri" w:eastAsia="Calibri" w:hAnsi="Calibri" w:cs="Calibri"/>
          <w:shd w:val="clear" w:color="auto" w:fill="FFFFFF"/>
        </w:rPr>
        <w:t xml:space="preserve"> (2019) offers a proportional representation test is flatly wrong. Since the rebuttal to this claim that the standard test for </w:t>
      </w:r>
      <w:r w:rsidR="489FFC7A" w:rsidRPr="489FFC7A">
        <w:rPr>
          <w:rFonts w:ascii="Calibri" w:eastAsia="Calibri" w:hAnsi="Calibri" w:cs="Calibri"/>
          <w:i/>
          <w:iCs/>
          <w:shd w:val="clear" w:color="auto" w:fill="FFFFFF"/>
        </w:rPr>
        <w:t>partisan bias</w:t>
      </w:r>
      <w:r w:rsidR="489FFC7A" w:rsidRPr="489FFC7A">
        <w:rPr>
          <w:rFonts w:ascii="Calibri" w:eastAsia="Calibri" w:hAnsi="Calibri" w:cs="Calibri"/>
          <w:shd w:val="clear" w:color="auto" w:fill="FFFFFF"/>
        </w:rPr>
        <w:t xml:space="preserve"> is equivalent to proportional representation is already found in </w:t>
      </w:r>
      <w:proofErr w:type="spellStart"/>
      <w:r w:rsidR="489FFC7A" w:rsidRPr="489FFC7A">
        <w:rPr>
          <w:rFonts w:ascii="Calibri" w:eastAsia="Calibri" w:hAnsi="Calibri" w:cs="Calibri"/>
          <w:shd w:val="clear" w:color="auto" w:fill="FFFFFF"/>
        </w:rPr>
        <w:t>Grofman</w:t>
      </w:r>
      <w:proofErr w:type="spellEnd"/>
      <w:r w:rsidR="489FFC7A" w:rsidRPr="489FFC7A">
        <w:rPr>
          <w:rFonts w:ascii="Calibri" w:eastAsia="Calibri" w:hAnsi="Calibri" w:cs="Calibri"/>
          <w:shd w:val="clear" w:color="auto" w:fill="FFFFFF"/>
        </w:rPr>
        <w:t xml:space="preserve"> (2019), we will not bother to discuss the claim here. Suffice it to note that equating partisan bias with a test for proportionality is a common error, one that is shared by several Supreme Court Justices.</w:t>
      </w:r>
    </w:p>
    <w:p w14:paraId="66D3365E" w14:textId="77777777" w:rsidR="00291C68" w:rsidRPr="00840BFE" w:rsidRDefault="00291C68" w:rsidP="489FFC7A">
      <w:pPr>
        <w:pStyle w:val="FootnoteText"/>
        <w:ind w:firstLine="720"/>
        <w:rPr>
          <w:b/>
          <w:bCs/>
        </w:rPr>
      </w:pPr>
    </w:p>
  </w:footnote>
  <w:footnote w:id="6">
    <w:p w14:paraId="417EBFEF" w14:textId="2E7273E1" w:rsidR="00880B78" w:rsidRPr="005167D1" w:rsidRDefault="00880B78" w:rsidP="489FFC7A">
      <w:pPr>
        <w:pStyle w:val="FootnoteText"/>
        <w:ind w:firstLine="720"/>
        <w:rPr>
          <w:rFonts w:ascii="Georgia" w:hAnsi="Georgia"/>
        </w:rPr>
      </w:pPr>
      <w:r w:rsidRPr="489FFC7A">
        <w:rPr>
          <w:rStyle w:val="FootnoteReference"/>
          <w:rFonts w:ascii="Calibri" w:eastAsia="Calibri" w:hAnsi="Calibri" w:cs="Calibri"/>
        </w:rPr>
        <w:footnoteRef/>
      </w:r>
      <w:r w:rsidR="489FFC7A" w:rsidRPr="489FFC7A">
        <w:rPr>
          <w:rFonts w:ascii="Calibri" w:eastAsia="Calibri" w:hAnsi="Calibri" w:cs="Calibri"/>
        </w:rPr>
        <w:t xml:space="preserve"> We are more skeptical about the stronger claim they make that it is helpful for voters to be able to identify the </w:t>
      </w:r>
      <w:r w:rsidR="489FFC7A" w:rsidRPr="489FFC7A">
        <w:rPr>
          <w:rFonts w:ascii="Calibri" w:eastAsia="Calibri" w:hAnsi="Calibri" w:cs="Calibri"/>
          <w:i/>
          <w:iCs/>
        </w:rPr>
        <w:t>geographic</w:t>
      </w:r>
      <w:r w:rsidR="489FFC7A" w:rsidRPr="489FFC7A">
        <w:rPr>
          <w:rFonts w:ascii="Calibri" w:eastAsia="Calibri" w:hAnsi="Calibri" w:cs="Calibri"/>
        </w:rPr>
        <w:t xml:space="preserve"> </w:t>
      </w:r>
      <w:r w:rsidR="489FFC7A" w:rsidRPr="489FFC7A">
        <w:rPr>
          <w:rFonts w:ascii="Calibri" w:eastAsia="Calibri" w:hAnsi="Calibri" w:cs="Calibri"/>
          <w:i/>
          <w:iCs/>
        </w:rPr>
        <w:t>location</w:t>
      </w:r>
      <w:r w:rsidR="489FFC7A" w:rsidRPr="489FFC7A">
        <w:rPr>
          <w:rFonts w:ascii="Calibri" w:eastAsia="Calibri" w:hAnsi="Calibri" w:cs="Calibri"/>
        </w:rPr>
        <w:t xml:space="preserve"> of other voters in the district </w:t>
      </w:r>
      <w:r w:rsidR="489FFC7A" w:rsidRPr="489FFC7A">
        <w:rPr>
          <w:rFonts w:ascii="Calibri" w:eastAsia="Calibri" w:hAnsi="Calibri" w:cs="Calibri"/>
          <w:u w:val="single"/>
        </w:rPr>
        <w:t xml:space="preserve">with respect to which zip code </w:t>
      </w:r>
      <w:r w:rsidR="489FFC7A" w:rsidRPr="489FFC7A">
        <w:rPr>
          <w:rFonts w:ascii="Calibri" w:eastAsia="Calibri" w:hAnsi="Calibri" w:cs="Calibri"/>
        </w:rPr>
        <w:t>the other voters are in. See discussion below.</w:t>
      </w:r>
    </w:p>
    <w:p w14:paraId="257E5D00" w14:textId="061B2620" w:rsidR="00880B78" w:rsidRPr="00AB7776" w:rsidRDefault="489FFC7A" w:rsidP="489FFC7A">
      <w:pPr>
        <w:pStyle w:val="FootnoteText"/>
        <w:ind w:firstLine="720"/>
        <w:rPr>
          <w:rFonts w:ascii="Georgia" w:hAnsi="Georgia"/>
        </w:rPr>
      </w:pPr>
      <w:r w:rsidRPr="489FFC7A">
        <w:rPr>
          <w:rFonts w:ascii="Calibri" w:eastAsia="Calibri" w:hAnsi="Calibri" w:cs="Calibri"/>
          <w:lang w:bidi="th-TH"/>
        </w:rPr>
        <w:t xml:space="preserve"> </w:t>
      </w:r>
    </w:p>
  </w:footnote>
  <w:footnote w:id="7">
    <w:p w14:paraId="7DC2D1E5" w14:textId="7931845B" w:rsidR="00880B78" w:rsidRPr="005743ED" w:rsidRDefault="00880B78" w:rsidP="489FFC7A">
      <w:pPr>
        <w:pStyle w:val="FootnoteText"/>
        <w:ind w:firstLine="720"/>
        <w:rPr>
          <w:rFonts w:ascii="Georgia" w:hAnsi="Georgia"/>
        </w:rPr>
      </w:pPr>
      <w:r w:rsidRPr="489FFC7A">
        <w:rPr>
          <w:rStyle w:val="FootnoteReference"/>
          <w:rFonts w:ascii="Calibri" w:eastAsia="Calibri" w:hAnsi="Calibri" w:cs="Calibri"/>
        </w:rPr>
        <w:footnoteRef/>
      </w:r>
      <w:r w:rsidR="489FFC7A" w:rsidRPr="489FFC7A">
        <w:rPr>
          <w:rFonts w:ascii="Calibri" w:eastAsia="Calibri" w:hAnsi="Calibri" w:cs="Calibri"/>
        </w:rPr>
        <w:t xml:space="preserve"> </w:t>
      </w:r>
      <w:r w:rsidR="489FFC7A" w:rsidRPr="489FFC7A">
        <w:rPr>
          <w:rFonts w:ascii="Calibri" w:eastAsia="Calibri" w:hAnsi="Calibri" w:cs="Calibri"/>
          <w:lang w:bidi="th-TH"/>
        </w:rPr>
        <w:t xml:space="preserve">That district was soon thereafter to be struck down in </w:t>
      </w:r>
      <w:r w:rsidR="489FFC7A" w:rsidRPr="489FFC7A">
        <w:rPr>
          <w:rFonts w:ascii="Calibri" w:eastAsia="Calibri" w:hAnsi="Calibri" w:cs="Calibri"/>
          <w:i/>
          <w:iCs/>
          <w:lang w:bidi="th-TH"/>
        </w:rPr>
        <w:t>Shaw</w:t>
      </w:r>
      <w:r w:rsidR="489FFC7A" w:rsidRPr="489FFC7A">
        <w:rPr>
          <w:rFonts w:ascii="Calibri" w:eastAsia="Calibri" w:hAnsi="Calibri" w:cs="Calibri"/>
          <w:lang w:bidi="th-TH"/>
        </w:rPr>
        <w:t xml:space="preserve"> as unconstitutional on grounds of having been created via a racially preponderant motive.</w:t>
      </w:r>
    </w:p>
    <w:p w14:paraId="3040D1BC" w14:textId="35FB345B" w:rsidR="00880B78" w:rsidRPr="005743ED" w:rsidRDefault="00880B78" w:rsidP="489FFC7A">
      <w:pPr>
        <w:pStyle w:val="FootnoteText"/>
        <w:ind w:firstLine="720"/>
        <w:rPr>
          <w:rFonts w:ascii="Georgia" w:hAnsi="Georgia"/>
        </w:rPr>
      </w:pPr>
    </w:p>
  </w:footnote>
  <w:footnote w:id="8">
    <w:p w14:paraId="30DD25C7" w14:textId="0671600A" w:rsidR="00C23A51" w:rsidRPr="005167D1" w:rsidRDefault="00C23A51" w:rsidP="489FFC7A">
      <w:pPr>
        <w:pStyle w:val="FootnoteText"/>
        <w:ind w:firstLine="720"/>
        <w:rPr>
          <w:rFonts w:ascii="Georgia" w:hAnsi="Georgia"/>
        </w:rPr>
      </w:pPr>
      <w:r w:rsidRPr="489FFC7A">
        <w:rPr>
          <w:rStyle w:val="FootnoteReference"/>
          <w:rFonts w:ascii="Calibri" w:eastAsia="Calibri" w:hAnsi="Calibri" w:cs="Calibri"/>
        </w:rPr>
        <w:footnoteRef/>
      </w:r>
      <w:r w:rsidR="489FFC7A" w:rsidRPr="489FFC7A">
        <w:rPr>
          <w:rFonts w:ascii="Calibri" w:eastAsia="Calibri" w:hAnsi="Calibri" w:cs="Calibri"/>
        </w:rPr>
        <w:t xml:space="preserve"> </w:t>
      </w:r>
      <w:r w:rsidR="489FFC7A" w:rsidRPr="489FFC7A">
        <w:rPr>
          <w:rFonts w:ascii="Calibri" w:eastAsia="Calibri" w:hAnsi="Calibri" w:cs="Calibri"/>
          <w:color w:val="000000"/>
          <w:shd w:val="clear" w:color="auto" w:fill="FFFFFF"/>
        </w:rPr>
        <w:t xml:space="preserve">One other subsequent use of the term </w:t>
      </w:r>
      <w:proofErr w:type="spellStart"/>
      <w:r w:rsidR="489FFC7A" w:rsidRPr="489FFC7A">
        <w:rPr>
          <w:rFonts w:ascii="Calibri" w:eastAsia="Calibri" w:hAnsi="Calibri" w:cs="Calibri"/>
          <w:i/>
          <w:iCs/>
          <w:color w:val="000000"/>
          <w:shd w:val="clear" w:color="auto" w:fill="FFFFFF"/>
        </w:rPr>
        <w:t>cognizability</w:t>
      </w:r>
      <w:proofErr w:type="spellEnd"/>
      <w:r w:rsidR="489FFC7A" w:rsidRPr="489FFC7A">
        <w:rPr>
          <w:rFonts w:ascii="Calibri" w:eastAsia="Calibri" w:hAnsi="Calibri" w:cs="Calibri"/>
          <w:i/>
          <w:iCs/>
          <w:color w:val="000000"/>
          <w:shd w:val="clear" w:color="auto" w:fill="FFFFFF"/>
        </w:rPr>
        <w:t xml:space="preserve"> </w:t>
      </w:r>
      <w:r w:rsidR="489FFC7A" w:rsidRPr="489FFC7A">
        <w:rPr>
          <w:rFonts w:ascii="Calibri" w:eastAsia="Calibri" w:hAnsi="Calibri" w:cs="Calibri"/>
          <w:color w:val="000000"/>
          <w:shd w:val="clear" w:color="auto" w:fill="FFFFFF"/>
        </w:rPr>
        <w:t xml:space="preserve">in the redistricting context of which we are aware is in Stephanopoulos (2012a), but we believe that his use of the terminology was independently arrived at, though its meaning is essentially the same as in </w:t>
      </w:r>
      <w:proofErr w:type="spellStart"/>
      <w:r w:rsidR="489FFC7A" w:rsidRPr="489FFC7A">
        <w:rPr>
          <w:rFonts w:ascii="Calibri" w:eastAsia="Calibri" w:hAnsi="Calibri" w:cs="Calibri"/>
          <w:color w:val="000000"/>
          <w:shd w:val="clear" w:color="auto" w:fill="FFFFFF"/>
        </w:rPr>
        <w:t>Grofman</w:t>
      </w:r>
      <w:proofErr w:type="spellEnd"/>
      <w:r w:rsidR="489FFC7A" w:rsidRPr="489FFC7A">
        <w:rPr>
          <w:rFonts w:ascii="Calibri" w:eastAsia="Calibri" w:hAnsi="Calibri" w:cs="Calibri"/>
          <w:color w:val="000000"/>
          <w:shd w:val="clear" w:color="auto" w:fill="FFFFFF"/>
        </w:rPr>
        <w:t xml:space="preserve"> (1992). See later footnote for Stephanopoulos’s use of the term. </w:t>
      </w:r>
      <w:r w:rsidR="489FFC7A" w:rsidRPr="489FFC7A">
        <w:rPr>
          <w:rFonts w:ascii="Calibri" w:eastAsia="Calibri" w:hAnsi="Calibri" w:cs="Calibri"/>
        </w:rPr>
        <w:t xml:space="preserve">See also </w:t>
      </w:r>
      <w:proofErr w:type="spellStart"/>
      <w:r w:rsidR="489FFC7A" w:rsidRPr="489FFC7A">
        <w:rPr>
          <w:rFonts w:ascii="Calibri" w:eastAsia="Calibri" w:hAnsi="Calibri" w:cs="Calibri"/>
        </w:rPr>
        <w:t>Grofman</w:t>
      </w:r>
      <w:proofErr w:type="spellEnd"/>
      <w:r w:rsidR="489FFC7A" w:rsidRPr="489FFC7A">
        <w:rPr>
          <w:rFonts w:ascii="Calibri" w:eastAsia="Calibri" w:hAnsi="Calibri" w:cs="Calibri"/>
        </w:rPr>
        <w:t xml:space="preserve"> (1985).</w:t>
      </w:r>
    </w:p>
    <w:p w14:paraId="1C110A83" w14:textId="77777777" w:rsidR="00C23A51" w:rsidRDefault="00C23A51" w:rsidP="489FFC7A">
      <w:pPr>
        <w:pStyle w:val="FootnoteText"/>
        <w:ind w:firstLine="720"/>
      </w:pPr>
    </w:p>
  </w:footnote>
  <w:footnote w:id="9">
    <w:p w14:paraId="7D8707C9" w14:textId="00B3F89D" w:rsidR="00880B78" w:rsidRPr="005743ED" w:rsidRDefault="00880B78" w:rsidP="489FFC7A">
      <w:pPr>
        <w:pStyle w:val="FootnoteText"/>
        <w:ind w:firstLine="720"/>
        <w:rPr>
          <w:rFonts w:ascii="Georgia" w:hAnsi="Georgia" w:cs="Arial"/>
          <w:color w:val="000000"/>
          <w:shd w:val="clear" w:color="auto" w:fill="FFFFFF"/>
        </w:rPr>
      </w:pPr>
      <w:r w:rsidRPr="489FFC7A">
        <w:rPr>
          <w:rStyle w:val="FootnoteReference"/>
          <w:rFonts w:ascii="Calibri" w:eastAsia="Calibri" w:hAnsi="Calibri" w:cs="Calibri"/>
        </w:rPr>
        <w:footnoteRef/>
      </w:r>
      <w:r w:rsidR="489FFC7A" w:rsidRPr="489FFC7A">
        <w:rPr>
          <w:rFonts w:ascii="Calibri" w:eastAsia="Calibri" w:hAnsi="Calibri" w:cs="Calibri"/>
        </w:rPr>
        <w:t xml:space="preserve"> </w:t>
      </w:r>
      <w:r w:rsidR="489FFC7A" w:rsidRPr="489FFC7A">
        <w:rPr>
          <w:rFonts w:ascii="Calibri" w:eastAsia="Calibri" w:hAnsi="Calibri" w:cs="Calibri"/>
          <w:color w:val="000000"/>
          <w:shd w:val="clear" w:color="auto" w:fill="FFFFFF"/>
        </w:rPr>
        <w:t xml:space="preserve">The trial court in </w:t>
      </w:r>
      <w:r w:rsidR="489FFC7A" w:rsidRPr="489FFC7A">
        <w:rPr>
          <w:rFonts w:ascii="Calibri" w:eastAsia="Calibri" w:hAnsi="Calibri" w:cs="Calibri"/>
          <w:i/>
          <w:iCs/>
          <w:color w:val="000000"/>
          <w:shd w:val="clear" w:color="auto" w:fill="FFFFFF"/>
        </w:rPr>
        <w:t>Pope v. Blue</w:t>
      </w:r>
      <w:r w:rsidR="489FFC7A" w:rsidRPr="489FFC7A">
        <w:rPr>
          <w:rFonts w:ascii="Calibri" w:eastAsia="Calibri" w:hAnsi="Calibri" w:cs="Calibri"/>
          <w:color w:val="000000"/>
          <w:shd w:val="clear" w:color="auto" w:fill="FFFFFF"/>
        </w:rPr>
        <w:t xml:space="preserve"> dismissed plaintiff's partisan gerrymandering complaint </w:t>
      </w:r>
      <w:r w:rsidR="489FFC7A" w:rsidRPr="489FFC7A">
        <w:rPr>
          <w:rFonts w:ascii="Calibri" w:eastAsia="Calibri" w:hAnsi="Calibri" w:cs="Calibri"/>
          <w:color w:val="000000" w:themeColor="text1"/>
          <w:shd w:val="clear" w:color="auto" w:fill="FFFFFF"/>
        </w:rPr>
        <w:t xml:space="preserve">for failure to make a credible allegation that, in the language of </w:t>
      </w:r>
      <w:r w:rsidR="489FFC7A" w:rsidRPr="489FFC7A">
        <w:rPr>
          <w:rFonts w:ascii="Calibri" w:eastAsia="Calibri" w:hAnsi="Calibri" w:cs="Calibri"/>
          <w:i/>
          <w:iCs/>
          <w:color w:val="000000" w:themeColor="text1"/>
          <w:shd w:val="clear" w:color="auto" w:fill="FFFFFF"/>
        </w:rPr>
        <w:t xml:space="preserve">Davis v. </w:t>
      </w:r>
      <w:proofErr w:type="spellStart"/>
      <w:r w:rsidR="489FFC7A" w:rsidRPr="489FFC7A">
        <w:rPr>
          <w:rFonts w:ascii="Calibri" w:eastAsia="Calibri" w:hAnsi="Calibri" w:cs="Calibri"/>
          <w:i/>
          <w:iCs/>
          <w:color w:val="000000" w:themeColor="text1"/>
          <w:shd w:val="clear" w:color="auto" w:fill="FFFFFF"/>
        </w:rPr>
        <w:t>Bandemer</w:t>
      </w:r>
      <w:proofErr w:type="spellEnd"/>
      <w:r w:rsidR="489FFC7A" w:rsidRPr="489FFC7A">
        <w:rPr>
          <w:rFonts w:ascii="Calibri" w:eastAsia="Calibri" w:hAnsi="Calibri" w:cs="Calibri"/>
          <w:i/>
          <w:iCs/>
          <w:color w:val="000000" w:themeColor="text1"/>
          <w:shd w:val="clear" w:color="auto" w:fill="FFFFFF"/>
        </w:rPr>
        <w:t xml:space="preserve">, </w:t>
      </w:r>
      <w:r w:rsidR="489FFC7A" w:rsidRPr="489FFC7A">
        <w:rPr>
          <w:rFonts w:ascii="Calibri" w:eastAsia="Calibri" w:hAnsi="Calibri" w:cs="Calibri"/>
          <w:color w:val="000000" w:themeColor="text1"/>
          <w:shd w:val="clear" w:color="auto" w:fill="FFFFFF"/>
        </w:rPr>
        <w:t xml:space="preserve">478 U.S. 109 (1986), the </w:t>
      </w:r>
      <w:r w:rsidR="489FFC7A" w:rsidRPr="489FFC7A">
        <w:rPr>
          <w:rFonts w:ascii="Calibri" w:eastAsia="Calibri" w:hAnsi="Calibri" w:cs="Calibri"/>
          <w:color w:val="000000"/>
          <w:shd w:val="clear" w:color="auto" w:fill="FFFFFF"/>
        </w:rPr>
        <w:t xml:space="preserve">state's redistricting plan had caused them to be "shut out of the political process.” </w:t>
      </w:r>
    </w:p>
    <w:p w14:paraId="3DCB390E" w14:textId="48CE6044" w:rsidR="00880B78" w:rsidRPr="005743ED" w:rsidRDefault="489FFC7A" w:rsidP="489FFC7A">
      <w:pPr>
        <w:pStyle w:val="FootnoteText"/>
        <w:ind w:firstLine="720"/>
        <w:rPr>
          <w:rFonts w:ascii="Georgia" w:hAnsi="Georgia"/>
        </w:rPr>
      </w:pPr>
      <w:r w:rsidRPr="489FFC7A">
        <w:rPr>
          <w:rFonts w:ascii="Calibri" w:eastAsia="Calibri" w:hAnsi="Calibri" w:cs="Calibri"/>
          <w:color w:val="000000"/>
          <w:shd w:val="clear" w:color="auto" w:fill="FFFFFF"/>
        </w:rPr>
        <w:t xml:space="preserve"> </w:t>
      </w:r>
    </w:p>
  </w:footnote>
  <w:footnote w:id="10">
    <w:p w14:paraId="0BD50E43" w14:textId="3CA53CEC" w:rsidR="00880B78" w:rsidRPr="0030700D" w:rsidRDefault="00880B78" w:rsidP="489FFC7A">
      <w:pPr>
        <w:pStyle w:val="FootnoteText"/>
        <w:ind w:firstLine="720"/>
        <w:rPr>
          <w:rFonts w:ascii="Georgia" w:hAnsi="Georgia" w:cs="Times New Roman"/>
        </w:rPr>
      </w:pPr>
      <w:r w:rsidRPr="489FFC7A">
        <w:rPr>
          <w:rStyle w:val="FootnoteReference"/>
          <w:rFonts w:ascii="Calibri" w:eastAsia="Calibri" w:hAnsi="Calibri" w:cs="Calibri"/>
          <w:b/>
          <w:bCs/>
        </w:rPr>
        <w:footnoteRef/>
      </w:r>
      <w:r w:rsidR="489FFC7A" w:rsidRPr="489FFC7A">
        <w:rPr>
          <w:rFonts w:ascii="Calibri" w:eastAsia="Calibri" w:hAnsi="Calibri" w:cs="Calibri"/>
          <w:b/>
          <w:bCs/>
        </w:rPr>
        <w:t xml:space="preserve"> </w:t>
      </w:r>
      <w:r w:rsidR="489FFC7A" w:rsidRPr="489FFC7A">
        <w:rPr>
          <w:rFonts w:ascii="Calibri" w:eastAsia="Calibri" w:hAnsi="Calibri" w:cs="Calibri"/>
          <w:shd w:val="clear" w:color="auto" w:fill="FFFFFF"/>
        </w:rPr>
        <w:t>We believe that this design choice reflects the fact that ZIP code is usually an accurate identifier of congressional district in parts of the country where the population is not that dense.</w:t>
      </w:r>
    </w:p>
    <w:p w14:paraId="43138ABB" w14:textId="77777777" w:rsidR="00880B78" w:rsidRPr="0030700D" w:rsidRDefault="00880B78" w:rsidP="489FFC7A">
      <w:pPr>
        <w:pStyle w:val="FootnoteText"/>
        <w:ind w:firstLine="720"/>
        <w:rPr>
          <w:rFonts w:ascii="Georgia" w:hAnsi="Georgia" w:cs="Times New Roman"/>
          <w:b/>
          <w:bCs/>
        </w:rPr>
      </w:pPr>
    </w:p>
  </w:footnote>
  <w:footnote w:id="11">
    <w:p w14:paraId="1B85ACA4" w14:textId="6C611701" w:rsidR="008C3647" w:rsidRPr="001553CF" w:rsidRDefault="008C3647" w:rsidP="489FFC7A">
      <w:pPr>
        <w:autoSpaceDE w:val="0"/>
        <w:autoSpaceDN w:val="0"/>
        <w:adjustRightInd w:val="0"/>
        <w:spacing w:after="0" w:line="240" w:lineRule="auto"/>
        <w:ind w:firstLine="720"/>
        <w:rPr>
          <w:rFonts w:ascii="Georgia" w:hAnsi="Georgia"/>
          <w:sz w:val="24"/>
          <w:szCs w:val="24"/>
          <w:lang w:bidi="th-TH"/>
        </w:rPr>
      </w:pPr>
      <w:r w:rsidRPr="489FFC7A">
        <w:rPr>
          <w:rStyle w:val="FootnoteReference"/>
          <w:rFonts w:ascii="Calibri" w:eastAsia="Calibri" w:hAnsi="Calibri" w:cs="Calibri"/>
          <w:sz w:val="20"/>
          <w:szCs w:val="20"/>
        </w:rPr>
        <w:footnoteRef/>
      </w:r>
      <w:r w:rsidR="489FFC7A" w:rsidRPr="489FFC7A">
        <w:rPr>
          <w:rFonts w:ascii="Calibri" w:eastAsia="Calibri" w:hAnsi="Calibri" w:cs="Calibri"/>
          <w:sz w:val="20"/>
          <w:szCs w:val="20"/>
        </w:rPr>
        <w:t xml:space="preserve"> Legislators do, indeed, differentiate between constituents and non-constituents, and they can use geo-coding tools (and voter registration lists) to do so.</w:t>
      </w:r>
    </w:p>
    <w:p w14:paraId="723CBDA8" w14:textId="77777777" w:rsidR="008C3647" w:rsidRDefault="008C3647" w:rsidP="489FFC7A">
      <w:pPr>
        <w:pStyle w:val="FootnoteText"/>
        <w:ind w:firstLine="720"/>
      </w:pPr>
    </w:p>
  </w:footnote>
  <w:footnote w:id="12">
    <w:p w14:paraId="4F15A0F8" w14:textId="283CC31D" w:rsidR="008C3647" w:rsidRPr="00671F59" w:rsidRDefault="008C3647" w:rsidP="489FFC7A">
      <w:pPr>
        <w:pStyle w:val="FootnoteText"/>
        <w:ind w:firstLine="720"/>
        <w:rPr>
          <w:rFonts w:ascii="Georgia" w:hAnsi="Georgia"/>
          <w:b/>
          <w:bCs/>
        </w:rPr>
      </w:pPr>
      <w:r w:rsidRPr="489FFC7A">
        <w:rPr>
          <w:rStyle w:val="FootnoteReference"/>
          <w:rFonts w:ascii="Calibri" w:eastAsia="Calibri" w:hAnsi="Calibri" w:cs="Calibri"/>
        </w:rPr>
        <w:footnoteRef/>
      </w:r>
      <w:r w:rsidR="489FFC7A" w:rsidRPr="489FFC7A">
        <w:rPr>
          <w:rFonts w:ascii="Calibri" w:eastAsia="Calibri" w:hAnsi="Calibri" w:cs="Calibri"/>
        </w:rPr>
        <w:t xml:space="preserve"> Curiel and Steelman (2018, pg. 335) note the ability of incumbents to separate bulk mail so that it only goes to their own constituents. They suggest that using ZIP codes to create districts would make it easier for challengers to identify potential constituents, and thus that using ZIP codes in this way would operate to level the playing field. We are skeptical that this effect would be large and the bulk mailers who would almost certainly be brought in to process direct mailings already possess the technology to identify the constituents of a district.</w:t>
      </w:r>
    </w:p>
  </w:footnote>
  <w:footnote w:id="13">
    <w:p w14:paraId="349C7807" w14:textId="77777777" w:rsidR="00880B78" w:rsidRPr="005B6F87" w:rsidRDefault="00880B78" w:rsidP="489FFC7A">
      <w:pPr>
        <w:pStyle w:val="FootnoteText"/>
        <w:ind w:firstLine="720"/>
        <w:rPr>
          <w:rFonts w:ascii="Georgia" w:hAnsi="Georgia"/>
          <w:lang w:bidi="th-TH"/>
        </w:rPr>
      </w:pPr>
      <w:r w:rsidRPr="489FFC7A">
        <w:rPr>
          <w:rStyle w:val="FootnoteReference"/>
          <w:rFonts w:ascii="Calibri" w:eastAsia="Calibri" w:hAnsi="Calibri" w:cs="Calibri"/>
        </w:rPr>
        <w:footnoteRef/>
      </w:r>
      <w:r w:rsidR="489FFC7A" w:rsidRPr="489FFC7A">
        <w:rPr>
          <w:rFonts w:ascii="Calibri" w:eastAsia="Calibri" w:hAnsi="Calibri" w:cs="Calibri"/>
        </w:rPr>
        <w:t xml:space="preserve"> </w:t>
      </w:r>
      <w:r w:rsidR="489FFC7A" w:rsidRPr="489FFC7A">
        <w:rPr>
          <w:rFonts w:ascii="Calibri" w:eastAsia="Calibri" w:hAnsi="Calibri" w:cs="Calibri"/>
          <w:lang w:bidi="th-TH"/>
        </w:rPr>
        <w:t>The unit of geography with which most Irvine residents are best familiar is a very small geographic unit, the homeowner’s association of which they are a member.</w:t>
      </w:r>
    </w:p>
    <w:p w14:paraId="71B56700" w14:textId="77777777" w:rsidR="00880B78" w:rsidRDefault="00880B78" w:rsidP="489FFC7A">
      <w:pPr>
        <w:pStyle w:val="FootnoteText"/>
        <w:ind w:firstLine="720"/>
      </w:pPr>
    </w:p>
  </w:footnote>
  <w:footnote w:id="14">
    <w:p w14:paraId="0E4B6194" w14:textId="3D890213" w:rsidR="00116D0E" w:rsidRDefault="00116D0E" w:rsidP="489FFC7A">
      <w:pPr>
        <w:pStyle w:val="FootnoteText"/>
        <w:ind w:firstLine="720"/>
        <w:rPr>
          <w:rFonts w:ascii="Georgia" w:hAnsi="Georgia"/>
        </w:rPr>
      </w:pPr>
      <w:r w:rsidRPr="489FFC7A">
        <w:rPr>
          <w:rStyle w:val="FootnoteReference"/>
          <w:rFonts w:ascii="Calibri" w:eastAsia="Calibri" w:hAnsi="Calibri" w:cs="Calibri"/>
        </w:rPr>
        <w:footnoteRef/>
      </w:r>
      <w:r w:rsidR="489FFC7A" w:rsidRPr="489FFC7A">
        <w:rPr>
          <w:rFonts w:ascii="Calibri" w:eastAsia="Calibri" w:hAnsi="Calibri" w:cs="Calibri"/>
        </w:rPr>
        <w:t xml:space="preserve"> </w:t>
      </w:r>
      <w:r w:rsidR="489FFC7A" w:rsidRPr="489FFC7A">
        <w:rPr>
          <w:rFonts w:ascii="Calibri" w:eastAsia="Calibri" w:hAnsi="Calibri" w:cs="Calibri"/>
          <w:lang w:bidi="th-TH"/>
        </w:rPr>
        <w:t xml:space="preserve">We learned this fact we were involved in litigation in that county. Similarly, if you lived in a small town like Cranberry, PA when it did not have a post office, you would have been forced to learn to spell Zelienople, PA; the most proximate town with a post office. </w:t>
      </w:r>
      <w:r w:rsidR="489FFC7A" w:rsidRPr="489FFC7A">
        <w:rPr>
          <w:rFonts w:ascii="Calibri" w:eastAsia="Calibri" w:hAnsi="Calibri" w:cs="Calibri"/>
        </w:rPr>
        <w:t>Cranberry has since grown quite substantial and now has its own post office.</w:t>
      </w:r>
    </w:p>
    <w:p w14:paraId="7CEB2282" w14:textId="77777777" w:rsidR="00116D0E" w:rsidRDefault="00116D0E" w:rsidP="489FFC7A">
      <w:pPr>
        <w:pStyle w:val="FootnoteText"/>
        <w:ind w:firstLine="720"/>
      </w:pPr>
    </w:p>
  </w:footnote>
  <w:footnote w:id="15">
    <w:p w14:paraId="2349263B" w14:textId="77777777" w:rsidR="00116D0E" w:rsidRDefault="00116D0E" w:rsidP="489FFC7A">
      <w:pPr>
        <w:pStyle w:val="FootnoteText"/>
        <w:ind w:firstLine="720"/>
        <w:rPr>
          <w:rFonts w:ascii="Georgia" w:hAnsi="Georgia"/>
          <w:lang w:bidi="th-TH"/>
        </w:rPr>
      </w:pPr>
      <w:r w:rsidRPr="489FFC7A">
        <w:rPr>
          <w:rStyle w:val="FootnoteReference"/>
          <w:rFonts w:ascii="Calibri" w:eastAsia="Calibri" w:hAnsi="Calibri" w:cs="Calibri"/>
        </w:rPr>
        <w:footnoteRef/>
      </w:r>
      <w:r w:rsidR="489FFC7A" w:rsidRPr="489FFC7A">
        <w:rPr>
          <w:rFonts w:ascii="Calibri" w:eastAsia="Calibri" w:hAnsi="Calibri" w:cs="Calibri"/>
        </w:rPr>
        <w:t xml:space="preserve"> </w:t>
      </w:r>
      <w:r w:rsidR="489FFC7A" w:rsidRPr="489FFC7A">
        <w:rPr>
          <w:rFonts w:ascii="Calibri" w:eastAsia="Calibri" w:hAnsi="Calibri" w:cs="Calibri"/>
          <w:lang w:bidi="th-TH"/>
        </w:rPr>
        <w:t>Another boundary that does seem to have a high level of knowledge among ordinary citizens, at least among parents, is the school catchment area, since that determines the quality of the school to which one’s children are going to be assigned.</w:t>
      </w:r>
    </w:p>
    <w:p w14:paraId="484C5BE8" w14:textId="77777777" w:rsidR="00116D0E" w:rsidRDefault="00116D0E" w:rsidP="489FFC7A">
      <w:pPr>
        <w:pStyle w:val="FootnoteText"/>
        <w:ind w:firstLine="720"/>
      </w:pPr>
    </w:p>
  </w:footnote>
  <w:footnote w:id="16">
    <w:p w14:paraId="0B0EF3B5" w14:textId="75413AB0" w:rsidR="1BC0107E" w:rsidRDefault="1BC0107E" w:rsidP="489FFC7A">
      <w:pPr>
        <w:pStyle w:val="FootnoteText"/>
        <w:ind w:firstLine="720"/>
        <w:rPr>
          <w:rFonts w:ascii="Georgia" w:hAnsi="Georgia"/>
        </w:rPr>
      </w:pPr>
      <w:r w:rsidRPr="489FFC7A">
        <w:rPr>
          <w:rStyle w:val="FootnoteReference"/>
          <w:rFonts w:ascii="Calibri" w:eastAsia="Calibri" w:hAnsi="Calibri" w:cs="Calibri"/>
        </w:rPr>
        <w:footnoteRef/>
      </w:r>
      <w:r w:rsidR="489FFC7A" w:rsidRPr="489FFC7A">
        <w:rPr>
          <w:rFonts w:ascii="Calibri" w:eastAsia="Calibri" w:hAnsi="Calibri" w:cs="Calibri"/>
        </w:rPr>
        <w:t xml:space="preserve"> The Bowen (2014) study did not study name recall.</w:t>
      </w:r>
    </w:p>
  </w:footnote>
  <w:footnote w:id="17">
    <w:p w14:paraId="5D197F78" w14:textId="488CD915" w:rsidR="0A7B03BD" w:rsidRDefault="0A7B03BD" w:rsidP="489FFC7A">
      <w:pPr>
        <w:pStyle w:val="FootnoteText"/>
        <w:ind w:firstLine="720"/>
      </w:pPr>
      <w:r w:rsidRPr="489FFC7A">
        <w:rPr>
          <w:rStyle w:val="FootnoteReference"/>
          <w:rFonts w:ascii="Calibri" w:eastAsia="Calibri" w:hAnsi="Calibri" w:cs="Calibri"/>
        </w:rPr>
        <w:footnoteRef/>
      </w:r>
      <w:r w:rsidR="489FFC7A" w:rsidRPr="489FFC7A">
        <w:rPr>
          <w:rFonts w:ascii="Calibri" w:eastAsia="Calibri" w:hAnsi="Calibri" w:cs="Calibri"/>
        </w:rPr>
        <w:t xml:space="preserve"> For additional reference on the geographic limitations in using ZIP codes as building blocks for territories, see Grubesic (2008).</w:t>
      </w:r>
    </w:p>
    <w:p w14:paraId="5E70CF85" w14:textId="77777777" w:rsidR="005A6260" w:rsidRDefault="005A6260" w:rsidP="489FFC7A">
      <w:pPr>
        <w:pStyle w:val="FootnoteText"/>
        <w:ind w:firstLine="720"/>
      </w:pPr>
    </w:p>
  </w:footnote>
  <w:footnote w:id="18">
    <w:p w14:paraId="37869A3C" w14:textId="66DA05D7" w:rsidR="00880B78" w:rsidRPr="005B6F87" w:rsidRDefault="00880B78" w:rsidP="489FFC7A">
      <w:pPr>
        <w:pStyle w:val="FootnoteText"/>
        <w:ind w:firstLine="720"/>
        <w:rPr>
          <w:rFonts w:ascii="Georgia" w:hAnsi="Georgia"/>
        </w:rPr>
      </w:pPr>
      <w:r w:rsidRPr="489FFC7A">
        <w:rPr>
          <w:rStyle w:val="FootnoteReference"/>
          <w:rFonts w:ascii="Calibri" w:eastAsia="Calibri" w:hAnsi="Calibri" w:cs="Calibri"/>
        </w:rPr>
        <w:footnoteRef/>
      </w:r>
      <w:r w:rsidR="489FFC7A" w:rsidRPr="489FFC7A">
        <w:rPr>
          <w:rFonts w:ascii="Calibri" w:eastAsia="Calibri" w:hAnsi="Calibri" w:cs="Calibri"/>
        </w:rPr>
        <w:t xml:space="preserve"> ZIP codes, created by the U.S. Postal Service, are not created with Census data and may split Census blocks (of which there are 11,078,298). ZCTA’s, however, created by the Census Bureau to conform as closely as possible to zip code boundaries, are constructed from Census blocks. But when census blocks and ZIP code do not perfectly coincide, in order to mesh with census geography, some blocks in the ZCTA are assigned to the ZIP code which appears to contain </w:t>
      </w:r>
      <w:proofErr w:type="gramStart"/>
      <w:r w:rsidR="489FFC7A" w:rsidRPr="489FFC7A">
        <w:rPr>
          <w:rFonts w:ascii="Calibri" w:eastAsia="Calibri" w:hAnsi="Calibri" w:cs="Calibri"/>
        </w:rPr>
        <w:t>the majority of</w:t>
      </w:r>
      <w:proofErr w:type="gramEnd"/>
      <w:r w:rsidR="489FFC7A" w:rsidRPr="489FFC7A">
        <w:rPr>
          <w:rFonts w:ascii="Calibri" w:eastAsia="Calibri" w:hAnsi="Calibri" w:cs="Calibri"/>
        </w:rPr>
        <w:t xml:space="preserve"> the block’s population.</w:t>
      </w:r>
    </w:p>
    <w:p w14:paraId="41D7CEE2" w14:textId="77777777" w:rsidR="00880B78" w:rsidRPr="005B6F87" w:rsidRDefault="00880B78" w:rsidP="489FFC7A">
      <w:pPr>
        <w:pStyle w:val="FootnoteText"/>
        <w:ind w:firstLine="720"/>
        <w:rPr>
          <w:rFonts w:ascii="Georgia" w:hAnsi="Georgia"/>
        </w:rPr>
      </w:pPr>
    </w:p>
  </w:footnote>
  <w:footnote w:id="19">
    <w:p w14:paraId="14B52C17" w14:textId="38B8C8CC" w:rsidR="00115898" w:rsidRPr="003E03B1" w:rsidRDefault="00115898" w:rsidP="489FFC7A">
      <w:pPr>
        <w:autoSpaceDE w:val="0"/>
        <w:autoSpaceDN w:val="0"/>
        <w:adjustRightInd w:val="0"/>
        <w:spacing w:after="0" w:line="240" w:lineRule="auto"/>
        <w:ind w:firstLine="720"/>
        <w:rPr>
          <w:rFonts w:ascii="Georgia" w:hAnsi="Georgia"/>
          <w:sz w:val="20"/>
          <w:szCs w:val="20"/>
          <w:lang w:bidi="th-TH"/>
        </w:rPr>
      </w:pPr>
      <w:r w:rsidRPr="489FFC7A">
        <w:rPr>
          <w:rStyle w:val="FootnoteReference"/>
          <w:rFonts w:ascii="Calibri" w:eastAsia="Calibri" w:hAnsi="Calibri" w:cs="Calibri"/>
          <w:sz w:val="20"/>
          <w:szCs w:val="20"/>
        </w:rPr>
        <w:footnoteRef/>
      </w:r>
      <w:r w:rsidR="489FFC7A" w:rsidRPr="489FFC7A">
        <w:rPr>
          <w:rFonts w:ascii="Calibri" w:eastAsia="Calibri" w:hAnsi="Calibri" w:cs="Calibri"/>
          <w:sz w:val="20"/>
          <w:szCs w:val="20"/>
        </w:rPr>
        <w:t xml:space="preserve"> </w:t>
      </w:r>
      <w:r w:rsidR="489FFC7A" w:rsidRPr="489FFC7A">
        <w:rPr>
          <w:rFonts w:ascii="Calibri" w:eastAsia="Calibri" w:hAnsi="Calibri" w:cs="Calibri"/>
          <w:color w:val="000000" w:themeColor="text1"/>
          <w:sz w:val="20"/>
          <w:szCs w:val="20"/>
          <w:lang w:bidi="th-TH"/>
        </w:rPr>
        <w:t>There are other technical issues which we regard as relatively minor.</w:t>
      </w:r>
      <w:r w:rsidR="489FFC7A" w:rsidRPr="489FFC7A">
        <w:rPr>
          <w:rFonts w:ascii="Calibri" w:eastAsia="Calibri" w:hAnsi="Calibri" w:cs="Calibri"/>
          <w:sz w:val="20"/>
          <w:szCs w:val="20"/>
        </w:rPr>
        <w:t xml:space="preserve"> First, </w:t>
      </w:r>
      <w:r w:rsidR="489FFC7A" w:rsidRPr="489FFC7A">
        <w:rPr>
          <w:rFonts w:ascii="Calibri" w:eastAsia="Calibri" w:hAnsi="Calibri" w:cs="Calibri"/>
          <w:color w:val="000000" w:themeColor="text1"/>
          <w:sz w:val="20"/>
          <w:szCs w:val="20"/>
          <w:lang w:bidi="th-TH"/>
        </w:rPr>
        <w:t xml:space="preserve">Figure 1 also shows that ZIP codes need not be especially compact (see ZIP code 15219), but in fairness the same is true for some census tracts and even some census blocks. </w:t>
      </w:r>
      <w:r w:rsidR="489FFC7A" w:rsidRPr="489FFC7A">
        <w:rPr>
          <w:rFonts w:ascii="Calibri" w:eastAsia="Calibri" w:hAnsi="Calibri" w:cs="Calibri"/>
          <w:color w:val="000000" w:themeColor="text1"/>
          <w:sz w:val="20"/>
          <w:szCs w:val="20"/>
        </w:rPr>
        <w:t xml:space="preserve">Second, </w:t>
      </w:r>
      <w:r w:rsidR="489FFC7A" w:rsidRPr="489FFC7A">
        <w:rPr>
          <w:rFonts w:ascii="Calibri" w:eastAsia="Calibri" w:hAnsi="Calibri" w:cs="Calibri"/>
          <w:color w:val="000000" w:themeColor="text1"/>
          <w:sz w:val="20"/>
          <w:szCs w:val="20"/>
          <w:lang w:bidi="th-TH"/>
        </w:rPr>
        <w:t xml:space="preserve">ZIP codes are occasionally non-contiguous (see ZIP code </w:t>
      </w:r>
      <w:r w:rsidR="489FFC7A" w:rsidRPr="489FFC7A">
        <w:rPr>
          <w:rFonts w:ascii="Calibri" w:eastAsia="Calibri" w:hAnsi="Calibri" w:cs="Calibri"/>
          <w:sz w:val="20"/>
          <w:szCs w:val="20"/>
        </w:rPr>
        <w:t>15260</w:t>
      </w:r>
      <w:r w:rsidR="489FFC7A" w:rsidRPr="489FFC7A">
        <w:rPr>
          <w:rFonts w:ascii="Calibri" w:eastAsia="Calibri" w:hAnsi="Calibri" w:cs="Calibri"/>
          <w:color w:val="000000" w:themeColor="text1"/>
          <w:sz w:val="20"/>
          <w:szCs w:val="20"/>
          <w:lang w:bidi="th-TH"/>
        </w:rPr>
        <w:t xml:space="preserve"> in Figure 1) though </w:t>
      </w:r>
      <w:r w:rsidR="489FFC7A" w:rsidRPr="489FFC7A">
        <w:rPr>
          <w:rFonts w:ascii="Calibri" w:eastAsia="Calibri" w:hAnsi="Calibri" w:cs="Calibri"/>
          <w:sz w:val="20"/>
          <w:szCs w:val="20"/>
          <w:lang w:bidi="th-TH"/>
        </w:rPr>
        <w:t>the same is true for some cities because of annexation history (e.g., graveyards or waste dumps outside the main city limits). But, as Curiel and Steelman (2018) show, combining adjacent zip codes can alleviate non-contiguity issues. Third, the USPS periodically makes changes to ZIP code boundaries in order to more efficiently deliver mail</w:t>
      </w:r>
      <w:r w:rsidR="489FFC7A" w:rsidRPr="489FFC7A">
        <w:rPr>
          <w:rStyle w:val="Hyperlink"/>
          <w:rFonts w:ascii="Calibri" w:eastAsia="Calibri" w:hAnsi="Calibri" w:cs="Calibri"/>
          <w:color w:val="auto"/>
          <w:sz w:val="20"/>
          <w:szCs w:val="20"/>
          <w:u w:val="none"/>
          <w:lang w:bidi="th-TH"/>
        </w:rPr>
        <w:t>. But changes in boundaries also happen with units of census geography.</w:t>
      </w:r>
      <w:r w:rsidR="489FFC7A" w:rsidRPr="489FFC7A">
        <w:rPr>
          <w:rFonts w:ascii="Calibri" w:eastAsia="Calibri" w:hAnsi="Calibri" w:cs="Calibri"/>
          <w:sz w:val="20"/>
          <w:szCs w:val="20"/>
          <w:lang w:bidi="th-TH"/>
        </w:rPr>
        <w:t xml:space="preserve"> </w:t>
      </w:r>
      <w:r w:rsidR="489FFC7A" w:rsidRPr="489FFC7A">
        <w:rPr>
          <w:rFonts w:ascii="Calibri" w:eastAsia="Calibri" w:hAnsi="Calibri" w:cs="Calibri"/>
          <w:sz w:val="20"/>
          <w:szCs w:val="20"/>
        </w:rPr>
        <w:t>Also, we would want to distinguish between ZIP code splits that were forced by population concerns or the need to maintain city or country integrity, and those that were not.</w:t>
      </w:r>
    </w:p>
  </w:footnote>
  <w:footnote w:id="20">
    <w:p w14:paraId="534D42B4" w14:textId="77777777" w:rsidR="00CC0EE1" w:rsidRPr="00D11680" w:rsidRDefault="00CC0EE1" w:rsidP="489FFC7A">
      <w:pPr>
        <w:pStyle w:val="FootnoteText"/>
        <w:ind w:firstLine="720"/>
        <w:rPr>
          <w:rFonts w:ascii="Georgia" w:hAnsi="Georgia" w:cs="Times New Roman"/>
        </w:rPr>
      </w:pPr>
      <w:r w:rsidRPr="489FFC7A">
        <w:rPr>
          <w:rStyle w:val="FootnoteReference"/>
          <w:rFonts w:ascii="Calibri" w:eastAsia="Calibri" w:hAnsi="Calibri" w:cs="Calibri"/>
        </w:rPr>
        <w:footnoteRef/>
      </w:r>
      <w:r w:rsidR="489FFC7A" w:rsidRPr="489FFC7A">
        <w:rPr>
          <w:rFonts w:ascii="Calibri" w:eastAsia="Calibri" w:hAnsi="Calibri" w:cs="Calibri"/>
        </w:rPr>
        <w:t xml:space="preserve"> See e.g., </w:t>
      </w:r>
      <w:proofErr w:type="spellStart"/>
      <w:r w:rsidR="489FFC7A" w:rsidRPr="489FFC7A">
        <w:rPr>
          <w:rFonts w:ascii="Calibri" w:eastAsia="Calibri" w:hAnsi="Calibri" w:cs="Calibri"/>
        </w:rPr>
        <w:t>Grofman</w:t>
      </w:r>
      <w:proofErr w:type="spellEnd"/>
      <w:r w:rsidR="489FFC7A" w:rsidRPr="489FFC7A">
        <w:rPr>
          <w:rFonts w:ascii="Calibri" w:eastAsia="Calibri" w:hAnsi="Calibri" w:cs="Calibri"/>
        </w:rPr>
        <w:t xml:space="preserve"> (2015). </w:t>
      </w:r>
    </w:p>
  </w:footnote>
  <w:footnote w:id="21">
    <w:p w14:paraId="206FBD9B" w14:textId="161254CF" w:rsidR="00203572" w:rsidRPr="00115898" w:rsidRDefault="00203572" w:rsidP="489FFC7A">
      <w:pPr>
        <w:pStyle w:val="FootnoteText"/>
        <w:ind w:firstLine="720"/>
        <w:rPr>
          <w:rFonts w:ascii="Georgia" w:hAnsi="Georgia"/>
        </w:rPr>
      </w:pPr>
      <w:r w:rsidRPr="489FFC7A">
        <w:rPr>
          <w:rStyle w:val="FootnoteReference"/>
          <w:rFonts w:ascii="Calibri" w:eastAsia="Calibri" w:hAnsi="Calibri" w:cs="Calibri"/>
        </w:rPr>
        <w:footnoteRef/>
      </w:r>
      <w:r w:rsidR="489FFC7A" w:rsidRPr="489FFC7A">
        <w:rPr>
          <w:rFonts w:ascii="Calibri" w:eastAsia="Calibri" w:hAnsi="Calibri" w:cs="Calibri"/>
        </w:rPr>
        <w:t xml:space="preserve"> Even when media markets extend beyond a single state there can still be benefits to political communication to have an entire congressional district included within the media market (Philadelphia’s media market includes parts of New Jersey; some academic papers have used this as a quasi-natural experiment (Meyer 1995; see also Card and Krueger 2000).)</w:t>
      </w:r>
    </w:p>
    <w:p w14:paraId="79C99548" w14:textId="77777777" w:rsidR="00203572" w:rsidRPr="004676D3" w:rsidRDefault="00203572" w:rsidP="489FFC7A">
      <w:pPr>
        <w:pStyle w:val="FootnoteText"/>
        <w:ind w:firstLine="720"/>
        <w:rPr>
          <w:color w:val="FF0000"/>
        </w:rPr>
      </w:pPr>
    </w:p>
  </w:footnote>
  <w:footnote w:id="22">
    <w:p w14:paraId="7DDDAE38" w14:textId="068908FF" w:rsidR="00880B78" w:rsidRPr="00AB7776" w:rsidRDefault="00880B78" w:rsidP="489FFC7A">
      <w:pPr>
        <w:spacing w:after="0" w:line="240" w:lineRule="auto"/>
        <w:ind w:firstLine="720"/>
        <w:textAlignment w:val="baseline"/>
        <w:rPr>
          <w:rFonts w:ascii="Georgia" w:eastAsia="Times New Roman" w:hAnsi="Georgia" w:cs="Segoe UI"/>
          <w:sz w:val="20"/>
          <w:szCs w:val="20"/>
        </w:rPr>
      </w:pPr>
      <w:r w:rsidRPr="489FFC7A">
        <w:rPr>
          <w:rStyle w:val="FootnoteReference"/>
          <w:rFonts w:ascii="Calibri" w:eastAsia="Calibri" w:hAnsi="Calibri" w:cs="Calibri"/>
          <w:sz w:val="20"/>
          <w:szCs w:val="20"/>
        </w:rPr>
        <w:footnoteRef/>
      </w:r>
      <w:r w:rsidR="489FFC7A" w:rsidRPr="489FFC7A">
        <w:rPr>
          <w:rFonts w:ascii="Calibri" w:eastAsia="Calibri" w:hAnsi="Calibri" w:cs="Calibri"/>
          <w:sz w:val="20"/>
          <w:szCs w:val="20"/>
        </w:rPr>
        <w:t xml:space="preserve"> Consider, for example, the language in </w:t>
      </w:r>
      <w:r w:rsidR="489FFC7A" w:rsidRPr="489FFC7A">
        <w:rPr>
          <w:rFonts w:ascii="Calibri" w:eastAsia="Calibri" w:hAnsi="Calibri" w:cs="Calibri"/>
          <w:i/>
          <w:iCs/>
          <w:sz w:val="20"/>
          <w:szCs w:val="20"/>
        </w:rPr>
        <w:t>In re Legislative Districting of State</w:t>
      </w:r>
      <w:r w:rsidR="489FFC7A" w:rsidRPr="489FFC7A">
        <w:rPr>
          <w:rFonts w:ascii="Calibri" w:eastAsia="Calibri" w:hAnsi="Calibri" w:cs="Calibri"/>
          <w:sz w:val="20"/>
          <w:szCs w:val="20"/>
        </w:rPr>
        <w:t>, 370 Md. at 323, 805 A.2d at 298 (2002): “[I]t is not for the Court to define what a community of interest is and where its boundaries are, and it is not for the Court to determine which regions deserve special consideration and which do not'' </w:t>
      </w:r>
    </w:p>
    <w:p w14:paraId="0BA0A0CA" w14:textId="3C71A6C3" w:rsidR="00880B78" w:rsidRPr="00AB7776" w:rsidRDefault="00880B78" w:rsidP="489FFC7A">
      <w:pPr>
        <w:pStyle w:val="FootnoteText"/>
        <w:ind w:firstLine="720"/>
        <w:rPr>
          <w:rFonts w:ascii="Georgia" w:hAnsi="Georgia"/>
        </w:rPr>
      </w:pPr>
    </w:p>
  </w:footnote>
  <w:footnote w:id="23">
    <w:p w14:paraId="266CD4CA" w14:textId="62B96CD1" w:rsidR="00880B78" w:rsidRDefault="00880B78" w:rsidP="489FFC7A">
      <w:pPr>
        <w:pStyle w:val="HTMLPreformatted"/>
        <w:ind w:firstLine="720"/>
        <w:rPr>
          <w:rFonts w:ascii="Georgia" w:hAnsi="Georgia"/>
        </w:rPr>
      </w:pPr>
      <w:r w:rsidRPr="489FFC7A">
        <w:rPr>
          <w:rStyle w:val="FootnoteReference"/>
          <w:rFonts w:ascii="Calibri" w:eastAsia="Calibri" w:hAnsi="Calibri" w:cs="Calibri"/>
        </w:rPr>
        <w:footnoteRef/>
      </w:r>
      <w:r w:rsidR="489FFC7A" w:rsidRPr="489FFC7A">
        <w:rPr>
          <w:rFonts w:ascii="Calibri" w:eastAsia="Calibri" w:hAnsi="Calibri" w:cs="Calibri"/>
        </w:rPr>
        <w:t xml:space="preserve"> A quote from Ferdinand </w:t>
      </w:r>
      <w:proofErr w:type="spellStart"/>
      <w:r w:rsidR="489FFC7A" w:rsidRPr="489FFC7A">
        <w:rPr>
          <w:rFonts w:ascii="Calibri" w:eastAsia="Calibri" w:hAnsi="Calibri" w:cs="Calibri"/>
        </w:rPr>
        <w:t>Tonnies</w:t>
      </w:r>
      <w:proofErr w:type="spellEnd"/>
      <w:r w:rsidR="489FFC7A" w:rsidRPr="489FFC7A">
        <w:rPr>
          <w:rFonts w:ascii="Calibri" w:eastAsia="Calibri" w:hAnsi="Calibri" w:cs="Calibri"/>
        </w:rPr>
        <w:t xml:space="preserve"> is apposite here: “Community by blood, indicating primal unity of existence, develops more specifically into community of place, which is expressed </w:t>
      </w:r>
      <w:proofErr w:type="gramStart"/>
      <w:r w:rsidR="489FFC7A" w:rsidRPr="489FFC7A">
        <w:rPr>
          <w:rFonts w:ascii="Calibri" w:eastAsia="Calibri" w:hAnsi="Calibri" w:cs="Calibri"/>
        </w:rPr>
        <w:t>first of all</w:t>
      </w:r>
      <w:proofErr w:type="gramEnd"/>
      <w:r w:rsidR="489FFC7A" w:rsidRPr="489FFC7A">
        <w:rPr>
          <w:rFonts w:ascii="Calibri" w:eastAsia="Calibri" w:hAnsi="Calibri" w:cs="Calibri"/>
        </w:rPr>
        <w:t xml:space="preserve"> as living in close proximity to one another. This in turn becomes community of spirit, working together for the same end and purpose. Community of place is what holds life together on a physical level, just as community of spirit is the binding link on the level of conscious thought.” (quoted in Wong, </w:t>
      </w:r>
      <w:r w:rsidR="489FFC7A" w:rsidRPr="489FFC7A">
        <w:rPr>
          <w:rFonts w:ascii="Calibri" w:eastAsia="Calibri" w:hAnsi="Calibri" w:cs="Calibri"/>
          <w:color w:val="000000" w:themeColor="text1"/>
        </w:rPr>
        <w:t>2010</w:t>
      </w:r>
      <w:r w:rsidR="489FFC7A" w:rsidRPr="489FFC7A">
        <w:rPr>
          <w:rFonts w:ascii="Calibri" w:eastAsia="Calibri" w:hAnsi="Calibri" w:cs="Calibri"/>
        </w:rPr>
        <w:t>).</w:t>
      </w:r>
    </w:p>
    <w:p w14:paraId="7E9082A9" w14:textId="77777777" w:rsidR="008A3BB1" w:rsidRDefault="008A3BB1" w:rsidP="489FFC7A">
      <w:pPr>
        <w:pStyle w:val="HTMLPreformatted"/>
        <w:ind w:firstLine="720"/>
        <w:rPr>
          <w:rFonts w:ascii="Georgia" w:hAnsi="Georgia"/>
        </w:rPr>
      </w:pPr>
    </w:p>
  </w:footnote>
  <w:footnote w:id="24">
    <w:p w14:paraId="33C634A5" w14:textId="08F18D73" w:rsidR="00880B78" w:rsidRDefault="00880B78" w:rsidP="489FFC7A">
      <w:pPr>
        <w:spacing w:after="0" w:line="240" w:lineRule="auto"/>
        <w:ind w:firstLine="720"/>
        <w:textAlignment w:val="baseline"/>
        <w:rPr>
          <w:rFonts w:ascii="Georgia" w:eastAsia="Times New Roman" w:hAnsi="Georgia" w:cs="Times New Roman"/>
          <w:i/>
          <w:iCs/>
          <w:sz w:val="20"/>
          <w:szCs w:val="20"/>
        </w:rPr>
      </w:pPr>
      <w:r w:rsidRPr="489FFC7A">
        <w:rPr>
          <w:rStyle w:val="FootnoteReference"/>
          <w:rFonts w:ascii="Calibri" w:eastAsia="Calibri" w:hAnsi="Calibri" w:cs="Calibri"/>
          <w:sz w:val="20"/>
          <w:szCs w:val="20"/>
        </w:rPr>
        <w:footnoteRef/>
      </w:r>
      <w:r w:rsidR="489FFC7A" w:rsidRPr="489FFC7A">
        <w:rPr>
          <w:rFonts w:ascii="Calibri" w:eastAsia="Calibri" w:hAnsi="Calibri" w:cs="Calibri"/>
          <w:sz w:val="20"/>
          <w:szCs w:val="20"/>
        </w:rPr>
        <w:t xml:space="preserve"> We find Stephanopoulos the clearest thinker of whom we are aware when it comes to making operational notions of geographically linked community. </w:t>
      </w:r>
      <w:r w:rsidR="489FFC7A" w:rsidRPr="489FFC7A">
        <w:rPr>
          <w:rFonts w:ascii="Calibri" w:eastAsia="Calibri" w:hAnsi="Calibri" w:cs="Calibri"/>
          <w:color w:val="4D4D4D"/>
          <w:sz w:val="20"/>
          <w:szCs w:val="20"/>
        </w:rPr>
        <w:t>Stephanopoulos (2012a, see also Stephanopoulos 2012b</w:t>
      </w:r>
      <w:r w:rsidR="489FFC7A" w:rsidRPr="489FFC7A">
        <w:rPr>
          <w:rFonts w:ascii="Calibri" w:eastAsia="Calibri" w:hAnsi="Calibri" w:cs="Calibri"/>
          <w:color w:val="000000"/>
          <w:sz w:val="20"/>
          <w:szCs w:val="20"/>
        </w:rPr>
        <w:t xml:space="preserve">) offers the following definition: “[A] territorial community is a (1) geographically defined group of people who (2) share similar social, cultural, and economic interests and (3) believe they are part of the same coherent entity. The first element, geographic demarcation, is necessary because of the American commitment to geographic districting. While non-geographic communities certainly exist, they cannot easily be captured by districts that are drawn spatially. The second element, shared interests, is mostly objective in character and gives rise to groups of people who are affected in similar ways by (and usually have similar positions on) the gamut of governmental actions. The common concerns that are most relevant here are those that bear on some matter of actual or potential governmental policy. Lastly, the third element, a feeling of communal affiliation, is subjective in nature. It ensures that members of a community actually understand themselves to be part of the same </w:t>
      </w:r>
      <w:r w:rsidR="489FFC7A" w:rsidRPr="489FFC7A">
        <w:rPr>
          <w:rFonts w:ascii="Calibri" w:eastAsia="Calibri" w:hAnsi="Calibri" w:cs="Calibri"/>
          <w:sz w:val="20"/>
          <w:szCs w:val="20"/>
        </w:rPr>
        <w:t>cognizable unit.” But Stephanopoulos (2012a) also clearly acknowledges the “fuzziness” of his concept of </w:t>
      </w:r>
      <w:r w:rsidR="489FFC7A" w:rsidRPr="489FFC7A">
        <w:rPr>
          <w:rFonts w:ascii="Calibri" w:eastAsia="Calibri" w:hAnsi="Calibri" w:cs="Calibri"/>
          <w:i/>
          <w:iCs/>
          <w:sz w:val="20"/>
          <w:szCs w:val="20"/>
        </w:rPr>
        <w:t>territorial community.</w:t>
      </w:r>
    </w:p>
    <w:p w14:paraId="35CC3897" w14:textId="77777777" w:rsidR="008A3BB1" w:rsidRPr="00AB7776" w:rsidRDefault="008A3BB1" w:rsidP="489FFC7A">
      <w:pPr>
        <w:spacing w:after="0" w:line="240" w:lineRule="auto"/>
        <w:ind w:firstLine="720"/>
        <w:textAlignment w:val="baseline"/>
        <w:rPr>
          <w:rFonts w:ascii="Georgia" w:eastAsia="Times New Roman" w:hAnsi="Georgia" w:cs="Segoe UI"/>
          <w:sz w:val="20"/>
          <w:szCs w:val="20"/>
        </w:rPr>
      </w:pPr>
    </w:p>
  </w:footnote>
  <w:footnote w:id="25">
    <w:p w14:paraId="355863DA" w14:textId="7F700E23" w:rsidR="00880B78" w:rsidRPr="008E07E7" w:rsidRDefault="00880B78" w:rsidP="489FFC7A">
      <w:pPr>
        <w:pStyle w:val="FootnoteText"/>
        <w:ind w:firstLine="720"/>
        <w:rPr>
          <w:rFonts w:ascii="Georgia" w:eastAsia="Times New Roman" w:hAnsi="Georgia" w:cs="Segoe UI"/>
        </w:rPr>
      </w:pPr>
      <w:r w:rsidRPr="489FFC7A">
        <w:rPr>
          <w:rStyle w:val="FootnoteReference"/>
          <w:rFonts w:ascii="Calibri" w:eastAsia="Calibri" w:hAnsi="Calibri" w:cs="Calibri"/>
        </w:rPr>
        <w:footnoteRef/>
      </w:r>
      <w:r w:rsidR="489FFC7A" w:rsidRPr="489FFC7A">
        <w:rPr>
          <w:rFonts w:ascii="Calibri" w:eastAsia="Calibri" w:hAnsi="Calibri" w:cs="Calibri"/>
        </w:rPr>
        <w:t xml:space="preserve"> Stephanopoulos (2012a) argues that courts need only invalidate a district if “one of three disruptions to a community of interest is found: (1) </w:t>
      </w:r>
      <w:r w:rsidR="489FFC7A" w:rsidRPr="489FFC7A">
        <w:rPr>
          <w:rFonts w:ascii="Calibri" w:eastAsia="Calibri" w:hAnsi="Calibri" w:cs="Calibri"/>
          <w:i/>
          <w:iCs/>
        </w:rPr>
        <w:t>fusion</w:t>
      </w:r>
      <w:r w:rsidR="489FFC7A" w:rsidRPr="489FFC7A">
        <w:rPr>
          <w:rFonts w:ascii="Calibri" w:eastAsia="Calibri" w:hAnsi="Calibri" w:cs="Calibri"/>
        </w:rPr>
        <w:t xml:space="preserve">, (2) </w:t>
      </w:r>
      <w:r w:rsidR="489FFC7A" w:rsidRPr="489FFC7A">
        <w:rPr>
          <w:rFonts w:ascii="Calibri" w:eastAsia="Calibri" w:hAnsi="Calibri" w:cs="Calibri"/>
          <w:i/>
          <w:iCs/>
        </w:rPr>
        <w:t>fragmentation</w:t>
      </w:r>
      <w:r w:rsidR="489FFC7A" w:rsidRPr="489FFC7A">
        <w:rPr>
          <w:rFonts w:ascii="Calibri" w:eastAsia="Calibri" w:hAnsi="Calibri" w:cs="Calibri"/>
        </w:rPr>
        <w:t xml:space="preserve">, and (3) </w:t>
      </w:r>
      <w:r w:rsidR="489FFC7A" w:rsidRPr="489FFC7A">
        <w:rPr>
          <w:rFonts w:ascii="Calibri" w:eastAsia="Calibri" w:hAnsi="Calibri" w:cs="Calibri"/>
          <w:i/>
          <w:iCs/>
        </w:rPr>
        <w:t>subversion</w:t>
      </w:r>
      <w:r w:rsidR="489FFC7A" w:rsidRPr="489FFC7A">
        <w:rPr>
          <w:rFonts w:ascii="Calibri" w:eastAsia="Calibri" w:hAnsi="Calibri" w:cs="Calibri"/>
        </w:rPr>
        <w:t xml:space="preserve">.” </w:t>
      </w:r>
      <w:r w:rsidR="489FFC7A" w:rsidRPr="489FFC7A">
        <w:rPr>
          <w:rFonts w:ascii="Calibri" w:eastAsia="Calibri" w:hAnsi="Calibri" w:cs="Calibri"/>
          <w:i/>
          <w:iCs/>
        </w:rPr>
        <w:t>Fusion</w:t>
      </w:r>
      <w:r w:rsidR="489FFC7A" w:rsidRPr="489FFC7A">
        <w:rPr>
          <w:rFonts w:ascii="Calibri" w:eastAsia="Calibri" w:hAnsi="Calibri" w:cs="Calibri"/>
        </w:rPr>
        <w:t> is where groups from divergent communities are put together where claims of commonality may be unjustified. He notes that fusion was the subject of </w:t>
      </w:r>
      <w:r w:rsidR="489FFC7A" w:rsidRPr="489FFC7A">
        <w:rPr>
          <w:rFonts w:ascii="Calibri" w:eastAsia="Calibri" w:hAnsi="Calibri" w:cs="Calibri"/>
          <w:i/>
          <w:iCs/>
        </w:rPr>
        <w:t>LULAC v. Perry</w:t>
      </w:r>
      <w:r w:rsidR="489FFC7A" w:rsidRPr="489FFC7A">
        <w:rPr>
          <w:rFonts w:ascii="Calibri" w:eastAsia="Calibri" w:hAnsi="Calibri" w:cs="Calibri"/>
        </w:rPr>
        <w:t>, 548 U.S. 339 (2006). </w:t>
      </w:r>
      <w:r w:rsidR="489FFC7A" w:rsidRPr="489FFC7A">
        <w:rPr>
          <w:rFonts w:ascii="Calibri" w:eastAsia="Calibri" w:hAnsi="Calibri" w:cs="Calibri"/>
          <w:i/>
          <w:iCs/>
        </w:rPr>
        <w:t>Fragmentation</w:t>
      </w:r>
      <w:r w:rsidR="489FFC7A" w:rsidRPr="489FFC7A">
        <w:rPr>
          <w:rFonts w:ascii="Calibri" w:eastAsia="Calibri" w:hAnsi="Calibri" w:cs="Calibri"/>
        </w:rPr>
        <w:t xml:space="preserve"> is when groups are split among multiple districts in a fashion that dilutes their voting power. In the redistricting literature this is often referred to under the rubric of </w:t>
      </w:r>
      <w:r w:rsidR="489FFC7A" w:rsidRPr="489FFC7A">
        <w:rPr>
          <w:rFonts w:ascii="Calibri" w:eastAsia="Calibri" w:hAnsi="Calibri" w:cs="Calibri"/>
          <w:i/>
          <w:iCs/>
        </w:rPr>
        <w:t>cracking</w:t>
      </w:r>
      <w:r w:rsidR="489FFC7A" w:rsidRPr="489FFC7A">
        <w:rPr>
          <w:rFonts w:ascii="Calibri" w:eastAsia="Calibri" w:hAnsi="Calibri" w:cs="Calibri"/>
        </w:rPr>
        <w:t>. There can be dispute about exactly which groups have legal protections against fragmentation, as shown in Chief Justice Burger's dissent in </w:t>
      </w:r>
      <w:r w:rsidR="489FFC7A" w:rsidRPr="489FFC7A">
        <w:rPr>
          <w:rFonts w:ascii="Calibri" w:eastAsia="Calibri" w:hAnsi="Calibri" w:cs="Calibri"/>
          <w:i/>
          <w:iCs/>
        </w:rPr>
        <w:t>United Jewish Organizations of </w:t>
      </w:r>
      <w:proofErr w:type="spellStart"/>
      <w:r w:rsidR="489FFC7A" w:rsidRPr="489FFC7A">
        <w:rPr>
          <w:rFonts w:ascii="Calibri" w:eastAsia="Calibri" w:hAnsi="Calibri" w:cs="Calibri"/>
          <w:i/>
          <w:iCs/>
        </w:rPr>
        <w:t>Williamsburgh</w:t>
      </w:r>
      <w:proofErr w:type="spellEnd"/>
      <w:r w:rsidR="489FFC7A" w:rsidRPr="489FFC7A">
        <w:rPr>
          <w:rFonts w:ascii="Calibri" w:eastAsia="Calibri" w:hAnsi="Calibri" w:cs="Calibri"/>
          <w:i/>
          <w:iCs/>
        </w:rPr>
        <w:t>, Inc. v. Carey</w:t>
      </w:r>
      <w:r w:rsidR="489FFC7A" w:rsidRPr="489FFC7A">
        <w:rPr>
          <w:rFonts w:ascii="Calibri" w:eastAsia="Calibri" w:hAnsi="Calibri" w:cs="Calibri"/>
        </w:rPr>
        <w:t> 430 U.S. 144 (1977). </w:t>
      </w:r>
      <w:r w:rsidR="489FFC7A" w:rsidRPr="489FFC7A">
        <w:rPr>
          <w:rFonts w:ascii="Calibri" w:eastAsia="Calibri" w:hAnsi="Calibri" w:cs="Calibri"/>
          <w:i/>
          <w:iCs/>
        </w:rPr>
        <w:t>Subversion</w:t>
      </w:r>
      <w:r w:rsidR="489FFC7A" w:rsidRPr="489FFC7A">
        <w:rPr>
          <w:rFonts w:ascii="Calibri" w:eastAsia="Calibri" w:hAnsi="Calibri" w:cs="Calibri"/>
        </w:rPr>
        <w:t xml:space="preserve"> is when communities are selectively integrated into districts in a way intended to achieve racial or partisan ends. Subversion issues arose in </w:t>
      </w:r>
      <w:proofErr w:type="spellStart"/>
      <w:r w:rsidR="489FFC7A" w:rsidRPr="489FFC7A">
        <w:rPr>
          <w:rFonts w:ascii="Calibri" w:eastAsia="Calibri" w:hAnsi="Calibri" w:cs="Calibri"/>
          <w:i/>
          <w:iCs/>
        </w:rPr>
        <w:t>Gomillion</w:t>
      </w:r>
      <w:proofErr w:type="spellEnd"/>
      <w:r w:rsidR="489FFC7A" w:rsidRPr="489FFC7A">
        <w:rPr>
          <w:rFonts w:ascii="Calibri" w:eastAsia="Calibri" w:hAnsi="Calibri" w:cs="Calibri"/>
          <w:i/>
          <w:iCs/>
        </w:rPr>
        <w:t> v. Lightfoot</w:t>
      </w:r>
      <w:r w:rsidR="489FFC7A" w:rsidRPr="489FFC7A">
        <w:rPr>
          <w:rFonts w:ascii="Calibri" w:eastAsia="Calibri" w:hAnsi="Calibri" w:cs="Calibri"/>
        </w:rPr>
        <w:t xml:space="preserve">, 364 U.S. 339 (1960), a case involving racially selective annexation. In the redistricting literature the problem arising from one kind of selection bias is often referred to under the rubric of </w:t>
      </w:r>
      <w:r w:rsidR="489FFC7A" w:rsidRPr="489FFC7A">
        <w:rPr>
          <w:rFonts w:ascii="Calibri" w:eastAsia="Calibri" w:hAnsi="Calibri" w:cs="Calibri"/>
          <w:i/>
          <w:iCs/>
        </w:rPr>
        <w:t>packing</w:t>
      </w:r>
      <w:r w:rsidR="489FFC7A" w:rsidRPr="489FFC7A">
        <w:rPr>
          <w:rFonts w:ascii="Calibri" w:eastAsia="Calibri" w:hAnsi="Calibri" w:cs="Calibri"/>
        </w:rPr>
        <w:t>.</w:t>
      </w:r>
    </w:p>
    <w:p w14:paraId="124F13B5" w14:textId="77777777" w:rsidR="00880B78" w:rsidRPr="00AB7776" w:rsidRDefault="00880B78" w:rsidP="489FFC7A">
      <w:pPr>
        <w:pStyle w:val="FootnoteText"/>
        <w:ind w:firstLine="720"/>
        <w:rPr>
          <w:rFonts w:ascii="Georgia" w:hAnsi="Georgia"/>
        </w:rPr>
      </w:pPr>
    </w:p>
  </w:footnote>
  <w:footnote w:id="26">
    <w:p w14:paraId="23BF675B" w14:textId="7D6B51D8" w:rsidR="00F45C14" w:rsidRPr="002C3F4B" w:rsidRDefault="00F45C14" w:rsidP="489FFC7A">
      <w:pPr>
        <w:pStyle w:val="FootnoteText"/>
        <w:ind w:firstLine="720"/>
        <w:rPr>
          <w:rFonts w:ascii="Georgia" w:hAnsi="Georgia" w:cs="Times New Roman"/>
        </w:rPr>
      </w:pPr>
      <w:r w:rsidRPr="489FFC7A">
        <w:rPr>
          <w:rStyle w:val="FootnoteReference"/>
          <w:rFonts w:ascii="Calibri" w:eastAsia="Calibri" w:hAnsi="Calibri" w:cs="Calibri"/>
        </w:rPr>
        <w:footnoteRef/>
      </w:r>
      <w:r w:rsidR="489FFC7A" w:rsidRPr="489FFC7A">
        <w:rPr>
          <w:rFonts w:ascii="Calibri" w:eastAsia="Calibri" w:hAnsi="Calibri" w:cs="Calibri"/>
        </w:rPr>
        <w:t xml:space="preserve"> For example, a recent reform (effective 3/28/2020) in Utah specifies a set of redistricting criteria that includes protecting communities of interest (UT Code Annotated § 20A-20-302(5)(a)).</w:t>
      </w:r>
    </w:p>
    <w:p w14:paraId="00ECCD4D" w14:textId="77777777" w:rsidR="00F45C14" w:rsidRPr="00F45C14" w:rsidRDefault="00F45C14" w:rsidP="489FFC7A">
      <w:pPr>
        <w:pStyle w:val="FootnoteText"/>
        <w:ind w:firstLine="720"/>
        <w:rPr>
          <w:rFonts w:ascii="Georgia" w:hAnsi="Georgia" w:cs="Times New Roman"/>
        </w:rPr>
      </w:pPr>
    </w:p>
  </w:footnote>
  <w:footnote w:id="27">
    <w:p w14:paraId="336D4311" w14:textId="77777777" w:rsidR="00F45C14" w:rsidRPr="00AB7776" w:rsidRDefault="00F45C14" w:rsidP="489FFC7A">
      <w:pPr>
        <w:pStyle w:val="FootnoteText"/>
        <w:ind w:firstLine="720"/>
        <w:rPr>
          <w:rFonts w:ascii="Georgia" w:hAnsi="Georgia" w:cs="Segoe UI"/>
        </w:rPr>
      </w:pPr>
      <w:r w:rsidRPr="489FFC7A">
        <w:rPr>
          <w:rStyle w:val="FootnoteReference"/>
          <w:rFonts w:ascii="Calibri" w:eastAsia="Calibri" w:hAnsi="Calibri" w:cs="Calibri"/>
        </w:rPr>
        <w:footnoteRef/>
      </w:r>
      <w:r w:rsidR="489FFC7A" w:rsidRPr="489FFC7A">
        <w:rPr>
          <w:rFonts w:ascii="Calibri" w:eastAsia="Calibri" w:hAnsi="Calibri" w:cs="Calibri"/>
        </w:rPr>
        <w:t xml:space="preserve"> For comparison, in 1985, language about preserving communities of interest was found explicitly in only eight state constitutions when describing the requirements for legislative or congressional line drawing in the state (</w:t>
      </w:r>
      <w:proofErr w:type="spellStart"/>
      <w:r w:rsidR="489FFC7A" w:rsidRPr="489FFC7A">
        <w:rPr>
          <w:rFonts w:ascii="Calibri" w:eastAsia="Calibri" w:hAnsi="Calibri" w:cs="Calibri"/>
        </w:rPr>
        <w:t>Grofman</w:t>
      </w:r>
      <w:proofErr w:type="spellEnd"/>
      <w:r w:rsidR="489FFC7A" w:rsidRPr="489FFC7A">
        <w:rPr>
          <w:rFonts w:ascii="Calibri" w:eastAsia="Calibri" w:hAnsi="Calibri" w:cs="Calibri"/>
        </w:rPr>
        <w:t>, 1985, Table 3, p. 177), with implicit references to the concept in a few others.</w:t>
      </w:r>
    </w:p>
    <w:p w14:paraId="01B2B97F" w14:textId="77777777" w:rsidR="00F45C14" w:rsidRPr="00F45C14" w:rsidRDefault="00F45C14" w:rsidP="489FFC7A">
      <w:pPr>
        <w:pStyle w:val="FootnoteText"/>
        <w:ind w:firstLine="720"/>
        <w:rPr>
          <w:rFonts w:ascii="Georgia" w:hAnsi="Georgia"/>
        </w:rPr>
      </w:pPr>
    </w:p>
  </w:footnote>
  <w:footnote w:id="28">
    <w:p w14:paraId="6D7910E8" w14:textId="1D4D46B7" w:rsidR="00F45C14" w:rsidRPr="007245AB" w:rsidRDefault="00F45C14" w:rsidP="489FFC7A">
      <w:pPr>
        <w:pStyle w:val="FootnoteText"/>
        <w:ind w:firstLine="720"/>
      </w:pPr>
      <w:r w:rsidRPr="489FFC7A">
        <w:rPr>
          <w:rStyle w:val="FootnoteReference"/>
          <w:rFonts w:ascii="Calibri" w:eastAsia="Calibri" w:hAnsi="Calibri" w:cs="Calibri"/>
        </w:rPr>
        <w:footnoteRef/>
      </w:r>
      <w:r w:rsidR="489FFC7A" w:rsidRPr="489FFC7A">
        <w:rPr>
          <w:rFonts w:ascii="Calibri" w:eastAsia="Calibri" w:hAnsi="Calibri" w:cs="Calibri"/>
        </w:rPr>
        <w:t xml:space="preserve"> See</w:t>
      </w:r>
      <w:r w:rsidR="489FFC7A" w:rsidRPr="489FFC7A">
        <w:rPr>
          <w:rFonts w:ascii="Calibri" w:eastAsia="Calibri" w:hAnsi="Calibri" w:cs="Calibri"/>
          <w:i/>
          <w:iCs/>
        </w:rPr>
        <w:t xml:space="preserve"> </w:t>
      </w:r>
      <w:r w:rsidR="489FFC7A" w:rsidRPr="489FFC7A">
        <w:rPr>
          <w:rFonts w:ascii="Calibri" w:eastAsia="Calibri" w:hAnsi="Calibri" w:cs="Calibri"/>
        </w:rPr>
        <w:t>representable.org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79DE3" w14:textId="2F203914" w:rsidR="00880B78" w:rsidRDefault="00880B78">
    <w:pPr>
      <w:pStyle w:val="Header"/>
      <w:jc w:val="center"/>
    </w:pPr>
  </w:p>
  <w:p w14:paraId="1F9FC4C5" w14:textId="77777777" w:rsidR="00880B78" w:rsidRDefault="00880B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G2NDE1NjY1MbI0NTFT0lEKTi0uzszPAykwNK8FAMRvlUQtAAAA"/>
  </w:docVars>
  <w:rsids>
    <w:rsidRoot w:val="005C6FD2"/>
    <w:rsid w:val="00021EBD"/>
    <w:rsid w:val="000307C7"/>
    <w:rsid w:val="00032407"/>
    <w:rsid w:val="00041DB8"/>
    <w:rsid w:val="0004240E"/>
    <w:rsid w:val="000442EC"/>
    <w:rsid w:val="0004432E"/>
    <w:rsid w:val="00051920"/>
    <w:rsid w:val="000550F7"/>
    <w:rsid w:val="00070781"/>
    <w:rsid w:val="00072DAB"/>
    <w:rsid w:val="000A40DB"/>
    <w:rsid w:val="000B7D95"/>
    <w:rsid w:val="000C4782"/>
    <w:rsid w:val="000C67AA"/>
    <w:rsid w:val="000D25EA"/>
    <w:rsid w:val="000F182D"/>
    <w:rsid w:val="000F31E2"/>
    <w:rsid w:val="001153F1"/>
    <w:rsid w:val="00115898"/>
    <w:rsid w:val="00116D0E"/>
    <w:rsid w:val="00122287"/>
    <w:rsid w:val="00131B66"/>
    <w:rsid w:val="00131ED1"/>
    <w:rsid w:val="00133D3A"/>
    <w:rsid w:val="00136A04"/>
    <w:rsid w:val="00140E2D"/>
    <w:rsid w:val="0014494D"/>
    <w:rsid w:val="001553CF"/>
    <w:rsid w:val="001553F4"/>
    <w:rsid w:val="001958B8"/>
    <w:rsid w:val="001A0384"/>
    <w:rsid w:val="001A0881"/>
    <w:rsid w:val="001A13BA"/>
    <w:rsid w:val="001A152A"/>
    <w:rsid w:val="001B72F4"/>
    <w:rsid w:val="001C4902"/>
    <w:rsid w:val="001D2D18"/>
    <w:rsid w:val="001D5B92"/>
    <w:rsid w:val="001F20C7"/>
    <w:rsid w:val="001F2914"/>
    <w:rsid w:val="001F2E26"/>
    <w:rsid w:val="001F4687"/>
    <w:rsid w:val="001F5006"/>
    <w:rsid w:val="001F57F7"/>
    <w:rsid w:val="001F6FB7"/>
    <w:rsid w:val="00201E5B"/>
    <w:rsid w:val="00203572"/>
    <w:rsid w:val="00204699"/>
    <w:rsid w:val="00215944"/>
    <w:rsid w:val="00220C0E"/>
    <w:rsid w:val="00221538"/>
    <w:rsid w:val="00231B06"/>
    <w:rsid w:val="002363A5"/>
    <w:rsid w:val="00236FD8"/>
    <w:rsid w:val="00241229"/>
    <w:rsid w:val="002446EC"/>
    <w:rsid w:val="00246E74"/>
    <w:rsid w:val="00252894"/>
    <w:rsid w:val="00256D20"/>
    <w:rsid w:val="00257D3F"/>
    <w:rsid w:val="00274A37"/>
    <w:rsid w:val="00275315"/>
    <w:rsid w:val="00280571"/>
    <w:rsid w:val="00283358"/>
    <w:rsid w:val="00291012"/>
    <w:rsid w:val="00291C68"/>
    <w:rsid w:val="002946D0"/>
    <w:rsid w:val="002B15AC"/>
    <w:rsid w:val="002C252E"/>
    <w:rsid w:val="002C3F4B"/>
    <w:rsid w:val="0030598B"/>
    <w:rsid w:val="00306120"/>
    <w:rsid w:val="0030700D"/>
    <w:rsid w:val="00311B51"/>
    <w:rsid w:val="00312994"/>
    <w:rsid w:val="00314052"/>
    <w:rsid w:val="0031473F"/>
    <w:rsid w:val="00321FAB"/>
    <w:rsid w:val="00322CFA"/>
    <w:rsid w:val="0032432C"/>
    <w:rsid w:val="00337630"/>
    <w:rsid w:val="00360C89"/>
    <w:rsid w:val="003620B6"/>
    <w:rsid w:val="00366943"/>
    <w:rsid w:val="0036EB38"/>
    <w:rsid w:val="00377F58"/>
    <w:rsid w:val="0038374A"/>
    <w:rsid w:val="00384E81"/>
    <w:rsid w:val="00387DA1"/>
    <w:rsid w:val="00387FC7"/>
    <w:rsid w:val="00396EBC"/>
    <w:rsid w:val="003A11E0"/>
    <w:rsid w:val="003A1EBC"/>
    <w:rsid w:val="003B6C58"/>
    <w:rsid w:val="003C1998"/>
    <w:rsid w:val="003C64DD"/>
    <w:rsid w:val="003E03B1"/>
    <w:rsid w:val="003E1FE1"/>
    <w:rsid w:val="003F78EC"/>
    <w:rsid w:val="00406C84"/>
    <w:rsid w:val="00413643"/>
    <w:rsid w:val="00427BC1"/>
    <w:rsid w:val="00434677"/>
    <w:rsid w:val="00435C0D"/>
    <w:rsid w:val="00436689"/>
    <w:rsid w:val="00445201"/>
    <w:rsid w:val="00446F50"/>
    <w:rsid w:val="00452807"/>
    <w:rsid w:val="00453AB4"/>
    <w:rsid w:val="00453D8A"/>
    <w:rsid w:val="004676D3"/>
    <w:rsid w:val="004712FD"/>
    <w:rsid w:val="0047144F"/>
    <w:rsid w:val="00472E3F"/>
    <w:rsid w:val="00476A47"/>
    <w:rsid w:val="004813B3"/>
    <w:rsid w:val="004941F1"/>
    <w:rsid w:val="004A4635"/>
    <w:rsid w:val="004B0AA8"/>
    <w:rsid w:val="004C2D6F"/>
    <w:rsid w:val="004C6902"/>
    <w:rsid w:val="004C6E47"/>
    <w:rsid w:val="004C716F"/>
    <w:rsid w:val="004C7B18"/>
    <w:rsid w:val="004D3287"/>
    <w:rsid w:val="004D70EA"/>
    <w:rsid w:val="004E3C05"/>
    <w:rsid w:val="004E6413"/>
    <w:rsid w:val="004E7E1C"/>
    <w:rsid w:val="004F1311"/>
    <w:rsid w:val="004F2D01"/>
    <w:rsid w:val="004F5789"/>
    <w:rsid w:val="00512993"/>
    <w:rsid w:val="005167D1"/>
    <w:rsid w:val="00517F2C"/>
    <w:rsid w:val="005230CC"/>
    <w:rsid w:val="005343B8"/>
    <w:rsid w:val="00543DFC"/>
    <w:rsid w:val="005452A1"/>
    <w:rsid w:val="00550314"/>
    <w:rsid w:val="00550A38"/>
    <w:rsid w:val="00554CD9"/>
    <w:rsid w:val="0056379E"/>
    <w:rsid w:val="0056499B"/>
    <w:rsid w:val="00566B8A"/>
    <w:rsid w:val="005743ED"/>
    <w:rsid w:val="00575173"/>
    <w:rsid w:val="005846E7"/>
    <w:rsid w:val="00584DE8"/>
    <w:rsid w:val="005A3BED"/>
    <w:rsid w:val="005A4091"/>
    <w:rsid w:val="005A53A0"/>
    <w:rsid w:val="005A6260"/>
    <w:rsid w:val="005A729C"/>
    <w:rsid w:val="005A73AB"/>
    <w:rsid w:val="005B0A62"/>
    <w:rsid w:val="005B0AD6"/>
    <w:rsid w:val="005B47EF"/>
    <w:rsid w:val="005B59BC"/>
    <w:rsid w:val="005B6AFB"/>
    <w:rsid w:val="005B6F87"/>
    <w:rsid w:val="005C027C"/>
    <w:rsid w:val="005C6FD2"/>
    <w:rsid w:val="005D21FF"/>
    <w:rsid w:val="005E556E"/>
    <w:rsid w:val="005E77CC"/>
    <w:rsid w:val="00607FCD"/>
    <w:rsid w:val="006131D7"/>
    <w:rsid w:val="00623AEA"/>
    <w:rsid w:val="00624AF9"/>
    <w:rsid w:val="0063454F"/>
    <w:rsid w:val="006362FF"/>
    <w:rsid w:val="00636B88"/>
    <w:rsid w:val="00642154"/>
    <w:rsid w:val="006527CF"/>
    <w:rsid w:val="006624B8"/>
    <w:rsid w:val="00666869"/>
    <w:rsid w:val="00671F59"/>
    <w:rsid w:val="00674304"/>
    <w:rsid w:val="006B3E08"/>
    <w:rsid w:val="006C30F8"/>
    <w:rsid w:val="006D7FDC"/>
    <w:rsid w:val="006E01C7"/>
    <w:rsid w:val="006E29CE"/>
    <w:rsid w:val="006F2ADA"/>
    <w:rsid w:val="006F35E1"/>
    <w:rsid w:val="006F5797"/>
    <w:rsid w:val="00706391"/>
    <w:rsid w:val="00712A7E"/>
    <w:rsid w:val="00717B84"/>
    <w:rsid w:val="007245AB"/>
    <w:rsid w:val="00727B76"/>
    <w:rsid w:val="00730F11"/>
    <w:rsid w:val="007341BA"/>
    <w:rsid w:val="00735A0A"/>
    <w:rsid w:val="00751E3A"/>
    <w:rsid w:val="00754522"/>
    <w:rsid w:val="00760EEE"/>
    <w:rsid w:val="0076215F"/>
    <w:rsid w:val="00775BDF"/>
    <w:rsid w:val="007806DC"/>
    <w:rsid w:val="00784727"/>
    <w:rsid w:val="00786686"/>
    <w:rsid w:val="00796B16"/>
    <w:rsid w:val="007A1DE3"/>
    <w:rsid w:val="007A4220"/>
    <w:rsid w:val="007C11BF"/>
    <w:rsid w:val="007C2B38"/>
    <w:rsid w:val="007D7920"/>
    <w:rsid w:val="007F522B"/>
    <w:rsid w:val="00812260"/>
    <w:rsid w:val="008170B7"/>
    <w:rsid w:val="0081712E"/>
    <w:rsid w:val="008177B8"/>
    <w:rsid w:val="008227D6"/>
    <w:rsid w:val="008317BC"/>
    <w:rsid w:val="00834B4E"/>
    <w:rsid w:val="00840BFE"/>
    <w:rsid w:val="00841B3E"/>
    <w:rsid w:val="0085271E"/>
    <w:rsid w:val="00854BB7"/>
    <w:rsid w:val="008566D6"/>
    <w:rsid w:val="008645E0"/>
    <w:rsid w:val="00864ACE"/>
    <w:rsid w:val="00880B78"/>
    <w:rsid w:val="00880D17"/>
    <w:rsid w:val="00881C23"/>
    <w:rsid w:val="00886D06"/>
    <w:rsid w:val="008968AF"/>
    <w:rsid w:val="008A3BB1"/>
    <w:rsid w:val="008C19BD"/>
    <w:rsid w:val="008C3647"/>
    <w:rsid w:val="008C667E"/>
    <w:rsid w:val="008D325C"/>
    <w:rsid w:val="008D4283"/>
    <w:rsid w:val="008D476E"/>
    <w:rsid w:val="008E07E7"/>
    <w:rsid w:val="008E5C2E"/>
    <w:rsid w:val="008F7754"/>
    <w:rsid w:val="00903897"/>
    <w:rsid w:val="0090618D"/>
    <w:rsid w:val="009158DA"/>
    <w:rsid w:val="009161BC"/>
    <w:rsid w:val="00917F6D"/>
    <w:rsid w:val="00924689"/>
    <w:rsid w:val="00936490"/>
    <w:rsid w:val="00937568"/>
    <w:rsid w:val="009428D1"/>
    <w:rsid w:val="009445E3"/>
    <w:rsid w:val="00945F30"/>
    <w:rsid w:val="00950605"/>
    <w:rsid w:val="00970A4E"/>
    <w:rsid w:val="009710B2"/>
    <w:rsid w:val="0098638F"/>
    <w:rsid w:val="0099067F"/>
    <w:rsid w:val="009B7693"/>
    <w:rsid w:val="009D444F"/>
    <w:rsid w:val="009F2CDD"/>
    <w:rsid w:val="00A0204D"/>
    <w:rsid w:val="00A07A0A"/>
    <w:rsid w:val="00A20CD0"/>
    <w:rsid w:val="00A24168"/>
    <w:rsid w:val="00A3194A"/>
    <w:rsid w:val="00A32325"/>
    <w:rsid w:val="00A331BA"/>
    <w:rsid w:val="00A34591"/>
    <w:rsid w:val="00A35B47"/>
    <w:rsid w:val="00A41AB1"/>
    <w:rsid w:val="00A43BB5"/>
    <w:rsid w:val="00A45586"/>
    <w:rsid w:val="00A63A93"/>
    <w:rsid w:val="00A7339D"/>
    <w:rsid w:val="00A745CF"/>
    <w:rsid w:val="00A74CB2"/>
    <w:rsid w:val="00A7663B"/>
    <w:rsid w:val="00A82B49"/>
    <w:rsid w:val="00A90874"/>
    <w:rsid w:val="00AA3880"/>
    <w:rsid w:val="00AA5B86"/>
    <w:rsid w:val="00AA68C1"/>
    <w:rsid w:val="00AA6DBE"/>
    <w:rsid w:val="00AB102D"/>
    <w:rsid w:val="00AB44E6"/>
    <w:rsid w:val="00AB6B6E"/>
    <w:rsid w:val="00AB7776"/>
    <w:rsid w:val="00AC3BC2"/>
    <w:rsid w:val="00AC51F6"/>
    <w:rsid w:val="00AD08BC"/>
    <w:rsid w:val="00AD6485"/>
    <w:rsid w:val="00AE513B"/>
    <w:rsid w:val="00B0073A"/>
    <w:rsid w:val="00B264CE"/>
    <w:rsid w:val="00B26CF5"/>
    <w:rsid w:val="00B41393"/>
    <w:rsid w:val="00B4766A"/>
    <w:rsid w:val="00B61E45"/>
    <w:rsid w:val="00B71B5E"/>
    <w:rsid w:val="00B730B8"/>
    <w:rsid w:val="00B76756"/>
    <w:rsid w:val="00B86B69"/>
    <w:rsid w:val="00B86C89"/>
    <w:rsid w:val="00B914B9"/>
    <w:rsid w:val="00BC2729"/>
    <w:rsid w:val="00BD5577"/>
    <w:rsid w:val="00BD6C31"/>
    <w:rsid w:val="00BD7F2E"/>
    <w:rsid w:val="00BE2A9F"/>
    <w:rsid w:val="00BE5608"/>
    <w:rsid w:val="00BF2E8A"/>
    <w:rsid w:val="00BF3266"/>
    <w:rsid w:val="00BF4FDA"/>
    <w:rsid w:val="00C06A9B"/>
    <w:rsid w:val="00C14120"/>
    <w:rsid w:val="00C20A8D"/>
    <w:rsid w:val="00C23A51"/>
    <w:rsid w:val="00C42D06"/>
    <w:rsid w:val="00C50A96"/>
    <w:rsid w:val="00C5436C"/>
    <w:rsid w:val="00C84916"/>
    <w:rsid w:val="00C85200"/>
    <w:rsid w:val="00C90C31"/>
    <w:rsid w:val="00C90CDB"/>
    <w:rsid w:val="00C92192"/>
    <w:rsid w:val="00C97F5C"/>
    <w:rsid w:val="00CA00DA"/>
    <w:rsid w:val="00CA670A"/>
    <w:rsid w:val="00CC0EE1"/>
    <w:rsid w:val="00CC1FD0"/>
    <w:rsid w:val="00CC47C6"/>
    <w:rsid w:val="00CE71B8"/>
    <w:rsid w:val="00D03BDA"/>
    <w:rsid w:val="00D050AE"/>
    <w:rsid w:val="00D06218"/>
    <w:rsid w:val="00D078E7"/>
    <w:rsid w:val="00D11680"/>
    <w:rsid w:val="00D146BB"/>
    <w:rsid w:val="00D16366"/>
    <w:rsid w:val="00D22B1D"/>
    <w:rsid w:val="00D362ED"/>
    <w:rsid w:val="00D47BE7"/>
    <w:rsid w:val="00D559A9"/>
    <w:rsid w:val="00D62302"/>
    <w:rsid w:val="00D66ABC"/>
    <w:rsid w:val="00D721C7"/>
    <w:rsid w:val="00D82205"/>
    <w:rsid w:val="00D86AA6"/>
    <w:rsid w:val="00D90839"/>
    <w:rsid w:val="00D90B27"/>
    <w:rsid w:val="00D90F0E"/>
    <w:rsid w:val="00DA6EE0"/>
    <w:rsid w:val="00DB2422"/>
    <w:rsid w:val="00DC267D"/>
    <w:rsid w:val="00DC642C"/>
    <w:rsid w:val="00DD0F73"/>
    <w:rsid w:val="00DD41E1"/>
    <w:rsid w:val="00DD59C4"/>
    <w:rsid w:val="00DD67D4"/>
    <w:rsid w:val="00DE137E"/>
    <w:rsid w:val="00DE3E88"/>
    <w:rsid w:val="00DE5166"/>
    <w:rsid w:val="00DE59E0"/>
    <w:rsid w:val="00DF07C2"/>
    <w:rsid w:val="00DF5375"/>
    <w:rsid w:val="00DF60B9"/>
    <w:rsid w:val="00E04907"/>
    <w:rsid w:val="00E062C1"/>
    <w:rsid w:val="00E34C68"/>
    <w:rsid w:val="00E352FA"/>
    <w:rsid w:val="00E36B68"/>
    <w:rsid w:val="00E41A97"/>
    <w:rsid w:val="00E46F46"/>
    <w:rsid w:val="00E476BD"/>
    <w:rsid w:val="00E51F31"/>
    <w:rsid w:val="00E75A46"/>
    <w:rsid w:val="00E90DF1"/>
    <w:rsid w:val="00E926A4"/>
    <w:rsid w:val="00EB4E8A"/>
    <w:rsid w:val="00EC0C44"/>
    <w:rsid w:val="00EC0E9A"/>
    <w:rsid w:val="00EC2FC2"/>
    <w:rsid w:val="00EC6A59"/>
    <w:rsid w:val="00EC7E03"/>
    <w:rsid w:val="00ED327C"/>
    <w:rsid w:val="00ED3FDE"/>
    <w:rsid w:val="00ED5595"/>
    <w:rsid w:val="00EE28D1"/>
    <w:rsid w:val="00EE469E"/>
    <w:rsid w:val="00EE57F1"/>
    <w:rsid w:val="00EE6CB7"/>
    <w:rsid w:val="00F0091B"/>
    <w:rsid w:val="00F0487F"/>
    <w:rsid w:val="00F06C03"/>
    <w:rsid w:val="00F24D98"/>
    <w:rsid w:val="00F263B4"/>
    <w:rsid w:val="00F279D6"/>
    <w:rsid w:val="00F30089"/>
    <w:rsid w:val="00F31FBE"/>
    <w:rsid w:val="00F334DD"/>
    <w:rsid w:val="00F34BF1"/>
    <w:rsid w:val="00F3569A"/>
    <w:rsid w:val="00F45C14"/>
    <w:rsid w:val="00F45D93"/>
    <w:rsid w:val="00F47E04"/>
    <w:rsid w:val="00F536E5"/>
    <w:rsid w:val="00F54ED1"/>
    <w:rsid w:val="00F663E0"/>
    <w:rsid w:val="00F8144A"/>
    <w:rsid w:val="00F91DA5"/>
    <w:rsid w:val="00F96935"/>
    <w:rsid w:val="00F97D6D"/>
    <w:rsid w:val="00FA193C"/>
    <w:rsid w:val="00FA7BCC"/>
    <w:rsid w:val="00FB5923"/>
    <w:rsid w:val="00FC2316"/>
    <w:rsid w:val="00FC26E0"/>
    <w:rsid w:val="00FD5FFD"/>
    <w:rsid w:val="00FE1EF5"/>
    <w:rsid w:val="00FE368F"/>
    <w:rsid w:val="00FE59E2"/>
    <w:rsid w:val="00FF227C"/>
    <w:rsid w:val="00FF6799"/>
    <w:rsid w:val="01559498"/>
    <w:rsid w:val="015F7E0C"/>
    <w:rsid w:val="01E461EE"/>
    <w:rsid w:val="01EBF6C0"/>
    <w:rsid w:val="02004D29"/>
    <w:rsid w:val="0227F0FD"/>
    <w:rsid w:val="02937352"/>
    <w:rsid w:val="02AC9A60"/>
    <w:rsid w:val="02E55A67"/>
    <w:rsid w:val="03408DCA"/>
    <w:rsid w:val="038BEFBB"/>
    <w:rsid w:val="04595621"/>
    <w:rsid w:val="0472CAB2"/>
    <w:rsid w:val="053CB421"/>
    <w:rsid w:val="05E49CA2"/>
    <w:rsid w:val="06720D81"/>
    <w:rsid w:val="067EBCC1"/>
    <w:rsid w:val="06C5B21A"/>
    <w:rsid w:val="06F0B573"/>
    <w:rsid w:val="0746886A"/>
    <w:rsid w:val="07742105"/>
    <w:rsid w:val="07CC5564"/>
    <w:rsid w:val="07D3FC0F"/>
    <w:rsid w:val="07F200F0"/>
    <w:rsid w:val="0825DF2D"/>
    <w:rsid w:val="086D4589"/>
    <w:rsid w:val="087B3597"/>
    <w:rsid w:val="08809A0B"/>
    <w:rsid w:val="08B1ACC0"/>
    <w:rsid w:val="08F13B7A"/>
    <w:rsid w:val="092978D8"/>
    <w:rsid w:val="09CA45F6"/>
    <w:rsid w:val="0A3000B7"/>
    <w:rsid w:val="0A408C99"/>
    <w:rsid w:val="0A5758E6"/>
    <w:rsid w:val="0A75D014"/>
    <w:rsid w:val="0A7B03BD"/>
    <w:rsid w:val="0ADAE4C6"/>
    <w:rsid w:val="0B1B6884"/>
    <w:rsid w:val="0B378D21"/>
    <w:rsid w:val="0B64B10C"/>
    <w:rsid w:val="0CB81345"/>
    <w:rsid w:val="0CC416CC"/>
    <w:rsid w:val="0D47F7D4"/>
    <w:rsid w:val="0D67FFD1"/>
    <w:rsid w:val="0D8B6974"/>
    <w:rsid w:val="0DE0C0B4"/>
    <w:rsid w:val="0DEEE9F2"/>
    <w:rsid w:val="0E2FD7D6"/>
    <w:rsid w:val="0E33CD41"/>
    <w:rsid w:val="0E73B7C5"/>
    <w:rsid w:val="0F1E09A4"/>
    <w:rsid w:val="0FAD26AA"/>
    <w:rsid w:val="0FDB0720"/>
    <w:rsid w:val="102D05B5"/>
    <w:rsid w:val="1079A2E1"/>
    <w:rsid w:val="10C9EC5A"/>
    <w:rsid w:val="112406A8"/>
    <w:rsid w:val="114BDA7A"/>
    <w:rsid w:val="11734237"/>
    <w:rsid w:val="11895C86"/>
    <w:rsid w:val="11A51E68"/>
    <w:rsid w:val="11D33F87"/>
    <w:rsid w:val="11DFC9A5"/>
    <w:rsid w:val="1248D19B"/>
    <w:rsid w:val="12D67A99"/>
    <w:rsid w:val="13A39025"/>
    <w:rsid w:val="13CB8267"/>
    <w:rsid w:val="144BEB61"/>
    <w:rsid w:val="1457ED71"/>
    <w:rsid w:val="146676F9"/>
    <w:rsid w:val="1470D815"/>
    <w:rsid w:val="149CB0B9"/>
    <w:rsid w:val="14C0C46D"/>
    <w:rsid w:val="14CE01F8"/>
    <w:rsid w:val="155B2DE9"/>
    <w:rsid w:val="1567EA39"/>
    <w:rsid w:val="159D3844"/>
    <w:rsid w:val="15B0F797"/>
    <w:rsid w:val="15C6B958"/>
    <w:rsid w:val="15CA5975"/>
    <w:rsid w:val="15F0618F"/>
    <w:rsid w:val="160B8A13"/>
    <w:rsid w:val="172473E4"/>
    <w:rsid w:val="17511120"/>
    <w:rsid w:val="17D1ED95"/>
    <w:rsid w:val="17DCA0DD"/>
    <w:rsid w:val="17F15875"/>
    <w:rsid w:val="182D49E5"/>
    <w:rsid w:val="187C5081"/>
    <w:rsid w:val="189BCDBF"/>
    <w:rsid w:val="189F5CB6"/>
    <w:rsid w:val="18FC0C17"/>
    <w:rsid w:val="19290754"/>
    <w:rsid w:val="195A5DE9"/>
    <w:rsid w:val="198C67A9"/>
    <w:rsid w:val="19DAA494"/>
    <w:rsid w:val="1A9B1016"/>
    <w:rsid w:val="1B96BC0A"/>
    <w:rsid w:val="1BC0107E"/>
    <w:rsid w:val="1BEEF085"/>
    <w:rsid w:val="1C8BA07B"/>
    <w:rsid w:val="1D012A95"/>
    <w:rsid w:val="1D1EE1CA"/>
    <w:rsid w:val="1D4FC154"/>
    <w:rsid w:val="1D647492"/>
    <w:rsid w:val="1D90DD80"/>
    <w:rsid w:val="1DAB6BE5"/>
    <w:rsid w:val="1DB41BC6"/>
    <w:rsid w:val="1E0B3FD6"/>
    <w:rsid w:val="1E134405"/>
    <w:rsid w:val="1E204C60"/>
    <w:rsid w:val="1E394542"/>
    <w:rsid w:val="1E3A920C"/>
    <w:rsid w:val="1E9CA6D6"/>
    <w:rsid w:val="1EE89CFC"/>
    <w:rsid w:val="1EF43E4B"/>
    <w:rsid w:val="1F02E4CF"/>
    <w:rsid w:val="1F6FF0F1"/>
    <w:rsid w:val="1FACCA48"/>
    <w:rsid w:val="201E8AE2"/>
    <w:rsid w:val="203F66F0"/>
    <w:rsid w:val="208B3512"/>
    <w:rsid w:val="209D8A6D"/>
    <w:rsid w:val="20CCDC14"/>
    <w:rsid w:val="20F1D5D4"/>
    <w:rsid w:val="21A2C4E8"/>
    <w:rsid w:val="21C07740"/>
    <w:rsid w:val="2222C322"/>
    <w:rsid w:val="22A850BA"/>
    <w:rsid w:val="22C8F985"/>
    <w:rsid w:val="231F93B8"/>
    <w:rsid w:val="233C08C8"/>
    <w:rsid w:val="234EF9B2"/>
    <w:rsid w:val="2428F4EB"/>
    <w:rsid w:val="249B6A3B"/>
    <w:rsid w:val="25353402"/>
    <w:rsid w:val="25455F64"/>
    <w:rsid w:val="254CC7CD"/>
    <w:rsid w:val="256DC3BF"/>
    <w:rsid w:val="256F8CF2"/>
    <w:rsid w:val="261CFAE5"/>
    <w:rsid w:val="26254D7F"/>
    <w:rsid w:val="27C2194C"/>
    <w:rsid w:val="286DBA75"/>
    <w:rsid w:val="291F5A56"/>
    <w:rsid w:val="292F4781"/>
    <w:rsid w:val="296C057F"/>
    <w:rsid w:val="299DA6D2"/>
    <w:rsid w:val="29A96F72"/>
    <w:rsid w:val="29D70E67"/>
    <w:rsid w:val="2A325DC7"/>
    <w:rsid w:val="2A4C2E7C"/>
    <w:rsid w:val="2B3D8172"/>
    <w:rsid w:val="2B52B66E"/>
    <w:rsid w:val="2C336AC4"/>
    <w:rsid w:val="2CB81B7F"/>
    <w:rsid w:val="2CD44FB8"/>
    <w:rsid w:val="2D513F38"/>
    <w:rsid w:val="2D51408A"/>
    <w:rsid w:val="2E2A349B"/>
    <w:rsid w:val="2E9B8095"/>
    <w:rsid w:val="2EB22781"/>
    <w:rsid w:val="2F5691B6"/>
    <w:rsid w:val="2F6A8E45"/>
    <w:rsid w:val="2FABFEB3"/>
    <w:rsid w:val="2FC29194"/>
    <w:rsid w:val="2FEEDA9B"/>
    <w:rsid w:val="30100965"/>
    <w:rsid w:val="302DBF92"/>
    <w:rsid w:val="31116D3D"/>
    <w:rsid w:val="31959978"/>
    <w:rsid w:val="329D3B29"/>
    <w:rsid w:val="32DF9C75"/>
    <w:rsid w:val="32EC886A"/>
    <w:rsid w:val="32F82787"/>
    <w:rsid w:val="3352FD48"/>
    <w:rsid w:val="33883952"/>
    <w:rsid w:val="338EDB04"/>
    <w:rsid w:val="3436B363"/>
    <w:rsid w:val="344FFB43"/>
    <w:rsid w:val="345D6863"/>
    <w:rsid w:val="3466852D"/>
    <w:rsid w:val="34B8ED01"/>
    <w:rsid w:val="355EB5CF"/>
    <w:rsid w:val="3620AF76"/>
    <w:rsid w:val="362C5137"/>
    <w:rsid w:val="364397A4"/>
    <w:rsid w:val="36D7C20A"/>
    <w:rsid w:val="36E08E0A"/>
    <w:rsid w:val="37617C71"/>
    <w:rsid w:val="376FD0F0"/>
    <w:rsid w:val="37C2758F"/>
    <w:rsid w:val="38430EA6"/>
    <w:rsid w:val="38A0979A"/>
    <w:rsid w:val="39151033"/>
    <w:rsid w:val="3A3A4A6B"/>
    <w:rsid w:val="3A5B2BE5"/>
    <w:rsid w:val="3A83EAAD"/>
    <w:rsid w:val="3A942A04"/>
    <w:rsid w:val="3B3EC2CB"/>
    <w:rsid w:val="3B437F38"/>
    <w:rsid w:val="3BAD86D9"/>
    <w:rsid w:val="3BECE130"/>
    <w:rsid w:val="3C4018BF"/>
    <w:rsid w:val="3C79E2AB"/>
    <w:rsid w:val="3CA80A64"/>
    <w:rsid w:val="3D4382AE"/>
    <w:rsid w:val="3DEE9693"/>
    <w:rsid w:val="3E32EA0A"/>
    <w:rsid w:val="3E751ADB"/>
    <w:rsid w:val="3F1F81C5"/>
    <w:rsid w:val="3FD0CC54"/>
    <w:rsid w:val="40277FAD"/>
    <w:rsid w:val="40C2C55F"/>
    <w:rsid w:val="40E90546"/>
    <w:rsid w:val="40F67F2F"/>
    <w:rsid w:val="4108FD36"/>
    <w:rsid w:val="41201FA1"/>
    <w:rsid w:val="4171F17D"/>
    <w:rsid w:val="41C6C1D9"/>
    <w:rsid w:val="42468477"/>
    <w:rsid w:val="42CBD008"/>
    <w:rsid w:val="4332E95B"/>
    <w:rsid w:val="433300F7"/>
    <w:rsid w:val="437D81F7"/>
    <w:rsid w:val="4468587F"/>
    <w:rsid w:val="448F4ABB"/>
    <w:rsid w:val="44AF0F67"/>
    <w:rsid w:val="44DB3CBF"/>
    <w:rsid w:val="450701FA"/>
    <w:rsid w:val="458B3FF2"/>
    <w:rsid w:val="47081200"/>
    <w:rsid w:val="47806249"/>
    <w:rsid w:val="47B5582C"/>
    <w:rsid w:val="47F62A39"/>
    <w:rsid w:val="48127CE6"/>
    <w:rsid w:val="48287096"/>
    <w:rsid w:val="4841B785"/>
    <w:rsid w:val="484CAF97"/>
    <w:rsid w:val="485391E1"/>
    <w:rsid w:val="487DAB8F"/>
    <w:rsid w:val="488A8A47"/>
    <w:rsid w:val="4896B6FF"/>
    <w:rsid w:val="489FFC7A"/>
    <w:rsid w:val="499E78FE"/>
    <w:rsid w:val="49A2FC25"/>
    <w:rsid w:val="4A446F70"/>
    <w:rsid w:val="4A4DE56C"/>
    <w:rsid w:val="4A77D803"/>
    <w:rsid w:val="4AEC103D"/>
    <w:rsid w:val="4AF4CF0B"/>
    <w:rsid w:val="4B270DB7"/>
    <w:rsid w:val="4BD759F2"/>
    <w:rsid w:val="4C00BD75"/>
    <w:rsid w:val="4C163190"/>
    <w:rsid w:val="4C5B089E"/>
    <w:rsid w:val="4C652CA8"/>
    <w:rsid w:val="4C83AA0B"/>
    <w:rsid w:val="4C87177D"/>
    <w:rsid w:val="4C8E745D"/>
    <w:rsid w:val="4CAFC033"/>
    <w:rsid w:val="4CE46605"/>
    <w:rsid w:val="4CFD6629"/>
    <w:rsid w:val="4D2EDE3C"/>
    <w:rsid w:val="4DAA8990"/>
    <w:rsid w:val="4DC14F90"/>
    <w:rsid w:val="4DF1592C"/>
    <w:rsid w:val="4E1D2C14"/>
    <w:rsid w:val="4E4089CE"/>
    <w:rsid w:val="4E42D943"/>
    <w:rsid w:val="4ECABFB0"/>
    <w:rsid w:val="4ED58CF0"/>
    <w:rsid w:val="4EDAE585"/>
    <w:rsid w:val="4F90F464"/>
    <w:rsid w:val="4FAC8C5D"/>
    <w:rsid w:val="4FC6568E"/>
    <w:rsid w:val="4FCF5CAA"/>
    <w:rsid w:val="502244A7"/>
    <w:rsid w:val="50325804"/>
    <w:rsid w:val="5037D466"/>
    <w:rsid w:val="510881F4"/>
    <w:rsid w:val="510AAA50"/>
    <w:rsid w:val="512DECF7"/>
    <w:rsid w:val="5160C89E"/>
    <w:rsid w:val="51D94524"/>
    <w:rsid w:val="51ED39C9"/>
    <w:rsid w:val="5243E7FC"/>
    <w:rsid w:val="524DB41B"/>
    <w:rsid w:val="53298CF5"/>
    <w:rsid w:val="53D0D076"/>
    <w:rsid w:val="53D8D9A7"/>
    <w:rsid w:val="544C0FC6"/>
    <w:rsid w:val="547210F8"/>
    <w:rsid w:val="54AEFA91"/>
    <w:rsid w:val="551DF950"/>
    <w:rsid w:val="55321A2B"/>
    <w:rsid w:val="55519A57"/>
    <w:rsid w:val="558B97A6"/>
    <w:rsid w:val="55A14FC8"/>
    <w:rsid w:val="55DE8868"/>
    <w:rsid w:val="563FA44B"/>
    <w:rsid w:val="565A929E"/>
    <w:rsid w:val="566E192E"/>
    <w:rsid w:val="5694806C"/>
    <w:rsid w:val="56C0873B"/>
    <w:rsid w:val="57011E83"/>
    <w:rsid w:val="573CA539"/>
    <w:rsid w:val="5744EBE1"/>
    <w:rsid w:val="57A11B4A"/>
    <w:rsid w:val="59C86638"/>
    <w:rsid w:val="5A0541E8"/>
    <w:rsid w:val="5A1DC6DE"/>
    <w:rsid w:val="5AAE00FA"/>
    <w:rsid w:val="5B07C44A"/>
    <w:rsid w:val="5B32270E"/>
    <w:rsid w:val="5BA3541C"/>
    <w:rsid w:val="5BB20BB1"/>
    <w:rsid w:val="5BEE1AFC"/>
    <w:rsid w:val="5C0420FB"/>
    <w:rsid w:val="5C596E1C"/>
    <w:rsid w:val="5C97ED27"/>
    <w:rsid w:val="5D6A1C43"/>
    <w:rsid w:val="5DB22491"/>
    <w:rsid w:val="5E031F9A"/>
    <w:rsid w:val="5E079F52"/>
    <w:rsid w:val="5E7A1CB3"/>
    <w:rsid w:val="5EB6F103"/>
    <w:rsid w:val="5EC86FFB"/>
    <w:rsid w:val="5EEBC760"/>
    <w:rsid w:val="5F13C2E4"/>
    <w:rsid w:val="5F9B8352"/>
    <w:rsid w:val="604E17A1"/>
    <w:rsid w:val="606D2591"/>
    <w:rsid w:val="615B43A8"/>
    <w:rsid w:val="6182E5A2"/>
    <w:rsid w:val="61B9D13E"/>
    <w:rsid w:val="61C5D3B3"/>
    <w:rsid w:val="61EE71E1"/>
    <w:rsid w:val="629381C3"/>
    <w:rsid w:val="62C4475A"/>
    <w:rsid w:val="6335C292"/>
    <w:rsid w:val="63529A59"/>
    <w:rsid w:val="6385A992"/>
    <w:rsid w:val="63EAD5E5"/>
    <w:rsid w:val="641C08E4"/>
    <w:rsid w:val="64599C4D"/>
    <w:rsid w:val="64D6BC1D"/>
    <w:rsid w:val="64DCE784"/>
    <w:rsid w:val="64DE25F5"/>
    <w:rsid w:val="6510EABB"/>
    <w:rsid w:val="65C61849"/>
    <w:rsid w:val="65D48477"/>
    <w:rsid w:val="65ECCBFE"/>
    <w:rsid w:val="669DA952"/>
    <w:rsid w:val="678D288C"/>
    <w:rsid w:val="67B587EF"/>
    <w:rsid w:val="685DB29F"/>
    <w:rsid w:val="68BD5E79"/>
    <w:rsid w:val="68BF1C0B"/>
    <w:rsid w:val="68C46FED"/>
    <w:rsid w:val="6914FF54"/>
    <w:rsid w:val="69796951"/>
    <w:rsid w:val="69C3C4C2"/>
    <w:rsid w:val="69D6E9E2"/>
    <w:rsid w:val="69D84909"/>
    <w:rsid w:val="6A4FB74E"/>
    <w:rsid w:val="6A6A90E1"/>
    <w:rsid w:val="6AB4C5C3"/>
    <w:rsid w:val="6BF19601"/>
    <w:rsid w:val="6BF5DEF0"/>
    <w:rsid w:val="6C0B1857"/>
    <w:rsid w:val="6C74BFDD"/>
    <w:rsid w:val="6CBDE06A"/>
    <w:rsid w:val="6CEB33AC"/>
    <w:rsid w:val="6D128268"/>
    <w:rsid w:val="6D95D4D5"/>
    <w:rsid w:val="6DD12386"/>
    <w:rsid w:val="6EE1FCC5"/>
    <w:rsid w:val="6EF50B48"/>
    <w:rsid w:val="6F05D073"/>
    <w:rsid w:val="6FB49884"/>
    <w:rsid w:val="6FD62D94"/>
    <w:rsid w:val="700BD31C"/>
    <w:rsid w:val="70151E28"/>
    <w:rsid w:val="70296AFD"/>
    <w:rsid w:val="70871BE4"/>
    <w:rsid w:val="716C4096"/>
    <w:rsid w:val="71C31FFF"/>
    <w:rsid w:val="72258C8B"/>
    <w:rsid w:val="72744DC9"/>
    <w:rsid w:val="736EBAC1"/>
    <w:rsid w:val="73E557E9"/>
    <w:rsid w:val="73F518A8"/>
    <w:rsid w:val="74255A5A"/>
    <w:rsid w:val="74594DCA"/>
    <w:rsid w:val="746A1030"/>
    <w:rsid w:val="74B8EFC8"/>
    <w:rsid w:val="74BFCAFB"/>
    <w:rsid w:val="74EEC821"/>
    <w:rsid w:val="7591FE7A"/>
    <w:rsid w:val="75E2C3E2"/>
    <w:rsid w:val="75E514CF"/>
    <w:rsid w:val="75F41D93"/>
    <w:rsid w:val="7622311D"/>
    <w:rsid w:val="76822CFD"/>
    <w:rsid w:val="76E71615"/>
    <w:rsid w:val="76EFC656"/>
    <w:rsid w:val="7776FF42"/>
    <w:rsid w:val="77B63EAB"/>
    <w:rsid w:val="782B6A7A"/>
    <w:rsid w:val="78F7C8E3"/>
    <w:rsid w:val="790E0680"/>
    <w:rsid w:val="793B0B72"/>
    <w:rsid w:val="794829A7"/>
    <w:rsid w:val="7951AE44"/>
    <w:rsid w:val="79BEC059"/>
    <w:rsid w:val="7A3F5448"/>
    <w:rsid w:val="7A66E87F"/>
    <w:rsid w:val="7A7BCA39"/>
    <w:rsid w:val="7B26822B"/>
    <w:rsid w:val="7B48C054"/>
    <w:rsid w:val="7C0B0E8B"/>
    <w:rsid w:val="7C617322"/>
    <w:rsid w:val="7C6BB997"/>
    <w:rsid w:val="7C6D1101"/>
    <w:rsid w:val="7D8BBCDF"/>
    <w:rsid w:val="7DA30829"/>
    <w:rsid w:val="7DB0E60F"/>
    <w:rsid w:val="7E066916"/>
    <w:rsid w:val="7E0A3466"/>
    <w:rsid w:val="7E6B3C0C"/>
    <w:rsid w:val="7E826072"/>
    <w:rsid w:val="7E9185F8"/>
    <w:rsid w:val="7EA018A7"/>
    <w:rsid w:val="7F3DA60D"/>
    <w:rsid w:val="7F415EDB"/>
    <w:rsid w:val="7F728066"/>
    <w:rsid w:val="7F74E9ED"/>
    <w:rsid w:val="7FEAF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8DF4A"/>
  <w15:chartTrackingRefBased/>
  <w15:docId w15:val="{ABACCCF8-E195-46D0-AD75-0D9F8CD23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A9F"/>
    <w:rPr>
      <w:rFonts w:asciiTheme="minorHAnsi" w:hAnsiTheme="minorHAnsi" w:cstheme="minorBidi"/>
      <w:sz w:val="22"/>
      <w:szCs w:val="22"/>
    </w:rPr>
  </w:style>
  <w:style w:type="paragraph" w:styleId="Heading1">
    <w:name w:val="heading 1"/>
    <w:basedOn w:val="Normal"/>
    <w:link w:val="Heading1Char"/>
    <w:uiPriority w:val="9"/>
    <w:qFormat/>
    <w:rsid w:val="00D908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D55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3B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908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0839"/>
    <w:rPr>
      <w:rFonts w:asciiTheme="minorHAnsi" w:hAnsiTheme="minorHAnsi" w:cstheme="minorBidi"/>
      <w:sz w:val="20"/>
      <w:szCs w:val="20"/>
    </w:rPr>
  </w:style>
  <w:style w:type="character" w:styleId="FootnoteReference">
    <w:name w:val="footnote reference"/>
    <w:basedOn w:val="DefaultParagraphFont"/>
    <w:uiPriority w:val="99"/>
    <w:semiHidden/>
    <w:unhideWhenUsed/>
    <w:rsid w:val="00D90839"/>
    <w:rPr>
      <w:vertAlign w:val="superscript"/>
    </w:rPr>
  </w:style>
  <w:style w:type="character" w:customStyle="1" w:styleId="Heading1Char">
    <w:name w:val="Heading 1 Char"/>
    <w:basedOn w:val="DefaultParagraphFont"/>
    <w:link w:val="Heading1"/>
    <w:uiPriority w:val="9"/>
    <w:rsid w:val="00D90839"/>
    <w:rPr>
      <w:rFonts w:eastAsia="Times New Roman"/>
      <w:b/>
      <w:bCs/>
      <w:kern w:val="36"/>
      <w:sz w:val="48"/>
      <w:szCs w:val="48"/>
    </w:rPr>
  </w:style>
  <w:style w:type="character" w:styleId="Emphasis">
    <w:name w:val="Emphasis"/>
    <w:basedOn w:val="DefaultParagraphFont"/>
    <w:uiPriority w:val="20"/>
    <w:qFormat/>
    <w:rsid w:val="00D90839"/>
    <w:rPr>
      <w:i/>
      <w:iCs/>
    </w:rPr>
  </w:style>
  <w:style w:type="paragraph" w:styleId="HTMLPreformatted">
    <w:name w:val="HTML Preformatted"/>
    <w:basedOn w:val="Normal"/>
    <w:link w:val="HTMLPreformattedChar"/>
    <w:uiPriority w:val="99"/>
    <w:unhideWhenUsed/>
    <w:rsid w:val="00751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1E3A"/>
    <w:rPr>
      <w:rFonts w:ascii="Courier New" w:eastAsia="Times New Roman" w:hAnsi="Courier New" w:cs="Courier New"/>
      <w:sz w:val="20"/>
      <w:szCs w:val="20"/>
    </w:rPr>
  </w:style>
  <w:style w:type="character" w:styleId="Hyperlink">
    <w:name w:val="Hyperlink"/>
    <w:basedOn w:val="DefaultParagraphFont"/>
    <w:uiPriority w:val="99"/>
    <w:unhideWhenUsed/>
    <w:rsid w:val="00881C23"/>
    <w:rPr>
      <w:color w:val="0000FF"/>
      <w:u w:val="single"/>
    </w:rPr>
  </w:style>
  <w:style w:type="character" w:customStyle="1" w:styleId="label">
    <w:name w:val="label"/>
    <w:basedOn w:val="DefaultParagraphFont"/>
    <w:rsid w:val="00881C23"/>
  </w:style>
  <w:style w:type="character" w:customStyle="1" w:styleId="hithilite">
    <w:name w:val="hithilite"/>
    <w:basedOn w:val="DefaultParagraphFont"/>
    <w:rsid w:val="00881C23"/>
  </w:style>
  <w:style w:type="character" w:customStyle="1" w:styleId="databold">
    <w:name w:val="data_bold"/>
    <w:basedOn w:val="DefaultParagraphFont"/>
    <w:rsid w:val="00881C23"/>
  </w:style>
  <w:style w:type="paragraph" w:styleId="Header">
    <w:name w:val="header"/>
    <w:basedOn w:val="Normal"/>
    <w:link w:val="HeaderChar"/>
    <w:uiPriority w:val="99"/>
    <w:unhideWhenUsed/>
    <w:rsid w:val="009506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605"/>
    <w:rPr>
      <w:rFonts w:asciiTheme="minorHAnsi" w:hAnsiTheme="minorHAnsi" w:cstheme="minorBidi"/>
      <w:sz w:val="22"/>
      <w:szCs w:val="22"/>
    </w:rPr>
  </w:style>
  <w:style w:type="paragraph" w:styleId="Footer">
    <w:name w:val="footer"/>
    <w:basedOn w:val="Normal"/>
    <w:link w:val="FooterChar"/>
    <w:uiPriority w:val="99"/>
    <w:unhideWhenUsed/>
    <w:rsid w:val="009506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605"/>
    <w:rPr>
      <w:rFonts w:asciiTheme="minorHAnsi" w:hAnsiTheme="minorHAnsi" w:cstheme="minorBidi"/>
      <w:sz w:val="22"/>
      <w:szCs w:val="22"/>
    </w:rPr>
  </w:style>
  <w:style w:type="character" w:styleId="UnresolvedMention">
    <w:name w:val="Unresolved Mention"/>
    <w:basedOn w:val="DefaultParagraphFont"/>
    <w:uiPriority w:val="99"/>
    <w:semiHidden/>
    <w:unhideWhenUsed/>
    <w:rsid w:val="008566D6"/>
    <w:rPr>
      <w:color w:val="605E5C"/>
      <w:shd w:val="clear" w:color="auto" w:fill="E1DFDD"/>
    </w:rPr>
  </w:style>
  <w:style w:type="paragraph" w:styleId="Caption">
    <w:name w:val="caption"/>
    <w:basedOn w:val="Normal"/>
    <w:next w:val="Normal"/>
    <w:uiPriority w:val="35"/>
    <w:unhideWhenUsed/>
    <w:qFormat/>
    <w:rsid w:val="00ED3FD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D559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D55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621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size-extra-large">
    <w:name w:val="a-size-extra-large"/>
    <w:basedOn w:val="DefaultParagraphFont"/>
    <w:rsid w:val="0085271E"/>
  </w:style>
  <w:style w:type="paragraph" w:styleId="ListParagraph">
    <w:name w:val="List Paragraph"/>
    <w:basedOn w:val="Normal"/>
    <w:uiPriority w:val="34"/>
    <w:qFormat/>
    <w:rsid w:val="00F663E0"/>
    <w:pPr>
      <w:ind w:left="720"/>
      <w:contextualSpacing/>
    </w:pPr>
  </w:style>
  <w:style w:type="paragraph" w:customStyle="1" w:styleId="Default">
    <w:name w:val="Default"/>
    <w:rsid w:val="00384E81"/>
    <w:pPr>
      <w:autoSpaceDE w:val="0"/>
      <w:autoSpaceDN w:val="0"/>
      <w:adjustRightInd w:val="0"/>
      <w:spacing w:after="0" w:line="240" w:lineRule="auto"/>
    </w:pPr>
    <w:rPr>
      <w:color w:val="000000"/>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BalloonText">
    <w:name w:val="Balloon Text"/>
    <w:basedOn w:val="Normal"/>
    <w:link w:val="BalloonTextChar"/>
    <w:uiPriority w:val="99"/>
    <w:semiHidden/>
    <w:unhideWhenUsed/>
    <w:rsid w:val="00291012"/>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291012"/>
    <w:rPr>
      <w:rFonts w:ascii="Arial" w:hAnsi="Arial" w:cs="Arial"/>
      <w:sz w:val="18"/>
      <w:szCs w:val="18"/>
    </w:rPr>
  </w:style>
  <w:style w:type="character" w:styleId="FollowedHyperlink">
    <w:name w:val="FollowedHyperlink"/>
    <w:basedOn w:val="DefaultParagraphFont"/>
    <w:uiPriority w:val="99"/>
    <w:semiHidden/>
    <w:unhideWhenUsed/>
    <w:rsid w:val="00436689"/>
    <w:rPr>
      <w:color w:val="954F72" w:themeColor="followedHyperlink"/>
      <w:u w:val="single"/>
    </w:rPr>
  </w:style>
  <w:style w:type="character" w:customStyle="1" w:styleId="Heading3Char">
    <w:name w:val="Heading 3 Char"/>
    <w:basedOn w:val="DefaultParagraphFont"/>
    <w:link w:val="Heading3"/>
    <w:uiPriority w:val="9"/>
    <w:rsid w:val="008A3BB1"/>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F06C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67358">
      <w:bodyDiv w:val="1"/>
      <w:marLeft w:val="0"/>
      <w:marRight w:val="0"/>
      <w:marTop w:val="0"/>
      <w:marBottom w:val="0"/>
      <w:divBdr>
        <w:top w:val="none" w:sz="0" w:space="0" w:color="auto"/>
        <w:left w:val="none" w:sz="0" w:space="0" w:color="auto"/>
        <w:bottom w:val="none" w:sz="0" w:space="0" w:color="auto"/>
        <w:right w:val="none" w:sz="0" w:space="0" w:color="auto"/>
      </w:divBdr>
    </w:div>
    <w:div w:id="503327064">
      <w:bodyDiv w:val="1"/>
      <w:marLeft w:val="0"/>
      <w:marRight w:val="0"/>
      <w:marTop w:val="0"/>
      <w:marBottom w:val="0"/>
      <w:divBdr>
        <w:top w:val="none" w:sz="0" w:space="0" w:color="auto"/>
        <w:left w:val="none" w:sz="0" w:space="0" w:color="auto"/>
        <w:bottom w:val="none" w:sz="0" w:space="0" w:color="auto"/>
        <w:right w:val="none" w:sz="0" w:space="0" w:color="auto"/>
      </w:divBdr>
    </w:div>
    <w:div w:id="669871103">
      <w:bodyDiv w:val="1"/>
      <w:marLeft w:val="0"/>
      <w:marRight w:val="0"/>
      <w:marTop w:val="0"/>
      <w:marBottom w:val="0"/>
      <w:divBdr>
        <w:top w:val="none" w:sz="0" w:space="0" w:color="auto"/>
        <w:left w:val="none" w:sz="0" w:space="0" w:color="auto"/>
        <w:bottom w:val="none" w:sz="0" w:space="0" w:color="auto"/>
        <w:right w:val="none" w:sz="0" w:space="0" w:color="auto"/>
      </w:divBdr>
      <w:divsChild>
        <w:div w:id="777912549">
          <w:marLeft w:val="0"/>
          <w:marRight w:val="0"/>
          <w:marTop w:val="0"/>
          <w:marBottom w:val="0"/>
          <w:divBdr>
            <w:top w:val="none" w:sz="0" w:space="0" w:color="auto"/>
            <w:left w:val="none" w:sz="0" w:space="0" w:color="auto"/>
            <w:bottom w:val="none" w:sz="0" w:space="0" w:color="auto"/>
            <w:right w:val="none" w:sz="0" w:space="0" w:color="auto"/>
          </w:divBdr>
          <w:divsChild>
            <w:div w:id="548615917">
              <w:marLeft w:val="0"/>
              <w:marRight w:val="0"/>
              <w:marTop w:val="0"/>
              <w:marBottom w:val="0"/>
              <w:divBdr>
                <w:top w:val="none" w:sz="0" w:space="0" w:color="auto"/>
                <w:left w:val="none" w:sz="0" w:space="0" w:color="auto"/>
                <w:bottom w:val="none" w:sz="0" w:space="0" w:color="auto"/>
                <w:right w:val="none" w:sz="0" w:space="0" w:color="auto"/>
              </w:divBdr>
            </w:div>
          </w:divsChild>
        </w:div>
        <w:div w:id="1734307106">
          <w:marLeft w:val="0"/>
          <w:marRight w:val="0"/>
          <w:marTop w:val="0"/>
          <w:marBottom w:val="0"/>
          <w:divBdr>
            <w:top w:val="none" w:sz="0" w:space="0" w:color="auto"/>
            <w:left w:val="none" w:sz="0" w:space="0" w:color="auto"/>
            <w:bottom w:val="none" w:sz="0" w:space="0" w:color="auto"/>
            <w:right w:val="none" w:sz="0" w:space="0" w:color="auto"/>
          </w:divBdr>
        </w:div>
        <w:div w:id="1290628965">
          <w:marLeft w:val="0"/>
          <w:marRight w:val="0"/>
          <w:marTop w:val="0"/>
          <w:marBottom w:val="0"/>
          <w:divBdr>
            <w:top w:val="none" w:sz="0" w:space="0" w:color="auto"/>
            <w:left w:val="none" w:sz="0" w:space="0" w:color="auto"/>
            <w:bottom w:val="none" w:sz="0" w:space="0" w:color="auto"/>
            <w:right w:val="none" w:sz="0" w:space="0" w:color="auto"/>
          </w:divBdr>
        </w:div>
      </w:divsChild>
    </w:div>
    <w:div w:id="855581298">
      <w:bodyDiv w:val="1"/>
      <w:marLeft w:val="0"/>
      <w:marRight w:val="0"/>
      <w:marTop w:val="0"/>
      <w:marBottom w:val="0"/>
      <w:divBdr>
        <w:top w:val="none" w:sz="0" w:space="0" w:color="auto"/>
        <w:left w:val="none" w:sz="0" w:space="0" w:color="auto"/>
        <w:bottom w:val="none" w:sz="0" w:space="0" w:color="auto"/>
        <w:right w:val="none" w:sz="0" w:space="0" w:color="auto"/>
      </w:divBdr>
    </w:div>
    <w:div w:id="897013892">
      <w:bodyDiv w:val="1"/>
      <w:marLeft w:val="0"/>
      <w:marRight w:val="0"/>
      <w:marTop w:val="0"/>
      <w:marBottom w:val="0"/>
      <w:divBdr>
        <w:top w:val="none" w:sz="0" w:space="0" w:color="auto"/>
        <w:left w:val="none" w:sz="0" w:space="0" w:color="auto"/>
        <w:bottom w:val="none" w:sz="0" w:space="0" w:color="auto"/>
        <w:right w:val="none" w:sz="0" w:space="0" w:color="auto"/>
      </w:divBdr>
    </w:div>
    <w:div w:id="1212614424">
      <w:bodyDiv w:val="1"/>
      <w:marLeft w:val="0"/>
      <w:marRight w:val="0"/>
      <w:marTop w:val="0"/>
      <w:marBottom w:val="0"/>
      <w:divBdr>
        <w:top w:val="none" w:sz="0" w:space="0" w:color="auto"/>
        <w:left w:val="none" w:sz="0" w:space="0" w:color="auto"/>
        <w:bottom w:val="none" w:sz="0" w:space="0" w:color="auto"/>
        <w:right w:val="none" w:sz="0" w:space="0" w:color="auto"/>
      </w:divBdr>
    </w:div>
    <w:div w:id="1239906741">
      <w:bodyDiv w:val="1"/>
      <w:marLeft w:val="0"/>
      <w:marRight w:val="0"/>
      <w:marTop w:val="0"/>
      <w:marBottom w:val="0"/>
      <w:divBdr>
        <w:top w:val="none" w:sz="0" w:space="0" w:color="auto"/>
        <w:left w:val="none" w:sz="0" w:space="0" w:color="auto"/>
        <w:bottom w:val="none" w:sz="0" w:space="0" w:color="auto"/>
        <w:right w:val="none" w:sz="0" w:space="0" w:color="auto"/>
      </w:divBdr>
    </w:div>
    <w:div w:id="1690376202">
      <w:bodyDiv w:val="1"/>
      <w:marLeft w:val="0"/>
      <w:marRight w:val="0"/>
      <w:marTop w:val="0"/>
      <w:marBottom w:val="0"/>
      <w:divBdr>
        <w:top w:val="none" w:sz="0" w:space="0" w:color="auto"/>
        <w:left w:val="none" w:sz="0" w:space="0" w:color="auto"/>
        <w:bottom w:val="none" w:sz="0" w:space="0" w:color="auto"/>
        <w:right w:val="none" w:sz="0" w:space="0" w:color="auto"/>
      </w:divBdr>
    </w:div>
    <w:div w:id="1729062643">
      <w:bodyDiv w:val="1"/>
      <w:marLeft w:val="0"/>
      <w:marRight w:val="0"/>
      <w:marTop w:val="0"/>
      <w:marBottom w:val="0"/>
      <w:divBdr>
        <w:top w:val="none" w:sz="0" w:space="0" w:color="auto"/>
        <w:left w:val="none" w:sz="0" w:space="0" w:color="auto"/>
        <w:bottom w:val="none" w:sz="0" w:space="0" w:color="auto"/>
        <w:right w:val="none" w:sz="0" w:space="0" w:color="auto"/>
      </w:divBdr>
    </w:div>
    <w:div w:id="1766265535">
      <w:bodyDiv w:val="1"/>
      <w:marLeft w:val="0"/>
      <w:marRight w:val="0"/>
      <w:marTop w:val="0"/>
      <w:marBottom w:val="0"/>
      <w:divBdr>
        <w:top w:val="none" w:sz="0" w:space="0" w:color="auto"/>
        <w:left w:val="none" w:sz="0" w:space="0" w:color="auto"/>
        <w:bottom w:val="none" w:sz="0" w:space="0" w:color="auto"/>
        <w:right w:val="none" w:sz="0" w:space="0" w:color="auto"/>
      </w:divBdr>
    </w:div>
    <w:div w:id="200254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journals.sagepub.com/doi/10.1177/1532673X13519127" TargetMode="External"/><Relationship Id="rId18" Type="http://schemas.openxmlformats.org/officeDocument/2006/relationships/hyperlink" Target="http://scholarship.law.unc.edu/nclrhttp://scholarship.law.unc.edu/nclr/vol79/iss5/12" TargetMode="External"/><Relationship Id="rId26" Type="http://schemas.openxmlformats.org/officeDocument/2006/relationships/hyperlink" Target="https://www.tandfonline.com/action/journalInformation?journalCode=upcp20" TargetMode="External"/><Relationship Id="rId3" Type="http://schemas.openxmlformats.org/officeDocument/2006/relationships/webSettings" Target="webSettings.xml"/><Relationship Id="rId21" Type="http://schemas.openxmlformats.org/officeDocument/2006/relationships/hyperlink" Target="https://doi.org/10.1017/rep.2019.24" TargetMode="External"/><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hyperlink" Target="http://libproxy.mit.edu/login?url=http://search.ebscohost.com/login.aspx?direct=true&amp;db=cat00916a&amp;AN=mit.001386028&amp;site=eds-live&amp;scope=cite" TargetMode="External"/><Relationship Id="rId25" Type="http://schemas.openxmlformats.org/officeDocument/2006/relationships/hyperlink" Target="http://www.jstor.org/stable/1392369" TargetMode="External"/><Relationship Id="rId2" Type="http://schemas.openxmlformats.org/officeDocument/2006/relationships/settings" Target="settings.xml"/><Relationship Id="rId16" Type="http://schemas.openxmlformats.org/officeDocument/2006/relationships/hyperlink" Target="https://www.liebertpub.com/doi/10.1089/elj.2019.0612" TargetMode="External"/><Relationship Id="rId20" Type="http://schemas.openxmlformats.org/officeDocument/2006/relationships/hyperlink" Target="https://www.jstor.org/stable/440240"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www.commoncause.org/find-your-representative/addr/" TargetMode="External"/><Relationship Id="rId24" Type="http://schemas.openxmlformats.org/officeDocument/2006/relationships/hyperlink" Target="http://www.liebertpub.com/doi/10.1089/elj.2011.0144" TargetMode="External"/><Relationship Id="rId5" Type="http://schemas.openxmlformats.org/officeDocument/2006/relationships/endnotes" Target="endnotes.xml"/><Relationship Id="rId15" Type="http://schemas.openxmlformats.org/officeDocument/2006/relationships/hyperlink" Target="https://www.aeaweb.org/articles?id=10.1257/aer.90.5.1397" TargetMode="External"/><Relationship Id="rId23" Type="http://schemas.openxmlformats.org/officeDocument/2006/relationships/hyperlink" Target="https://lawpublications.barry.edu/barrylrev/vol25/iss1/1" TargetMode="External"/><Relationship Id="rId28" Type="http://schemas.openxmlformats.org/officeDocument/2006/relationships/hyperlink" Target="http://ebooks.cambridge.org/ref/id/CBO9780511802874" TargetMode="External"/><Relationship Id="rId10" Type="http://schemas.openxmlformats.org/officeDocument/2006/relationships/hyperlink" Target="https://www.house.gov/representatives/find-your-representative" TargetMode="External"/><Relationship Id="rId19" Type="http://schemas.openxmlformats.org/officeDocument/2006/relationships/hyperlink" Target="https://linkinghub.elsevier.com/retrieve/pii/S0038012106000516" TargetMode="External"/><Relationship Id="rId4" Type="http://schemas.openxmlformats.org/officeDocument/2006/relationships/footnotes" Target="footnotes.xml"/><Relationship Id="rId9" Type="http://schemas.openxmlformats.org/officeDocument/2006/relationships/footer" Target="footer3.xml"/><Relationship Id="rId14" Type="http://schemas.openxmlformats.org/officeDocument/2006/relationships/hyperlink" Target="https://www.journals.uchicago.edu/doi/10.2307/2131139" TargetMode="External"/><Relationship Id="rId22" Type="http://schemas.openxmlformats.org/officeDocument/2006/relationships/hyperlink" Target="https://heinonline.org/HOL/Page?handle=hein.journals/ucirvlre3&amp;id=618&amp;div=29&amp;collection=journals" TargetMode="External"/><Relationship Id="rId27" Type="http://schemas.openxmlformats.org/officeDocument/2006/relationships/hyperlink" Target="http://www.nationaljournal.com/almanac/area/pa/06"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5172</Words>
  <Characters>29481</Characters>
  <Application>Microsoft Office Word</Application>
  <DocSecurity>0</DocSecurity>
  <Lines>245</Lines>
  <Paragraphs>69</Paragraphs>
  <ScaleCrop>false</ScaleCrop>
  <Company/>
  <LinksUpToDate>false</LinksUpToDate>
  <CharactersWithSpaces>34584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Bernie Grofman</dc:creator>
  <cp:keywords/>
  <dc:description/>
  <cp:lastModifiedBy>Jonathan Cervas</cp:lastModifiedBy>
  <cp:revision>3</cp:revision>
  <dcterms:created xsi:type="dcterms:W3CDTF">2020-08-29T20:21:00Z</dcterms:created>
  <dcterms:modified xsi:type="dcterms:W3CDTF">2020-08-29T20:25:00Z</dcterms:modified>
</cp:coreProperties>
</file>