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CEEBC" w14:textId="0C4C55F5" w:rsidR="006F2C19" w:rsidRPr="00D73B91" w:rsidRDefault="00CA7970">
      <w:pPr>
        <w:rPr>
          <w:szCs w:val="20"/>
        </w:rPr>
      </w:pPr>
      <w:r w:rsidRPr="00D73B91">
        <w:rPr>
          <w:szCs w:val="20"/>
        </w:rPr>
        <w:t xml:space="preserve">To: </w:t>
      </w:r>
      <w:r w:rsidRPr="00D73B91">
        <w:rPr>
          <w:szCs w:val="20"/>
        </w:rPr>
        <w:tab/>
      </w:r>
      <w:r w:rsidR="005F7C1D">
        <w:rPr>
          <w:szCs w:val="20"/>
        </w:rPr>
        <w:t xml:space="preserve">Jonathan </w:t>
      </w:r>
      <w:proofErr w:type="spellStart"/>
      <w:r w:rsidR="005F7C1D">
        <w:rPr>
          <w:szCs w:val="20"/>
        </w:rPr>
        <w:t>Cervas</w:t>
      </w:r>
      <w:proofErr w:type="spellEnd"/>
      <w:r w:rsidR="0082403E">
        <w:rPr>
          <w:szCs w:val="20"/>
        </w:rPr>
        <w:t>, Ph.</w:t>
      </w:r>
      <w:r w:rsidR="00472FED">
        <w:rPr>
          <w:szCs w:val="20"/>
        </w:rPr>
        <w:t xml:space="preserve">D. &amp; Bernard </w:t>
      </w:r>
      <w:proofErr w:type="spellStart"/>
      <w:r w:rsidR="00472FED">
        <w:rPr>
          <w:szCs w:val="20"/>
        </w:rPr>
        <w:t>Grofman</w:t>
      </w:r>
      <w:proofErr w:type="spellEnd"/>
      <w:r w:rsidR="00472FED">
        <w:rPr>
          <w:szCs w:val="20"/>
        </w:rPr>
        <w:t>, Ph.D.</w:t>
      </w:r>
    </w:p>
    <w:p w14:paraId="3C1F65CF" w14:textId="77777777" w:rsidR="00CA7970" w:rsidRPr="00D73B91" w:rsidRDefault="00CA7970">
      <w:pPr>
        <w:rPr>
          <w:szCs w:val="20"/>
        </w:rPr>
      </w:pPr>
      <w:r w:rsidRPr="00D73B91">
        <w:rPr>
          <w:szCs w:val="20"/>
        </w:rPr>
        <w:t>From:</w:t>
      </w:r>
      <w:r w:rsidRPr="00D73B91">
        <w:rPr>
          <w:szCs w:val="20"/>
        </w:rPr>
        <w:tab/>
        <w:t>Scott Matsuda</w:t>
      </w:r>
    </w:p>
    <w:p w14:paraId="1B9182EE" w14:textId="1A7E3372" w:rsidR="00CA7970" w:rsidRPr="00217DE9" w:rsidRDefault="00CA7970">
      <w:pPr>
        <w:rPr>
          <w:szCs w:val="20"/>
        </w:rPr>
      </w:pPr>
      <w:r w:rsidRPr="00217DE9">
        <w:rPr>
          <w:szCs w:val="20"/>
        </w:rPr>
        <w:t>Date:</w:t>
      </w:r>
      <w:r w:rsidRPr="00217DE9">
        <w:rPr>
          <w:szCs w:val="20"/>
        </w:rPr>
        <w:tab/>
      </w:r>
      <w:r w:rsidR="004C3C47" w:rsidRPr="00217DE9">
        <w:rPr>
          <w:szCs w:val="20"/>
        </w:rPr>
        <w:t>10/</w:t>
      </w:r>
      <w:r w:rsidR="00217DE9">
        <w:rPr>
          <w:szCs w:val="20"/>
        </w:rPr>
        <w:t>21</w:t>
      </w:r>
      <w:r w:rsidR="004C3C47" w:rsidRPr="00217DE9">
        <w:rPr>
          <w:szCs w:val="20"/>
        </w:rPr>
        <w:t>/2022</w:t>
      </w:r>
    </w:p>
    <w:p w14:paraId="0BD5E032" w14:textId="77777777" w:rsidR="00F72527" w:rsidRPr="00217DE9" w:rsidRDefault="00CA7970" w:rsidP="00CA7970">
      <w:pPr>
        <w:jc w:val="center"/>
        <w:rPr>
          <w:szCs w:val="20"/>
          <w:u w:val="single"/>
        </w:rPr>
      </w:pPr>
      <w:r w:rsidRPr="00217DE9">
        <w:rPr>
          <w:szCs w:val="20"/>
          <w:u w:val="single"/>
        </w:rPr>
        <w:t>Case Briefing</w:t>
      </w:r>
    </w:p>
    <w:p w14:paraId="092ADAF3" w14:textId="5B1CF64C" w:rsidR="00F72527" w:rsidRPr="00217DE9" w:rsidRDefault="00061BAC" w:rsidP="008A462C">
      <w:pPr>
        <w:jc w:val="center"/>
        <w:rPr>
          <w:b/>
          <w:bCs/>
          <w:szCs w:val="20"/>
          <w:u w:val="single"/>
        </w:rPr>
      </w:pPr>
      <w:r w:rsidRPr="00217DE9">
        <w:rPr>
          <w:b/>
          <w:bCs/>
          <w:szCs w:val="20"/>
          <w:u w:val="single"/>
        </w:rPr>
        <w:t>[</w:t>
      </w:r>
      <w:r w:rsidR="00922B6D" w:rsidRPr="00217DE9">
        <w:rPr>
          <w:b/>
          <w:bCs/>
          <w:szCs w:val="20"/>
          <w:u w:val="single"/>
        </w:rPr>
        <w:t>Mis</w:t>
      </w:r>
      <w:r w:rsidR="004302E9" w:rsidRPr="00217DE9">
        <w:rPr>
          <w:b/>
          <w:bCs/>
          <w:szCs w:val="20"/>
          <w:u w:val="single"/>
        </w:rPr>
        <w:t>cellaneous Pending Cases</w:t>
      </w:r>
      <w:r w:rsidR="007F17DF" w:rsidRPr="00217DE9">
        <w:rPr>
          <w:b/>
          <w:bCs/>
          <w:szCs w:val="20"/>
          <w:u w:val="single"/>
        </w:rPr>
        <w:t xml:space="preserve">: </w:t>
      </w:r>
      <w:r w:rsidR="00217DE9" w:rsidRPr="00217DE9">
        <w:rPr>
          <w:b/>
          <w:bCs/>
          <w:szCs w:val="20"/>
          <w:u w:val="single"/>
        </w:rPr>
        <w:t>IL, NM</w:t>
      </w:r>
      <w:r w:rsidRPr="00217DE9">
        <w:rPr>
          <w:b/>
          <w:bCs/>
          <w:szCs w:val="20"/>
          <w:u w:val="single"/>
        </w:rPr>
        <w:t>]</w:t>
      </w:r>
    </w:p>
    <w:p w14:paraId="47621ED4" w14:textId="77777777" w:rsidR="00F72527" w:rsidRPr="00217DE9" w:rsidRDefault="00F72527">
      <w:pPr>
        <w:rPr>
          <w:szCs w:val="20"/>
        </w:rPr>
      </w:pPr>
    </w:p>
    <w:p w14:paraId="21E6AC15" w14:textId="35F858B9" w:rsidR="00115532" w:rsidRDefault="00217DE9" w:rsidP="00F17F9B">
      <w:pPr>
        <w:rPr>
          <w:szCs w:val="20"/>
        </w:rPr>
      </w:pPr>
      <w:r w:rsidRPr="00B52DE2">
        <w:rPr>
          <w:b/>
          <w:bCs/>
          <w:szCs w:val="20"/>
        </w:rPr>
        <w:t>ILLINOIS</w:t>
      </w:r>
    </w:p>
    <w:p w14:paraId="0B8BC2AE" w14:textId="77777777" w:rsidR="00115532" w:rsidRDefault="00115532" w:rsidP="00F17F9B">
      <w:pPr>
        <w:rPr>
          <w:szCs w:val="20"/>
        </w:rPr>
      </w:pPr>
    </w:p>
    <w:p w14:paraId="01E35E0D" w14:textId="77777777" w:rsidR="00065FEB" w:rsidRDefault="00F17F9B" w:rsidP="00065FEB">
      <w:pPr>
        <w:rPr>
          <w:szCs w:val="20"/>
        </w:rPr>
      </w:pPr>
      <w:r w:rsidRPr="004542FE">
        <w:rPr>
          <w:color w:val="FF0000"/>
          <w:szCs w:val="20"/>
          <w:highlight w:val="yellow"/>
        </w:rPr>
        <w:t>Note</w:t>
      </w:r>
      <w:r w:rsidRPr="004542FE">
        <w:rPr>
          <w:szCs w:val="20"/>
          <w:highlight w:val="yellow"/>
        </w:rPr>
        <w:t>:</w:t>
      </w:r>
      <w:r w:rsidRPr="002E778B">
        <w:rPr>
          <w:szCs w:val="20"/>
        </w:rPr>
        <w:t xml:space="preserve"> </w:t>
      </w:r>
      <w:r w:rsidR="00115532" w:rsidRPr="002E778B">
        <w:rPr>
          <w:szCs w:val="20"/>
        </w:rPr>
        <w:t xml:space="preserve">Per the </w:t>
      </w:r>
      <w:r w:rsidR="00115532" w:rsidRPr="002E778B">
        <w:rPr>
          <w:i/>
          <w:iCs/>
          <w:szCs w:val="20"/>
        </w:rPr>
        <w:t xml:space="preserve">All About Redistricting </w:t>
      </w:r>
      <w:r w:rsidR="00115532" w:rsidRPr="002E778B">
        <w:rPr>
          <w:szCs w:val="20"/>
        </w:rPr>
        <w:t xml:space="preserve">webpage, there were three </w:t>
      </w:r>
      <w:r w:rsidR="002F5AAC" w:rsidRPr="002E778B">
        <w:rPr>
          <w:szCs w:val="20"/>
        </w:rPr>
        <w:t xml:space="preserve">redistricting </w:t>
      </w:r>
      <w:r w:rsidR="00115532" w:rsidRPr="002E778B">
        <w:rPr>
          <w:szCs w:val="20"/>
        </w:rPr>
        <w:t xml:space="preserve">cases in Illinois.  However, each </w:t>
      </w:r>
      <w:r w:rsidR="0069168C" w:rsidRPr="002E778B">
        <w:rPr>
          <w:szCs w:val="20"/>
        </w:rPr>
        <w:t>of those cases were</w:t>
      </w:r>
      <w:r w:rsidR="00115532" w:rsidRPr="002E778B">
        <w:rPr>
          <w:szCs w:val="20"/>
        </w:rPr>
        <w:t xml:space="preserve"> federal court challenge</w:t>
      </w:r>
      <w:r w:rsidR="0069168C" w:rsidRPr="002E778B">
        <w:rPr>
          <w:szCs w:val="20"/>
        </w:rPr>
        <w:t>s</w:t>
      </w:r>
      <w:r w:rsidR="00115532" w:rsidRPr="002E778B">
        <w:rPr>
          <w:szCs w:val="20"/>
        </w:rPr>
        <w:t xml:space="preserve">, which </w:t>
      </w:r>
      <w:r w:rsidR="0069168C" w:rsidRPr="002E778B">
        <w:rPr>
          <w:szCs w:val="20"/>
        </w:rPr>
        <w:t>are</w:t>
      </w:r>
      <w:r w:rsidR="00115532" w:rsidRPr="002E778B">
        <w:rPr>
          <w:szCs w:val="20"/>
        </w:rPr>
        <w:t xml:space="preserve"> beyond the scope of our review.  For informational purposes, the three cases were</w:t>
      </w:r>
      <w:r w:rsidR="00065FEB">
        <w:rPr>
          <w:szCs w:val="20"/>
        </w:rPr>
        <w:t xml:space="preserve">: </w:t>
      </w:r>
    </w:p>
    <w:p w14:paraId="7688EA85" w14:textId="77777777" w:rsidR="00065FEB" w:rsidRPr="00065FEB" w:rsidRDefault="00065FEB" w:rsidP="000C34C2">
      <w:pPr>
        <w:pStyle w:val="ListParagraph"/>
        <w:numPr>
          <w:ilvl w:val="0"/>
          <w:numId w:val="5"/>
        </w:numPr>
        <w:rPr>
          <w:szCs w:val="20"/>
        </w:rPr>
      </w:pPr>
      <w:r>
        <w:rPr>
          <w:rFonts w:eastAsia="Times New Roman"/>
          <w:szCs w:val="20"/>
        </w:rPr>
        <w:t xml:space="preserve">(1) </w:t>
      </w:r>
      <w:proofErr w:type="spellStart"/>
      <w:r w:rsidR="002E778B" w:rsidRPr="00065FEB">
        <w:rPr>
          <w:rFonts w:eastAsia="Times New Roman"/>
          <w:i/>
          <w:iCs/>
          <w:szCs w:val="20"/>
        </w:rPr>
        <w:t>McConchie</w:t>
      </w:r>
      <w:proofErr w:type="spellEnd"/>
      <w:r w:rsidR="002E778B" w:rsidRPr="00065FEB">
        <w:rPr>
          <w:rFonts w:eastAsia="Times New Roman"/>
          <w:i/>
          <w:iCs/>
          <w:szCs w:val="20"/>
        </w:rPr>
        <w:t xml:space="preserve"> v. Illinois State Board of Elections</w:t>
      </w:r>
      <w:r w:rsidR="002E778B" w:rsidRPr="00065FEB">
        <w:rPr>
          <w:rFonts w:eastAsia="Times New Roman"/>
          <w:szCs w:val="20"/>
        </w:rPr>
        <w:t>, No. 1:21-CV-3091 (N.D. Ill. Jun. 9, 2021) (Republican legislative leaders</w:t>
      </w:r>
      <w:r w:rsidR="00EB144D" w:rsidRPr="00065FEB">
        <w:rPr>
          <w:rFonts w:eastAsia="Times New Roman"/>
          <w:szCs w:val="20"/>
        </w:rPr>
        <w:t>),</w:t>
      </w:r>
      <w:r w:rsidRPr="00065FEB">
        <w:rPr>
          <w:rFonts w:eastAsia="Times New Roman"/>
          <w:szCs w:val="20"/>
        </w:rPr>
        <w:t xml:space="preserve"> </w:t>
      </w:r>
    </w:p>
    <w:p w14:paraId="14933CBD" w14:textId="77777777" w:rsidR="00065FEB" w:rsidRDefault="00065FEB" w:rsidP="000C34C2">
      <w:pPr>
        <w:pStyle w:val="ListParagraph"/>
        <w:numPr>
          <w:ilvl w:val="0"/>
          <w:numId w:val="5"/>
        </w:numPr>
        <w:rPr>
          <w:szCs w:val="20"/>
        </w:rPr>
      </w:pPr>
      <w:r w:rsidRPr="00065FEB">
        <w:rPr>
          <w:rFonts w:eastAsia="Times New Roman"/>
          <w:szCs w:val="20"/>
        </w:rPr>
        <w:t xml:space="preserve">(2) </w:t>
      </w:r>
      <w:r w:rsidR="002E778B" w:rsidRPr="00065FEB">
        <w:rPr>
          <w:rFonts w:eastAsia="Times New Roman"/>
          <w:i/>
          <w:iCs/>
          <w:szCs w:val="20"/>
        </w:rPr>
        <w:t>United Congress of Community and Religious Organizations v. Illinois State Board of Elections</w:t>
      </w:r>
      <w:r w:rsidR="002E778B" w:rsidRPr="00065FEB">
        <w:rPr>
          <w:rFonts w:eastAsia="Times New Roman"/>
          <w:szCs w:val="20"/>
        </w:rPr>
        <w:t>, No. 1:21-CV-5512 (N.D. Ill. Oct. 15, 2021) (Black-led organizations)</w:t>
      </w:r>
      <w:r w:rsidR="00EB144D" w:rsidRPr="00065FEB">
        <w:rPr>
          <w:szCs w:val="20"/>
        </w:rPr>
        <w:t xml:space="preserve">, and </w:t>
      </w:r>
    </w:p>
    <w:p w14:paraId="4E1B18D3" w14:textId="3B387379" w:rsidR="00AA10B4" w:rsidRPr="00065FEB" w:rsidRDefault="00065FEB" w:rsidP="000C34C2">
      <w:pPr>
        <w:pStyle w:val="ListParagraph"/>
        <w:numPr>
          <w:ilvl w:val="0"/>
          <w:numId w:val="5"/>
        </w:numPr>
        <w:rPr>
          <w:szCs w:val="20"/>
        </w:rPr>
      </w:pPr>
      <w:r w:rsidRPr="00065FEB">
        <w:rPr>
          <w:szCs w:val="20"/>
        </w:rPr>
        <w:t>(3)</w:t>
      </w:r>
      <w:r>
        <w:rPr>
          <w:szCs w:val="20"/>
        </w:rPr>
        <w:t xml:space="preserve"> </w:t>
      </w:r>
      <w:r w:rsidR="002E778B" w:rsidRPr="00065FEB">
        <w:rPr>
          <w:rFonts w:eastAsia="Times New Roman"/>
          <w:i/>
          <w:iCs/>
          <w:szCs w:val="20"/>
        </w:rPr>
        <w:t>Contreras v. Illinois State Board of Elections</w:t>
      </w:r>
      <w:r w:rsidR="002E778B" w:rsidRPr="00065FEB">
        <w:rPr>
          <w:rFonts w:eastAsia="Times New Roman"/>
          <w:szCs w:val="20"/>
        </w:rPr>
        <w:t>, No. 1:21-CV-3139 (N.D. Ill. Jun. 10, 2021) (Latino voters and organizations).</w:t>
      </w:r>
    </w:p>
    <w:p w14:paraId="7054BF6F" w14:textId="77777777" w:rsidR="007A15B8" w:rsidRPr="007A15B8" w:rsidRDefault="007A15B8" w:rsidP="000C34C2">
      <w:pPr>
        <w:spacing w:line="240" w:lineRule="auto"/>
        <w:rPr>
          <w:szCs w:val="20"/>
        </w:rPr>
      </w:pPr>
    </w:p>
    <w:p w14:paraId="4AFDA252" w14:textId="1DBEADDA" w:rsidR="000C34C2" w:rsidRPr="000C34C2" w:rsidRDefault="00065FEB" w:rsidP="000C34C2">
      <w:pPr>
        <w:pStyle w:val="ListParagraph"/>
        <w:numPr>
          <w:ilvl w:val="0"/>
          <w:numId w:val="5"/>
        </w:numPr>
        <w:spacing w:line="24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>The three cases were consolidated</w:t>
      </w:r>
      <w:r w:rsidR="007A15B8">
        <w:rPr>
          <w:rFonts w:eastAsia="Times New Roman"/>
          <w:szCs w:val="20"/>
        </w:rPr>
        <w:t xml:space="preserve">, and Plaintiffs </w:t>
      </w:r>
      <w:r w:rsidR="007A15B8" w:rsidRPr="007A15B8">
        <w:rPr>
          <w:rFonts w:eastAsia="Times New Roman"/>
          <w:szCs w:val="20"/>
        </w:rPr>
        <w:t>challenge</w:t>
      </w:r>
      <w:r w:rsidR="007A15B8">
        <w:rPr>
          <w:rFonts w:eastAsia="Times New Roman"/>
          <w:szCs w:val="20"/>
        </w:rPr>
        <w:t>d</w:t>
      </w:r>
      <w:r w:rsidR="007A15B8" w:rsidRPr="007A15B8">
        <w:rPr>
          <w:rFonts w:eastAsia="Times New Roman"/>
          <w:szCs w:val="20"/>
        </w:rPr>
        <w:t xml:space="preserve"> Illinois’ legislative redistricting map</w:t>
      </w:r>
      <w:r w:rsidR="007A15B8">
        <w:rPr>
          <w:rFonts w:eastAsia="Times New Roman"/>
          <w:szCs w:val="20"/>
        </w:rPr>
        <w:t xml:space="preserve"> </w:t>
      </w:r>
      <w:r w:rsidR="007A15B8" w:rsidRPr="007A15B8">
        <w:rPr>
          <w:rFonts w:eastAsia="Times New Roman"/>
          <w:szCs w:val="20"/>
        </w:rPr>
        <w:t>and ask</w:t>
      </w:r>
      <w:r w:rsidR="007A15B8">
        <w:rPr>
          <w:rFonts w:eastAsia="Times New Roman"/>
          <w:szCs w:val="20"/>
        </w:rPr>
        <w:t>ed</w:t>
      </w:r>
      <w:r w:rsidR="007A15B8" w:rsidRPr="007A15B8">
        <w:rPr>
          <w:rFonts w:eastAsia="Times New Roman"/>
          <w:szCs w:val="20"/>
        </w:rPr>
        <w:t xml:space="preserve"> </w:t>
      </w:r>
      <w:r w:rsidR="007A15B8">
        <w:rPr>
          <w:rFonts w:eastAsia="Times New Roman"/>
          <w:szCs w:val="20"/>
        </w:rPr>
        <w:t>the</w:t>
      </w:r>
      <w:r w:rsidR="007A15B8" w:rsidRPr="007A15B8">
        <w:rPr>
          <w:rFonts w:eastAsia="Times New Roman"/>
          <w:szCs w:val="20"/>
        </w:rPr>
        <w:t xml:space="preserve"> </w:t>
      </w:r>
      <w:r w:rsidR="007A15B8">
        <w:rPr>
          <w:rFonts w:eastAsia="Times New Roman"/>
          <w:szCs w:val="20"/>
        </w:rPr>
        <w:t>U.S. Dist. Ct. for the N.D. of Ill.</w:t>
      </w:r>
      <w:r w:rsidR="007A15B8" w:rsidRPr="007A15B8">
        <w:rPr>
          <w:rFonts w:eastAsia="Times New Roman"/>
          <w:szCs w:val="20"/>
        </w:rPr>
        <w:t xml:space="preserve"> to orde</w:t>
      </w:r>
      <w:r w:rsidR="007A15B8">
        <w:rPr>
          <w:rFonts w:eastAsia="Times New Roman"/>
          <w:szCs w:val="20"/>
        </w:rPr>
        <w:t xml:space="preserve">r </w:t>
      </w:r>
      <w:r w:rsidR="007A15B8" w:rsidRPr="007A15B8">
        <w:rPr>
          <w:rFonts w:eastAsia="Times New Roman"/>
          <w:szCs w:val="20"/>
        </w:rPr>
        <w:t>alterations that would create additional districts featuring majorities of either Latino or Black</w:t>
      </w:r>
      <w:r w:rsidR="000C34C2">
        <w:rPr>
          <w:rFonts w:eastAsia="Times New Roman"/>
          <w:szCs w:val="20"/>
        </w:rPr>
        <w:t xml:space="preserve"> </w:t>
      </w:r>
      <w:r w:rsidR="007A15B8" w:rsidRPr="000C34C2">
        <w:rPr>
          <w:rFonts w:eastAsia="Times New Roman"/>
          <w:szCs w:val="20"/>
        </w:rPr>
        <w:t xml:space="preserve">voters. </w:t>
      </w:r>
    </w:p>
    <w:p w14:paraId="56C2D5EB" w14:textId="55CD8FF7" w:rsidR="00065FEB" w:rsidRPr="000A6E8D" w:rsidRDefault="007A15B8" w:rsidP="000A6E8D">
      <w:pPr>
        <w:pStyle w:val="ListParagraph"/>
        <w:numPr>
          <w:ilvl w:val="1"/>
          <w:numId w:val="5"/>
        </w:numPr>
        <w:spacing w:line="240" w:lineRule="auto"/>
        <w:rPr>
          <w:rFonts w:eastAsia="Times New Roman"/>
          <w:szCs w:val="20"/>
        </w:rPr>
      </w:pPr>
      <w:r w:rsidRPr="000C34C2">
        <w:rPr>
          <w:rFonts w:eastAsia="Times New Roman"/>
          <w:szCs w:val="20"/>
        </w:rPr>
        <w:t xml:space="preserve">All Plaintiffs </w:t>
      </w:r>
      <w:r w:rsidR="000C34C2">
        <w:rPr>
          <w:rFonts w:eastAsia="Times New Roman"/>
          <w:szCs w:val="20"/>
        </w:rPr>
        <w:t>brought</w:t>
      </w:r>
      <w:r w:rsidRPr="000C34C2">
        <w:rPr>
          <w:rFonts w:eastAsia="Times New Roman"/>
          <w:szCs w:val="20"/>
        </w:rPr>
        <w:t xml:space="preserve"> statutory claims, arguing that the redistricting map impermissibly</w:t>
      </w:r>
      <w:r w:rsidR="000C34C2">
        <w:rPr>
          <w:rFonts w:eastAsia="Times New Roman"/>
          <w:szCs w:val="20"/>
        </w:rPr>
        <w:t xml:space="preserve"> </w:t>
      </w:r>
      <w:r w:rsidRPr="000C34C2">
        <w:rPr>
          <w:rFonts w:eastAsia="Times New Roman"/>
          <w:szCs w:val="20"/>
        </w:rPr>
        <w:t>dilute</w:t>
      </w:r>
      <w:r w:rsidR="000C34C2">
        <w:rPr>
          <w:rFonts w:eastAsia="Times New Roman"/>
          <w:szCs w:val="20"/>
        </w:rPr>
        <w:t>d</w:t>
      </w:r>
      <w:r w:rsidRPr="000C34C2">
        <w:rPr>
          <w:rFonts w:eastAsia="Times New Roman"/>
          <w:szCs w:val="20"/>
        </w:rPr>
        <w:t xml:space="preserve"> minority votes in violation of § 2 of the Voting Rights Act of 1965, 52 U.S.C. § 10301, et</w:t>
      </w:r>
      <w:r w:rsidR="000C34C2">
        <w:rPr>
          <w:rFonts w:eastAsia="Times New Roman"/>
          <w:szCs w:val="20"/>
        </w:rPr>
        <w:t xml:space="preserve"> </w:t>
      </w:r>
      <w:r w:rsidRPr="000C34C2">
        <w:rPr>
          <w:rFonts w:eastAsia="Times New Roman"/>
          <w:szCs w:val="20"/>
        </w:rPr>
        <w:t>seq</w:t>
      </w:r>
      <w:r w:rsidR="000A6E8D">
        <w:rPr>
          <w:rFonts w:eastAsia="Times New Roman"/>
          <w:szCs w:val="20"/>
        </w:rPr>
        <w:t>.; t</w:t>
      </w:r>
      <w:r w:rsidR="003E5248" w:rsidRPr="000A6E8D">
        <w:rPr>
          <w:rFonts w:eastAsia="Times New Roman"/>
          <w:szCs w:val="20"/>
        </w:rPr>
        <w:t xml:space="preserve">he </w:t>
      </w:r>
      <w:r w:rsidRPr="000A6E8D">
        <w:rPr>
          <w:rFonts w:eastAsia="Times New Roman"/>
          <w:szCs w:val="20"/>
        </w:rPr>
        <w:t>Contreras and East St. Louis NAACP Plaintiffs also present</w:t>
      </w:r>
      <w:r w:rsidR="009037A2" w:rsidRPr="000A6E8D">
        <w:rPr>
          <w:rFonts w:eastAsia="Times New Roman"/>
          <w:szCs w:val="20"/>
        </w:rPr>
        <w:t xml:space="preserve">ed </w:t>
      </w:r>
      <w:r w:rsidRPr="000A6E8D">
        <w:rPr>
          <w:rFonts w:eastAsia="Times New Roman"/>
          <w:szCs w:val="20"/>
        </w:rPr>
        <w:t>constitutional claims, contending</w:t>
      </w:r>
      <w:r w:rsidR="009037A2" w:rsidRPr="000A6E8D">
        <w:rPr>
          <w:rFonts w:eastAsia="Times New Roman"/>
          <w:szCs w:val="20"/>
        </w:rPr>
        <w:t xml:space="preserve"> </w:t>
      </w:r>
      <w:r w:rsidRPr="000A6E8D">
        <w:rPr>
          <w:rFonts w:eastAsia="Times New Roman"/>
          <w:szCs w:val="20"/>
        </w:rPr>
        <w:t>that several legislative districts were racially gerrymandered in violation of the Fourteenth</w:t>
      </w:r>
      <w:r w:rsidR="00E25B53" w:rsidRPr="000A6E8D">
        <w:rPr>
          <w:rFonts w:eastAsia="Times New Roman"/>
          <w:szCs w:val="20"/>
        </w:rPr>
        <w:t xml:space="preserve"> </w:t>
      </w:r>
      <w:r w:rsidRPr="000A6E8D">
        <w:rPr>
          <w:rFonts w:eastAsia="Times New Roman"/>
          <w:szCs w:val="20"/>
        </w:rPr>
        <w:t>Amendment’s Equal Protection Clause.</w:t>
      </w:r>
    </w:p>
    <w:p w14:paraId="7F499616" w14:textId="098FF2F5" w:rsidR="000B0357" w:rsidRDefault="00AA7687" w:rsidP="00803E62">
      <w:pPr>
        <w:pStyle w:val="ListParagraph"/>
        <w:numPr>
          <w:ilvl w:val="0"/>
          <w:numId w:val="5"/>
        </w:numPr>
        <w:spacing w:line="24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 xml:space="preserve">On 12/30/2021, </w:t>
      </w:r>
      <w:r w:rsidR="00803E62">
        <w:rPr>
          <w:rFonts w:eastAsia="Times New Roman"/>
          <w:szCs w:val="20"/>
        </w:rPr>
        <w:t>“</w:t>
      </w:r>
      <w:r w:rsidR="00803E62" w:rsidRPr="00803E62">
        <w:rPr>
          <w:rFonts w:eastAsia="Times New Roman"/>
          <w:szCs w:val="20"/>
        </w:rPr>
        <w:t>a three-judge panel rejected all of the plaintiffs’ claims that the most-recently drafted legislative maps are racially gerrymandered, finding that partisanship—rather than race—predominated in the configuration of the challenged districts and that plaintiffs did not otherwise establish a violation of Section 2 of the Voting Rights Act.</w:t>
      </w:r>
      <w:r w:rsidR="00803E62">
        <w:rPr>
          <w:rFonts w:eastAsia="Times New Roman"/>
          <w:szCs w:val="20"/>
        </w:rPr>
        <w:t>”</w:t>
      </w:r>
      <w:r w:rsidR="00803E62">
        <w:rPr>
          <w:rStyle w:val="FootnoteReference"/>
          <w:rFonts w:eastAsia="Times New Roman"/>
          <w:szCs w:val="20"/>
        </w:rPr>
        <w:footnoteReference w:id="1"/>
      </w:r>
    </w:p>
    <w:p w14:paraId="72685407" w14:textId="2796CFCA" w:rsidR="00803E62" w:rsidRPr="00EA5CB0" w:rsidRDefault="00803E62" w:rsidP="00541505">
      <w:pPr>
        <w:pStyle w:val="ListParagraph"/>
        <w:numPr>
          <w:ilvl w:val="1"/>
          <w:numId w:val="5"/>
        </w:numPr>
        <w:spacing w:line="240" w:lineRule="auto"/>
        <w:rPr>
          <w:rFonts w:eastAsia="Times New Roman"/>
          <w:szCs w:val="20"/>
          <w:u w:val="single"/>
        </w:rPr>
      </w:pPr>
      <w:r w:rsidRPr="00EA5CB0">
        <w:rPr>
          <w:rFonts w:eastAsia="Times New Roman"/>
          <w:szCs w:val="20"/>
          <w:u w:val="single"/>
        </w:rPr>
        <w:t xml:space="preserve">The federal court then </w:t>
      </w:r>
      <w:r w:rsidR="004C6D6D" w:rsidRPr="00EA5CB0">
        <w:rPr>
          <w:rFonts w:eastAsia="Times New Roman"/>
          <w:szCs w:val="20"/>
          <w:u w:val="single"/>
        </w:rPr>
        <w:t>ruled</w:t>
      </w:r>
      <w:r w:rsidR="00541505" w:rsidRPr="00EA5CB0">
        <w:rPr>
          <w:rFonts w:eastAsia="Times New Roman"/>
          <w:szCs w:val="20"/>
          <w:u w:val="single"/>
        </w:rPr>
        <w:t xml:space="preserve"> that “[o]</w:t>
      </w:r>
      <w:proofErr w:type="spellStart"/>
      <w:r w:rsidR="00541505" w:rsidRPr="00EA5CB0">
        <w:rPr>
          <w:rFonts w:eastAsia="Times New Roman"/>
          <w:szCs w:val="20"/>
          <w:u w:val="single"/>
        </w:rPr>
        <w:t>ur</w:t>
      </w:r>
      <w:proofErr w:type="spellEnd"/>
      <w:r w:rsidR="00541505" w:rsidRPr="00EA5CB0">
        <w:rPr>
          <w:rFonts w:eastAsia="Times New Roman"/>
          <w:szCs w:val="20"/>
          <w:u w:val="single"/>
        </w:rPr>
        <w:t xml:space="preserve"> </w:t>
      </w:r>
      <w:r w:rsidR="00541505" w:rsidRPr="00EA5CB0">
        <w:rPr>
          <w:rFonts w:eastAsia="Times New Roman"/>
          <w:szCs w:val="20"/>
          <w:u w:val="single"/>
        </w:rPr>
        <w:t>role as federal judges is limited and does not extend to complaints about excessive partisanship in</w:t>
      </w:r>
      <w:r w:rsidR="00541505" w:rsidRPr="00EA5CB0">
        <w:rPr>
          <w:rFonts w:eastAsia="Times New Roman"/>
          <w:szCs w:val="20"/>
          <w:u w:val="single"/>
        </w:rPr>
        <w:t xml:space="preserve"> </w:t>
      </w:r>
      <w:r w:rsidR="00541505" w:rsidRPr="00EA5CB0">
        <w:rPr>
          <w:rFonts w:eastAsia="Times New Roman"/>
          <w:szCs w:val="20"/>
          <w:u w:val="single"/>
        </w:rPr>
        <w:t>the drawing of legislative districts</w:t>
      </w:r>
      <w:r w:rsidR="008A68D2" w:rsidRPr="00EA5CB0">
        <w:rPr>
          <w:rFonts w:eastAsia="Times New Roman"/>
          <w:szCs w:val="20"/>
          <w:u w:val="single"/>
        </w:rPr>
        <w:t>.”</w:t>
      </w:r>
    </w:p>
    <w:p w14:paraId="63B9A98B" w14:textId="56D0CE86" w:rsidR="007A7A86" w:rsidRPr="0098591A" w:rsidRDefault="0034006C" w:rsidP="002573BE">
      <w:pPr>
        <w:pStyle w:val="ListParagraph"/>
        <w:numPr>
          <w:ilvl w:val="1"/>
          <w:numId w:val="5"/>
        </w:numPr>
        <w:spacing w:line="24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>The deadline to appeal expired.</w:t>
      </w:r>
    </w:p>
    <w:p w14:paraId="71437BE5" w14:textId="538F010F" w:rsidR="007A7A86" w:rsidRDefault="007A7A86">
      <w:pPr>
        <w:rPr>
          <w:szCs w:val="20"/>
        </w:rPr>
      </w:pPr>
    </w:p>
    <w:p w14:paraId="302876E4" w14:textId="77777777" w:rsidR="00827B92" w:rsidRDefault="00827B92">
      <w:pPr>
        <w:rPr>
          <w:szCs w:val="20"/>
        </w:rPr>
      </w:pPr>
    </w:p>
    <w:p w14:paraId="7A810CEF" w14:textId="6D8648FA" w:rsidR="002573BE" w:rsidRDefault="002573BE" w:rsidP="002573BE">
      <w:pPr>
        <w:rPr>
          <w:szCs w:val="20"/>
        </w:rPr>
      </w:pPr>
      <w:r>
        <w:rPr>
          <w:b/>
          <w:bCs/>
          <w:szCs w:val="20"/>
        </w:rPr>
        <w:t>NEW MEXICO</w:t>
      </w:r>
    </w:p>
    <w:p w14:paraId="53AA9B0D" w14:textId="77777777" w:rsidR="00883FDC" w:rsidRPr="00883FDC" w:rsidRDefault="00883FDC" w:rsidP="002573BE">
      <w:pPr>
        <w:rPr>
          <w:szCs w:val="20"/>
        </w:rPr>
      </w:pPr>
    </w:p>
    <w:p w14:paraId="43DA2815" w14:textId="77777777" w:rsidR="002573BE" w:rsidRDefault="002573BE" w:rsidP="002573BE">
      <w:pPr>
        <w:pStyle w:val="ListParagraph"/>
        <w:numPr>
          <w:ilvl w:val="0"/>
          <w:numId w:val="2"/>
        </w:numPr>
        <w:rPr>
          <w:szCs w:val="20"/>
        </w:rPr>
      </w:pPr>
      <w:r w:rsidRPr="00345F9D">
        <w:rPr>
          <w:i/>
          <w:iCs/>
          <w:szCs w:val="20"/>
        </w:rPr>
        <w:t>Republican Party of New Mexico</w:t>
      </w:r>
      <w:r>
        <w:rPr>
          <w:szCs w:val="20"/>
        </w:rPr>
        <w:t xml:space="preserve"> v. Oliver, No. </w:t>
      </w:r>
      <w:r w:rsidRPr="000D5DDD">
        <w:rPr>
          <w:szCs w:val="20"/>
        </w:rPr>
        <w:t>D-506-CV-202200041 (N.M. D. Ct. Jan. 21, 2022)</w:t>
      </w:r>
      <w:r>
        <w:rPr>
          <w:szCs w:val="20"/>
        </w:rPr>
        <w:t>.</w:t>
      </w:r>
    </w:p>
    <w:p w14:paraId="23407FD4" w14:textId="77777777" w:rsidR="002573BE" w:rsidRPr="009B129D" w:rsidRDefault="002573BE" w:rsidP="002573BE">
      <w:pPr>
        <w:pStyle w:val="ListParagraph"/>
        <w:numPr>
          <w:ilvl w:val="1"/>
          <w:numId w:val="2"/>
        </w:numPr>
        <w:rPr>
          <w:szCs w:val="20"/>
        </w:rPr>
      </w:pPr>
      <w:r>
        <w:rPr>
          <w:szCs w:val="20"/>
        </w:rPr>
        <w:t>Plaintiffs RPNM et al. filed a complaint alleging that “</w:t>
      </w:r>
      <w:r w:rsidRPr="009B129D">
        <w:rPr>
          <w:szCs w:val="20"/>
        </w:rPr>
        <w:t>Senate Bill 1</w:t>
      </w:r>
      <w:r>
        <w:rPr>
          <w:szCs w:val="20"/>
        </w:rPr>
        <w:t xml:space="preserve"> . . . </w:t>
      </w:r>
      <w:r w:rsidRPr="009B129D">
        <w:rPr>
          <w:szCs w:val="20"/>
        </w:rPr>
        <w:t>redraws New Mexico’s three</w:t>
      </w:r>
      <w:r>
        <w:rPr>
          <w:szCs w:val="20"/>
        </w:rPr>
        <w:t xml:space="preserve"> </w:t>
      </w:r>
      <w:r w:rsidRPr="009B129D">
        <w:rPr>
          <w:szCs w:val="20"/>
        </w:rPr>
        <w:t>congressional districts in contravention of traditional redistricting principles endorsed by the</w:t>
      </w:r>
      <w:r>
        <w:rPr>
          <w:szCs w:val="20"/>
        </w:rPr>
        <w:t xml:space="preserve"> </w:t>
      </w:r>
      <w:r w:rsidRPr="009B129D">
        <w:rPr>
          <w:szCs w:val="20"/>
        </w:rPr>
        <w:t>State Legislature and the New Mexico Supreme Court in order to accomplish a political</w:t>
      </w:r>
      <w:r>
        <w:rPr>
          <w:szCs w:val="20"/>
        </w:rPr>
        <w:t xml:space="preserve"> </w:t>
      </w:r>
      <w:r w:rsidRPr="009B129D">
        <w:rPr>
          <w:szCs w:val="20"/>
        </w:rPr>
        <w:t>gerrymander that unconstitutionally dilutes the votes of residents of southeastern New Mexico in</w:t>
      </w:r>
      <w:r>
        <w:rPr>
          <w:szCs w:val="20"/>
        </w:rPr>
        <w:t xml:space="preserve"> </w:t>
      </w:r>
      <w:r w:rsidRPr="009B129D">
        <w:rPr>
          <w:szCs w:val="20"/>
        </w:rPr>
        <w:t>order to achieve partisan advantage.</w:t>
      </w:r>
      <w:r>
        <w:rPr>
          <w:szCs w:val="20"/>
        </w:rPr>
        <w:t>”</w:t>
      </w:r>
    </w:p>
    <w:p w14:paraId="7C74A574" w14:textId="77777777" w:rsidR="002573BE" w:rsidRPr="000A5F35" w:rsidRDefault="002573BE" w:rsidP="002573BE">
      <w:pPr>
        <w:pStyle w:val="ListParagraph"/>
        <w:numPr>
          <w:ilvl w:val="1"/>
          <w:numId w:val="2"/>
        </w:numPr>
        <w:rPr>
          <w:szCs w:val="20"/>
        </w:rPr>
      </w:pPr>
      <w:r>
        <w:rPr>
          <w:szCs w:val="20"/>
        </w:rPr>
        <w:t>Plaintiffs requested, among other things, for f</w:t>
      </w:r>
      <w:r w:rsidRPr="000A5F35">
        <w:rPr>
          <w:szCs w:val="20"/>
        </w:rPr>
        <w:t>inal Judgment against Defendants</w:t>
      </w:r>
      <w:r>
        <w:rPr>
          <w:szCs w:val="20"/>
        </w:rPr>
        <w:t>, a d</w:t>
      </w:r>
      <w:r w:rsidRPr="000A5F35">
        <w:rPr>
          <w:szCs w:val="20"/>
        </w:rPr>
        <w:t>eclaration that Senate Bill 1 violates the New Mexico Constitution</w:t>
      </w:r>
      <w:r>
        <w:rPr>
          <w:szCs w:val="20"/>
        </w:rPr>
        <w:t>, and the a</w:t>
      </w:r>
      <w:r w:rsidRPr="000A5F35">
        <w:rPr>
          <w:szCs w:val="20"/>
        </w:rPr>
        <w:t>doption of a partisan-neutral congressional map consistent with</w:t>
      </w:r>
      <w:r>
        <w:rPr>
          <w:szCs w:val="20"/>
        </w:rPr>
        <w:t xml:space="preserve"> </w:t>
      </w:r>
      <w:r w:rsidRPr="000A5F35">
        <w:rPr>
          <w:szCs w:val="20"/>
        </w:rPr>
        <w:t>Congressional Concept E (Justice Chávez’s map)</w:t>
      </w:r>
      <w:r>
        <w:rPr>
          <w:szCs w:val="20"/>
        </w:rPr>
        <w:t>.</w:t>
      </w:r>
    </w:p>
    <w:p w14:paraId="21FC513F" w14:textId="77777777" w:rsidR="002573BE" w:rsidRDefault="002573BE" w:rsidP="002573BE">
      <w:pPr>
        <w:pStyle w:val="ListParagraph"/>
        <w:numPr>
          <w:ilvl w:val="1"/>
          <w:numId w:val="2"/>
        </w:numPr>
        <w:rPr>
          <w:szCs w:val="20"/>
        </w:rPr>
      </w:pPr>
      <w:r>
        <w:rPr>
          <w:szCs w:val="20"/>
        </w:rPr>
        <w:t xml:space="preserve">Plaintiffs argued that SB1 is a political gerrymander in violation of </w:t>
      </w:r>
      <w:r w:rsidRPr="00083D0F">
        <w:rPr>
          <w:szCs w:val="20"/>
        </w:rPr>
        <w:t>Equal Protection, N.M. Const. art. II, § 18</w:t>
      </w:r>
      <w:r>
        <w:rPr>
          <w:szCs w:val="20"/>
        </w:rPr>
        <w:t>.</w:t>
      </w:r>
    </w:p>
    <w:p w14:paraId="51E98DDE" w14:textId="33C2DB00" w:rsidR="00F72527" w:rsidRPr="00852D3D" w:rsidRDefault="00F72527" w:rsidP="00852D3D">
      <w:pPr>
        <w:rPr>
          <w:szCs w:val="20"/>
        </w:rPr>
      </w:pPr>
    </w:p>
    <w:sectPr w:rsidR="00F72527" w:rsidRPr="00852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C5FDB" w14:textId="77777777" w:rsidR="00F02F4B" w:rsidRDefault="00F02F4B" w:rsidP="00A90CD8">
      <w:pPr>
        <w:spacing w:line="240" w:lineRule="auto"/>
      </w:pPr>
      <w:r>
        <w:separator/>
      </w:r>
    </w:p>
  </w:endnote>
  <w:endnote w:type="continuationSeparator" w:id="0">
    <w:p w14:paraId="6F252C0D" w14:textId="77777777" w:rsidR="00F02F4B" w:rsidRDefault="00F02F4B" w:rsidP="00A90C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B9433" w14:textId="77777777" w:rsidR="00F02F4B" w:rsidRDefault="00F02F4B" w:rsidP="00A90CD8">
      <w:pPr>
        <w:spacing w:line="240" w:lineRule="auto"/>
      </w:pPr>
      <w:r>
        <w:separator/>
      </w:r>
    </w:p>
  </w:footnote>
  <w:footnote w:type="continuationSeparator" w:id="0">
    <w:p w14:paraId="16652F7A" w14:textId="77777777" w:rsidR="00F02F4B" w:rsidRDefault="00F02F4B" w:rsidP="00A90CD8">
      <w:pPr>
        <w:spacing w:line="240" w:lineRule="auto"/>
      </w:pPr>
      <w:r>
        <w:continuationSeparator/>
      </w:r>
    </w:p>
  </w:footnote>
  <w:footnote w:id="1">
    <w:p w14:paraId="638C473B" w14:textId="7EF67732" w:rsidR="00803E62" w:rsidRDefault="00803E6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758A4" w:rsidRPr="00D758A4">
        <w:rPr>
          <w:i/>
          <w:iCs/>
        </w:rPr>
        <w:t>Redistricting Litigation Roundup</w:t>
      </w:r>
      <w:r w:rsidR="00D758A4">
        <w:t xml:space="preserve">, </w:t>
      </w:r>
      <w:r w:rsidR="00D758A4" w:rsidRPr="00D758A4">
        <w:rPr>
          <w:smallCaps/>
        </w:rPr>
        <w:t>Brennan Ctr. for Justice</w:t>
      </w:r>
      <w:r w:rsidR="00D758A4">
        <w:t xml:space="preserve"> (Oct. 12, 2022), </w:t>
      </w:r>
      <w:hyperlink r:id="rId1" w:history="1">
        <w:r w:rsidR="00D758A4" w:rsidRPr="00356B1F">
          <w:rPr>
            <w:rStyle w:val="Hyperlink"/>
          </w:rPr>
          <w:t>https://www.brennancenter.org/our-work/research-reports/redistricting-litigation-roundup-0</w:t>
        </w:r>
      </w:hyperlink>
      <w:r w:rsidR="00D758A4">
        <w:t xml:space="preserve">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81A11"/>
    <w:multiLevelType w:val="hybridMultilevel"/>
    <w:tmpl w:val="B1F8E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A0F60"/>
    <w:multiLevelType w:val="hybridMultilevel"/>
    <w:tmpl w:val="2878CB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294C10"/>
    <w:multiLevelType w:val="hybridMultilevel"/>
    <w:tmpl w:val="A0F8BB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6761C0"/>
    <w:multiLevelType w:val="hybridMultilevel"/>
    <w:tmpl w:val="1862E3A2"/>
    <w:lvl w:ilvl="0" w:tplc="74EC1C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52390"/>
    <w:multiLevelType w:val="hybridMultilevel"/>
    <w:tmpl w:val="0EF04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D7B0C"/>
    <w:multiLevelType w:val="hybridMultilevel"/>
    <w:tmpl w:val="AA5AE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077709">
    <w:abstractNumId w:val="2"/>
  </w:num>
  <w:num w:numId="2" w16cid:durableId="967198784">
    <w:abstractNumId w:val="0"/>
  </w:num>
  <w:num w:numId="3" w16cid:durableId="633604929">
    <w:abstractNumId w:val="5"/>
  </w:num>
  <w:num w:numId="4" w16cid:durableId="922252876">
    <w:abstractNumId w:val="1"/>
  </w:num>
  <w:num w:numId="5" w16cid:durableId="147865762">
    <w:abstractNumId w:val="4"/>
  </w:num>
  <w:num w:numId="6" w16cid:durableId="727534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50D"/>
    <w:rsid w:val="000011E4"/>
    <w:rsid w:val="00011B7B"/>
    <w:rsid w:val="00031BFF"/>
    <w:rsid w:val="0003271E"/>
    <w:rsid w:val="000415F2"/>
    <w:rsid w:val="000423F8"/>
    <w:rsid w:val="00053DC6"/>
    <w:rsid w:val="00056815"/>
    <w:rsid w:val="000612B8"/>
    <w:rsid w:val="00061BAC"/>
    <w:rsid w:val="00065FEB"/>
    <w:rsid w:val="000669E7"/>
    <w:rsid w:val="00074D4E"/>
    <w:rsid w:val="000817F9"/>
    <w:rsid w:val="00083D0F"/>
    <w:rsid w:val="000858A3"/>
    <w:rsid w:val="000936C5"/>
    <w:rsid w:val="00094F4E"/>
    <w:rsid w:val="0009690C"/>
    <w:rsid w:val="000A56D7"/>
    <w:rsid w:val="000A5C6A"/>
    <w:rsid w:val="000A5F35"/>
    <w:rsid w:val="000A6E8D"/>
    <w:rsid w:val="000B0357"/>
    <w:rsid w:val="000C34C2"/>
    <w:rsid w:val="000C62F3"/>
    <w:rsid w:val="000C6405"/>
    <w:rsid w:val="000D5DDD"/>
    <w:rsid w:val="000D6927"/>
    <w:rsid w:val="000E1185"/>
    <w:rsid w:val="000E2B5F"/>
    <w:rsid w:val="000E4F4B"/>
    <w:rsid w:val="000F06B0"/>
    <w:rsid w:val="000F14F9"/>
    <w:rsid w:val="000F7680"/>
    <w:rsid w:val="000F7880"/>
    <w:rsid w:val="001029D4"/>
    <w:rsid w:val="00114728"/>
    <w:rsid w:val="00115532"/>
    <w:rsid w:val="00130EEE"/>
    <w:rsid w:val="001329D0"/>
    <w:rsid w:val="001420F1"/>
    <w:rsid w:val="00142F01"/>
    <w:rsid w:val="001455D2"/>
    <w:rsid w:val="0015052D"/>
    <w:rsid w:val="001526BF"/>
    <w:rsid w:val="00166C13"/>
    <w:rsid w:val="001674FA"/>
    <w:rsid w:val="001734D8"/>
    <w:rsid w:val="00181207"/>
    <w:rsid w:val="00191BE3"/>
    <w:rsid w:val="001935D5"/>
    <w:rsid w:val="001B45BC"/>
    <w:rsid w:val="001B6446"/>
    <w:rsid w:val="001D46F3"/>
    <w:rsid w:val="001D4703"/>
    <w:rsid w:val="001E6844"/>
    <w:rsid w:val="001F1145"/>
    <w:rsid w:val="001F32D6"/>
    <w:rsid w:val="001F50C5"/>
    <w:rsid w:val="00207D95"/>
    <w:rsid w:val="00211E23"/>
    <w:rsid w:val="00212664"/>
    <w:rsid w:val="00212BAC"/>
    <w:rsid w:val="00215EC7"/>
    <w:rsid w:val="00217DE9"/>
    <w:rsid w:val="002201C0"/>
    <w:rsid w:val="0022426A"/>
    <w:rsid w:val="00225810"/>
    <w:rsid w:val="00225A5F"/>
    <w:rsid w:val="00254E2F"/>
    <w:rsid w:val="002573BE"/>
    <w:rsid w:val="00264C5A"/>
    <w:rsid w:val="00267920"/>
    <w:rsid w:val="00271211"/>
    <w:rsid w:val="002856A4"/>
    <w:rsid w:val="00290BB0"/>
    <w:rsid w:val="00296285"/>
    <w:rsid w:val="002C2AAC"/>
    <w:rsid w:val="002D6A35"/>
    <w:rsid w:val="002E0856"/>
    <w:rsid w:val="002E31B6"/>
    <w:rsid w:val="002E778B"/>
    <w:rsid w:val="002F086B"/>
    <w:rsid w:val="002F0885"/>
    <w:rsid w:val="002F256E"/>
    <w:rsid w:val="002F4D83"/>
    <w:rsid w:val="002F5AAC"/>
    <w:rsid w:val="003077F8"/>
    <w:rsid w:val="003155EE"/>
    <w:rsid w:val="0032595F"/>
    <w:rsid w:val="00330EC1"/>
    <w:rsid w:val="00334C92"/>
    <w:rsid w:val="0034006C"/>
    <w:rsid w:val="0034242C"/>
    <w:rsid w:val="003427AD"/>
    <w:rsid w:val="00344660"/>
    <w:rsid w:val="00345F9D"/>
    <w:rsid w:val="00350CFF"/>
    <w:rsid w:val="003543FB"/>
    <w:rsid w:val="00356123"/>
    <w:rsid w:val="00372F65"/>
    <w:rsid w:val="00396F41"/>
    <w:rsid w:val="003A2F07"/>
    <w:rsid w:val="003B30A2"/>
    <w:rsid w:val="003B48DE"/>
    <w:rsid w:val="003B48EA"/>
    <w:rsid w:val="003C66D0"/>
    <w:rsid w:val="003D038B"/>
    <w:rsid w:val="003D65B4"/>
    <w:rsid w:val="003E5248"/>
    <w:rsid w:val="003F0D56"/>
    <w:rsid w:val="00404AE3"/>
    <w:rsid w:val="004108D6"/>
    <w:rsid w:val="004158BE"/>
    <w:rsid w:val="0041780A"/>
    <w:rsid w:val="004302E9"/>
    <w:rsid w:val="00435739"/>
    <w:rsid w:val="00443B00"/>
    <w:rsid w:val="00452C01"/>
    <w:rsid w:val="004542FE"/>
    <w:rsid w:val="0045618C"/>
    <w:rsid w:val="0047192B"/>
    <w:rsid w:val="00471CFA"/>
    <w:rsid w:val="00472EA4"/>
    <w:rsid w:val="00472FED"/>
    <w:rsid w:val="00474A3C"/>
    <w:rsid w:val="0047710B"/>
    <w:rsid w:val="00492571"/>
    <w:rsid w:val="004A2C87"/>
    <w:rsid w:val="004A4E8F"/>
    <w:rsid w:val="004A68CE"/>
    <w:rsid w:val="004B2608"/>
    <w:rsid w:val="004C3C47"/>
    <w:rsid w:val="004C4296"/>
    <w:rsid w:val="004C6D6D"/>
    <w:rsid w:val="004D1613"/>
    <w:rsid w:val="004E2FCB"/>
    <w:rsid w:val="00515521"/>
    <w:rsid w:val="00515F5C"/>
    <w:rsid w:val="00516FB4"/>
    <w:rsid w:val="00521A3E"/>
    <w:rsid w:val="005246E0"/>
    <w:rsid w:val="0052532C"/>
    <w:rsid w:val="00537B72"/>
    <w:rsid w:val="00541505"/>
    <w:rsid w:val="005545C2"/>
    <w:rsid w:val="0056285E"/>
    <w:rsid w:val="005634BE"/>
    <w:rsid w:val="00574C02"/>
    <w:rsid w:val="0057547F"/>
    <w:rsid w:val="00575DA7"/>
    <w:rsid w:val="005808B7"/>
    <w:rsid w:val="00592B02"/>
    <w:rsid w:val="005A0373"/>
    <w:rsid w:val="005A4170"/>
    <w:rsid w:val="005A5490"/>
    <w:rsid w:val="005B421F"/>
    <w:rsid w:val="005B4D41"/>
    <w:rsid w:val="005B7FFE"/>
    <w:rsid w:val="005C0CE2"/>
    <w:rsid w:val="005C7E46"/>
    <w:rsid w:val="005D746D"/>
    <w:rsid w:val="005E1710"/>
    <w:rsid w:val="005F082C"/>
    <w:rsid w:val="005F539F"/>
    <w:rsid w:val="005F7580"/>
    <w:rsid w:val="005F7C1D"/>
    <w:rsid w:val="006044A6"/>
    <w:rsid w:val="006128D2"/>
    <w:rsid w:val="006213B3"/>
    <w:rsid w:val="00635F4C"/>
    <w:rsid w:val="006367B7"/>
    <w:rsid w:val="00643A05"/>
    <w:rsid w:val="006502FF"/>
    <w:rsid w:val="00652664"/>
    <w:rsid w:val="00671155"/>
    <w:rsid w:val="0067223B"/>
    <w:rsid w:val="00680555"/>
    <w:rsid w:val="00684510"/>
    <w:rsid w:val="00690325"/>
    <w:rsid w:val="0069126D"/>
    <w:rsid w:val="0069168C"/>
    <w:rsid w:val="006A08C1"/>
    <w:rsid w:val="006A2E00"/>
    <w:rsid w:val="006B1C61"/>
    <w:rsid w:val="006B2D20"/>
    <w:rsid w:val="006B5496"/>
    <w:rsid w:val="006D1610"/>
    <w:rsid w:val="006E70CB"/>
    <w:rsid w:val="006F2C19"/>
    <w:rsid w:val="006F4E3C"/>
    <w:rsid w:val="007000F5"/>
    <w:rsid w:val="00725545"/>
    <w:rsid w:val="007310E0"/>
    <w:rsid w:val="007347C6"/>
    <w:rsid w:val="00750AC1"/>
    <w:rsid w:val="00765D3C"/>
    <w:rsid w:val="00767B11"/>
    <w:rsid w:val="00775270"/>
    <w:rsid w:val="0079288A"/>
    <w:rsid w:val="007A15B8"/>
    <w:rsid w:val="007A7A86"/>
    <w:rsid w:val="007B75B9"/>
    <w:rsid w:val="007C7D84"/>
    <w:rsid w:val="007D0FE2"/>
    <w:rsid w:val="007D1B01"/>
    <w:rsid w:val="007D5ED9"/>
    <w:rsid w:val="007D63B1"/>
    <w:rsid w:val="007E4108"/>
    <w:rsid w:val="007F17DF"/>
    <w:rsid w:val="007F2B4B"/>
    <w:rsid w:val="008005B3"/>
    <w:rsid w:val="00803E62"/>
    <w:rsid w:val="008042C7"/>
    <w:rsid w:val="00804DC1"/>
    <w:rsid w:val="0081758A"/>
    <w:rsid w:val="0082403E"/>
    <w:rsid w:val="00825E45"/>
    <w:rsid w:val="008273BC"/>
    <w:rsid w:val="00827B92"/>
    <w:rsid w:val="00834137"/>
    <w:rsid w:val="0084070D"/>
    <w:rsid w:val="0084773C"/>
    <w:rsid w:val="00852D3D"/>
    <w:rsid w:val="00852EA3"/>
    <w:rsid w:val="00867309"/>
    <w:rsid w:val="008751ED"/>
    <w:rsid w:val="00875487"/>
    <w:rsid w:val="008775BD"/>
    <w:rsid w:val="00882DB2"/>
    <w:rsid w:val="00883FDC"/>
    <w:rsid w:val="0089629B"/>
    <w:rsid w:val="008A462C"/>
    <w:rsid w:val="008A68D2"/>
    <w:rsid w:val="008D467C"/>
    <w:rsid w:val="008D66FD"/>
    <w:rsid w:val="008E1661"/>
    <w:rsid w:val="008E6D44"/>
    <w:rsid w:val="00901844"/>
    <w:rsid w:val="009037A2"/>
    <w:rsid w:val="00905D1D"/>
    <w:rsid w:val="00906592"/>
    <w:rsid w:val="009108BB"/>
    <w:rsid w:val="00914284"/>
    <w:rsid w:val="00922B6D"/>
    <w:rsid w:val="00925688"/>
    <w:rsid w:val="00926A10"/>
    <w:rsid w:val="009315A1"/>
    <w:rsid w:val="00940B4B"/>
    <w:rsid w:val="009476A5"/>
    <w:rsid w:val="00947EE0"/>
    <w:rsid w:val="009679A9"/>
    <w:rsid w:val="00971652"/>
    <w:rsid w:val="009831AA"/>
    <w:rsid w:val="0098591A"/>
    <w:rsid w:val="0099185A"/>
    <w:rsid w:val="00992B19"/>
    <w:rsid w:val="00994991"/>
    <w:rsid w:val="009A6F30"/>
    <w:rsid w:val="009A72E8"/>
    <w:rsid w:val="009B129D"/>
    <w:rsid w:val="009B1A73"/>
    <w:rsid w:val="009C6C77"/>
    <w:rsid w:val="009D54A6"/>
    <w:rsid w:val="009E0842"/>
    <w:rsid w:val="00A10326"/>
    <w:rsid w:val="00A175AC"/>
    <w:rsid w:val="00A22BD7"/>
    <w:rsid w:val="00A522D6"/>
    <w:rsid w:val="00A5256F"/>
    <w:rsid w:val="00A56902"/>
    <w:rsid w:val="00A61043"/>
    <w:rsid w:val="00A62C08"/>
    <w:rsid w:val="00A64C3F"/>
    <w:rsid w:val="00A71C57"/>
    <w:rsid w:val="00A7567F"/>
    <w:rsid w:val="00A8532E"/>
    <w:rsid w:val="00A90B0E"/>
    <w:rsid w:val="00A90CD8"/>
    <w:rsid w:val="00AA10B4"/>
    <w:rsid w:val="00AA7687"/>
    <w:rsid w:val="00AB7083"/>
    <w:rsid w:val="00AC1E63"/>
    <w:rsid w:val="00AC4427"/>
    <w:rsid w:val="00AC57A6"/>
    <w:rsid w:val="00AD083C"/>
    <w:rsid w:val="00AD67DD"/>
    <w:rsid w:val="00AE1FFA"/>
    <w:rsid w:val="00AE419A"/>
    <w:rsid w:val="00AF0C93"/>
    <w:rsid w:val="00AF20C5"/>
    <w:rsid w:val="00B01256"/>
    <w:rsid w:val="00B07787"/>
    <w:rsid w:val="00B11B08"/>
    <w:rsid w:val="00B15CCA"/>
    <w:rsid w:val="00B17476"/>
    <w:rsid w:val="00B31D01"/>
    <w:rsid w:val="00B401E4"/>
    <w:rsid w:val="00B44B83"/>
    <w:rsid w:val="00B52DE2"/>
    <w:rsid w:val="00B665A3"/>
    <w:rsid w:val="00B8711F"/>
    <w:rsid w:val="00B932D8"/>
    <w:rsid w:val="00B9468D"/>
    <w:rsid w:val="00BA4FAC"/>
    <w:rsid w:val="00BC6DA6"/>
    <w:rsid w:val="00BC7FA6"/>
    <w:rsid w:val="00BD5F8B"/>
    <w:rsid w:val="00BE26B0"/>
    <w:rsid w:val="00C13CC1"/>
    <w:rsid w:val="00C16C8D"/>
    <w:rsid w:val="00C23571"/>
    <w:rsid w:val="00C23A8F"/>
    <w:rsid w:val="00C35036"/>
    <w:rsid w:val="00C427FA"/>
    <w:rsid w:val="00C552C0"/>
    <w:rsid w:val="00C6795B"/>
    <w:rsid w:val="00C751FE"/>
    <w:rsid w:val="00C77F6D"/>
    <w:rsid w:val="00C842DB"/>
    <w:rsid w:val="00C85C17"/>
    <w:rsid w:val="00CA0FB3"/>
    <w:rsid w:val="00CA1CBF"/>
    <w:rsid w:val="00CA37AF"/>
    <w:rsid w:val="00CA7970"/>
    <w:rsid w:val="00CB51AA"/>
    <w:rsid w:val="00CC0D8B"/>
    <w:rsid w:val="00CC4BEE"/>
    <w:rsid w:val="00CC527C"/>
    <w:rsid w:val="00CC59A0"/>
    <w:rsid w:val="00CE0D78"/>
    <w:rsid w:val="00D14D9A"/>
    <w:rsid w:val="00D215B3"/>
    <w:rsid w:val="00D33951"/>
    <w:rsid w:val="00D347DD"/>
    <w:rsid w:val="00D40A68"/>
    <w:rsid w:val="00D415D2"/>
    <w:rsid w:val="00D43B38"/>
    <w:rsid w:val="00D50CD0"/>
    <w:rsid w:val="00D61314"/>
    <w:rsid w:val="00D632BA"/>
    <w:rsid w:val="00D67E4B"/>
    <w:rsid w:val="00D7369A"/>
    <w:rsid w:val="00D73B91"/>
    <w:rsid w:val="00D758A4"/>
    <w:rsid w:val="00D8310F"/>
    <w:rsid w:val="00D851C6"/>
    <w:rsid w:val="00D866BD"/>
    <w:rsid w:val="00D90943"/>
    <w:rsid w:val="00DA2EB8"/>
    <w:rsid w:val="00DB588D"/>
    <w:rsid w:val="00DB6848"/>
    <w:rsid w:val="00DC318D"/>
    <w:rsid w:val="00DC6F51"/>
    <w:rsid w:val="00DD66C7"/>
    <w:rsid w:val="00DD7F5E"/>
    <w:rsid w:val="00DE1886"/>
    <w:rsid w:val="00DF0717"/>
    <w:rsid w:val="00DF450D"/>
    <w:rsid w:val="00E05990"/>
    <w:rsid w:val="00E06BCF"/>
    <w:rsid w:val="00E124D6"/>
    <w:rsid w:val="00E21002"/>
    <w:rsid w:val="00E2275E"/>
    <w:rsid w:val="00E22B20"/>
    <w:rsid w:val="00E25B53"/>
    <w:rsid w:val="00E274DC"/>
    <w:rsid w:val="00E32BF4"/>
    <w:rsid w:val="00E335AA"/>
    <w:rsid w:val="00E36A1E"/>
    <w:rsid w:val="00E448F4"/>
    <w:rsid w:val="00E6689D"/>
    <w:rsid w:val="00E72929"/>
    <w:rsid w:val="00E76C5D"/>
    <w:rsid w:val="00E8579D"/>
    <w:rsid w:val="00E86EB8"/>
    <w:rsid w:val="00E93452"/>
    <w:rsid w:val="00EA34DD"/>
    <w:rsid w:val="00EA377F"/>
    <w:rsid w:val="00EA5CB0"/>
    <w:rsid w:val="00EA7817"/>
    <w:rsid w:val="00EB144D"/>
    <w:rsid w:val="00EB42AE"/>
    <w:rsid w:val="00EB53DB"/>
    <w:rsid w:val="00EC1995"/>
    <w:rsid w:val="00EC2635"/>
    <w:rsid w:val="00EC266E"/>
    <w:rsid w:val="00EC5663"/>
    <w:rsid w:val="00ED32B3"/>
    <w:rsid w:val="00ED671F"/>
    <w:rsid w:val="00EE25A9"/>
    <w:rsid w:val="00EE2738"/>
    <w:rsid w:val="00EE2D91"/>
    <w:rsid w:val="00EE4689"/>
    <w:rsid w:val="00EE4F22"/>
    <w:rsid w:val="00EF095C"/>
    <w:rsid w:val="00EF6ECA"/>
    <w:rsid w:val="00F02F4B"/>
    <w:rsid w:val="00F1414C"/>
    <w:rsid w:val="00F17F9B"/>
    <w:rsid w:val="00F256C8"/>
    <w:rsid w:val="00F32494"/>
    <w:rsid w:val="00F36DBB"/>
    <w:rsid w:val="00F407AC"/>
    <w:rsid w:val="00F50810"/>
    <w:rsid w:val="00F72527"/>
    <w:rsid w:val="00F73E82"/>
    <w:rsid w:val="00F87D15"/>
    <w:rsid w:val="00F92AC3"/>
    <w:rsid w:val="00FB0165"/>
    <w:rsid w:val="00FB5E3F"/>
    <w:rsid w:val="00FB6143"/>
    <w:rsid w:val="00FC1FCB"/>
    <w:rsid w:val="00FC5645"/>
    <w:rsid w:val="00FD0BC0"/>
    <w:rsid w:val="00FD1E46"/>
    <w:rsid w:val="00FE2F6B"/>
    <w:rsid w:val="00FE4207"/>
    <w:rsid w:val="00FE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A9EB"/>
  <w15:chartTrackingRefBased/>
  <w15:docId w15:val="{41018933-86A3-4997-AF5C-B16DF926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3B91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E171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90CD8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0CD8"/>
    <w:rPr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90CD8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E7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E778B"/>
    <w:rPr>
      <w:i/>
      <w:iCs/>
    </w:rPr>
  </w:style>
  <w:style w:type="character" w:styleId="Hyperlink">
    <w:name w:val="Hyperlink"/>
    <w:basedOn w:val="DefaultParagraphFont"/>
    <w:uiPriority w:val="99"/>
    <w:unhideWhenUsed/>
    <w:rsid w:val="00D758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8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rennancenter.org/our-work/research-reports/redistricting-litigation-roundup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FB093-FBA0-4C54-8E2F-B14726172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Matsuda</dc:creator>
  <cp:keywords/>
  <dc:description/>
  <cp:lastModifiedBy>Scott Matsuda</cp:lastModifiedBy>
  <cp:revision>61</cp:revision>
  <dcterms:created xsi:type="dcterms:W3CDTF">2022-10-19T22:34:00Z</dcterms:created>
  <dcterms:modified xsi:type="dcterms:W3CDTF">2022-10-22T09:36:00Z</dcterms:modified>
</cp:coreProperties>
</file>