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95370D8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B374BD">
        <w:rPr>
          <w:szCs w:val="20"/>
        </w:rPr>
        <w:t>D</w:t>
      </w:r>
      <w:r w:rsidR="0082403E">
        <w:rPr>
          <w:szCs w:val="20"/>
        </w:rPr>
        <w:t>.</w:t>
      </w:r>
      <w:r w:rsidR="0006709A">
        <w:rPr>
          <w:szCs w:val="20"/>
        </w:rPr>
        <w:t>;</w:t>
      </w:r>
      <w:r w:rsidR="00F42071">
        <w:rPr>
          <w:szCs w:val="20"/>
        </w:rPr>
        <w:t xml:space="preserve"> Bernard </w:t>
      </w:r>
      <w:proofErr w:type="spellStart"/>
      <w:r w:rsidR="00F42071">
        <w:rPr>
          <w:szCs w:val="20"/>
        </w:rPr>
        <w:t>Grofman</w:t>
      </w:r>
      <w:proofErr w:type="spellEnd"/>
      <w:r w:rsidR="00F42071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43382142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2277B0">
        <w:rPr>
          <w:szCs w:val="20"/>
        </w:rPr>
        <w:t>9/23/2022</w:t>
      </w:r>
    </w:p>
    <w:p w14:paraId="385897F0" w14:textId="1E88ACF3" w:rsidR="00CA7970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C810B7">
        <w:rPr>
          <w:b/>
          <w:bCs/>
          <w:szCs w:val="20"/>
          <w:u w:val="single"/>
        </w:rPr>
        <w:t>[</w:t>
      </w:r>
      <w:r w:rsidR="003E26B7">
        <w:rPr>
          <w:b/>
          <w:bCs/>
          <w:szCs w:val="20"/>
          <w:u w:val="single"/>
        </w:rPr>
        <w:t>Pennsylvania</w:t>
      </w:r>
      <w:r w:rsidR="002F5F22">
        <w:rPr>
          <w:b/>
          <w:bCs/>
          <w:szCs w:val="20"/>
          <w:u w:val="single"/>
        </w:rPr>
        <w:t>]</w:t>
      </w:r>
    </w:p>
    <w:p w14:paraId="56358E75" w14:textId="77777777" w:rsidR="00015837" w:rsidRPr="00906592" w:rsidRDefault="00015837" w:rsidP="00CA7970">
      <w:pPr>
        <w:jc w:val="center"/>
        <w:rPr>
          <w:b/>
          <w:bCs/>
          <w:szCs w:val="20"/>
          <w:u w:val="single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F24EE1">
        <w:trPr>
          <w:trHeight w:val="90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471BA30E" w14:textId="00E0BFAB" w:rsidR="005F539F" w:rsidRDefault="000E07F2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DD196D">
              <w:rPr>
                <w:rFonts w:ascii="Arial" w:hAnsi="Arial" w:cs="Arial"/>
                <w:i/>
                <w:sz w:val="20"/>
                <w:szCs w:val="20"/>
              </w:rPr>
              <w:t>Carter v. Chapman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874984">
              <w:rPr>
                <w:rFonts w:ascii="Arial" w:hAnsi="Arial" w:cs="Arial"/>
                <w:iCs/>
                <w:sz w:val="20"/>
                <w:szCs w:val="20"/>
              </w:rPr>
              <w:t>270 A.3d 444 (P</w:t>
            </w:r>
            <w:r w:rsidR="003E4172">
              <w:rPr>
                <w:rFonts w:ascii="Arial" w:hAnsi="Arial" w:cs="Arial"/>
                <w:iCs/>
                <w:sz w:val="20"/>
                <w:szCs w:val="20"/>
              </w:rPr>
              <w:t>a.</w:t>
            </w:r>
            <w:r w:rsidR="00874984">
              <w:rPr>
                <w:rFonts w:ascii="Arial" w:hAnsi="Arial" w:cs="Arial"/>
                <w:iCs/>
                <w:sz w:val="20"/>
                <w:szCs w:val="20"/>
              </w:rPr>
              <w:t xml:space="preserve"> 2022)</w:t>
            </w:r>
            <w:r w:rsidR="003A4C67">
              <w:rPr>
                <w:rFonts w:ascii="Arial" w:hAnsi="Arial" w:cs="Arial"/>
                <w:iCs/>
                <w:sz w:val="20"/>
                <w:szCs w:val="20"/>
              </w:rPr>
              <w:t xml:space="preserve"> (per </w:t>
            </w:r>
            <w:proofErr w:type="spellStart"/>
            <w:r w:rsidR="003A4C67">
              <w:rPr>
                <w:rFonts w:ascii="Arial" w:hAnsi="Arial" w:cs="Arial"/>
                <w:iCs/>
                <w:sz w:val="20"/>
                <w:szCs w:val="20"/>
              </w:rPr>
              <w:t>curiam</w:t>
            </w:r>
            <w:proofErr w:type="spellEnd"/>
            <w:r w:rsidR="003A4C67">
              <w:rPr>
                <w:rFonts w:ascii="Arial" w:hAnsi="Arial" w:cs="Arial"/>
                <w:iCs/>
                <w:sz w:val="20"/>
                <w:szCs w:val="20"/>
              </w:rPr>
              <w:t>).</w:t>
            </w:r>
          </w:p>
          <w:p w14:paraId="07A00851" w14:textId="4355A159" w:rsidR="00F24EE1" w:rsidRPr="00A64C3F" w:rsidRDefault="00F24EE1" w:rsidP="00F24EE1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F37460" w:rsidRPr="00D73B91" w14:paraId="1553CCF4" w14:textId="77777777" w:rsidTr="00015837">
        <w:trPr>
          <w:trHeight w:val="603"/>
        </w:trPr>
        <w:tc>
          <w:tcPr>
            <w:tcW w:w="1998" w:type="dxa"/>
          </w:tcPr>
          <w:p w14:paraId="727B3A27" w14:textId="77777777" w:rsidR="00F37460" w:rsidRDefault="00F37460" w:rsidP="00F37460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6E704DD" w14:textId="7C72F1DC" w:rsidR="00F37460" w:rsidRPr="00D73B91" w:rsidRDefault="00F37460" w:rsidP="00F374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60B58353" w14:textId="5D94DE57" w:rsidR="00F37460" w:rsidRPr="00236E89" w:rsidRDefault="00F37460" w:rsidP="00F3746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Baer, C.J.</w:t>
            </w:r>
            <w:r w:rsidR="00697197">
              <w:rPr>
                <w:rFonts w:ascii="Arial" w:hAnsi="Arial" w:cs="Arial"/>
                <w:sz w:val="20"/>
                <w:szCs w:val="20"/>
              </w:rPr>
              <w:t xml:space="preserve"> (D)</w:t>
            </w:r>
            <w:r>
              <w:rPr>
                <w:rFonts w:ascii="Arial" w:hAnsi="Arial" w:cs="Arial"/>
                <w:sz w:val="20"/>
                <w:szCs w:val="20"/>
              </w:rPr>
              <w:t>, issued</w:t>
            </w:r>
            <w:r w:rsidR="008C22F9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DB1948">
              <w:rPr>
                <w:rFonts w:ascii="Arial" w:hAnsi="Arial" w:cs="Arial"/>
                <w:sz w:val="20"/>
                <w:szCs w:val="20"/>
              </w:rPr>
              <w:t xml:space="preserve"> 4–3</w:t>
            </w:r>
            <w:r w:rsidR="008C22F9">
              <w:rPr>
                <w:rFonts w:ascii="Arial" w:hAnsi="Arial" w:cs="Arial"/>
                <w:sz w:val="20"/>
                <w:szCs w:val="20"/>
              </w:rPr>
              <w:t xml:space="preserve"> opinion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Pr="00236E89">
              <w:rPr>
                <w:rFonts w:ascii="Arial" w:hAnsi="Arial" w:cs="Arial"/>
                <w:sz w:val="20"/>
                <w:szCs w:val="20"/>
              </w:rPr>
              <w:t>Justices Donohue</w:t>
            </w:r>
            <w:r w:rsidR="00697197">
              <w:rPr>
                <w:rFonts w:ascii="Arial" w:hAnsi="Arial" w:cs="Arial"/>
                <w:sz w:val="20"/>
                <w:szCs w:val="20"/>
              </w:rPr>
              <w:t xml:space="preserve"> (D)</w:t>
            </w:r>
            <w:r w:rsidRPr="00236E89">
              <w:rPr>
                <w:rFonts w:ascii="Arial" w:hAnsi="Arial" w:cs="Arial"/>
                <w:sz w:val="20"/>
                <w:szCs w:val="20"/>
              </w:rPr>
              <w:t>, Dougherty</w:t>
            </w:r>
            <w:r w:rsidR="00697197">
              <w:rPr>
                <w:rFonts w:ascii="Arial" w:hAnsi="Arial" w:cs="Arial"/>
                <w:sz w:val="20"/>
                <w:szCs w:val="20"/>
              </w:rPr>
              <w:t xml:space="preserve"> (D)</w:t>
            </w:r>
            <w:r w:rsidRPr="00236E89">
              <w:rPr>
                <w:rFonts w:ascii="Arial" w:hAnsi="Arial" w:cs="Arial"/>
                <w:sz w:val="20"/>
                <w:szCs w:val="20"/>
              </w:rPr>
              <w:t xml:space="preserve">, and Wecht </w:t>
            </w:r>
            <w:r w:rsidR="00697197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Pr="00236E89">
              <w:rPr>
                <w:rFonts w:ascii="Arial" w:hAnsi="Arial" w:cs="Arial"/>
                <w:sz w:val="20"/>
                <w:szCs w:val="20"/>
              </w:rPr>
              <w:t>join</w:t>
            </w:r>
            <w:r w:rsidR="00907AC2">
              <w:rPr>
                <w:rFonts w:ascii="Arial" w:hAnsi="Arial" w:cs="Arial"/>
                <w:sz w:val="20"/>
                <w:szCs w:val="20"/>
              </w:rPr>
              <w:t>ed</w:t>
            </w:r>
            <w:r w:rsidRPr="00236E89">
              <w:rPr>
                <w:rFonts w:ascii="Arial" w:hAnsi="Arial" w:cs="Arial"/>
                <w:sz w:val="20"/>
                <w:szCs w:val="20"/>
              </w:rPr>
              <w:t xml:space="preserve"> the opinion.</w:t>
            </w:r>
            <w:r w:rsidR="002C50E2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</w:p>
          <w:p w14:paraId="2E7BF17A" w14:textId="77777777" w:rsidR="00F37460" w:rsidRDefault="00F37460" w:rsidP="0069719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B7FD8">
              <w:rPr>
                <w:rFonts w:ascii="Arial" w:hAnsi="Arial" w:cs="Arial"/>
                <w:sz w:val="20"/>
                <w:szCs w:val="20"/>
              </w:rPr>
              <w:t>Justices Donohue, Dougherty, and Wecht file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3B7FD8">
              <w:rPr>
                <w:rFonts w:ascii="Arial" w:hAnsi="Arial" w:cs="Arial"/>
                <w:sz w:val="20"/>
                <w:szCs w:val="20"/>
              </w:rPr>
              <w:t xml:space="preserve"> concurring opinions. </w:t>
            </w:r>
          </w:p>
          <w:p w14:paraId="72F0A76C" w14:textId="276309F2" w:rsidR="00F37460" w:rsidRPr="009B1A73" w:rsidRDefault="00F37460" w:rsidP="0069719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B7FD8">
              <w:rPr>
                <w:rFonts w:ascii="Arial" w:hAnsi="Arial" w:cs="Arial"/>
                <w:sz w:val="20"/>
                <w:szCs w:val="20"/>
              </w:rPr>
              <w:t>Justices Todd</w:t>
            </w:r>
            <w:r w:rsidR="00C70E9F">
              <w:rPr>
                <w:rFonts w:ascii="Arial" w:hAnsi="Arial" w:cs="Arial"/>
                <w:sz w:val="20"/>
                <w:szCs w:val="20"/>
              </w:rPr>
              <w:t xml:space="preserve"> (D)</w:t>
            </w:r>
            <w:r w:rsidRPr="003B7FD8">
              <w:rPr>
                <w:rFonts w:ascii="Arial" w:hAnsi="Arial" w:cs="Arial"/>
                <w:sz w:val="20"/>
                <w:szCs w:val="20"/>
              </w:rPr>
              <w:t>, Mundy</w:t>
            </w:r>
            <w:r w:rsidR="00C70E9F">
              <w:rPr>
                <w:rFonts w:ascii="Arial" w:hAnsi="Arial" w:cs="Arial"/>
                <w:sz w:val="20"/>
                <w:szCs w:val="20"/>
              </w:rPr>
              <w:t xml:space="preserve"> (R)</w:t>
            </w:r>
            <w:r w:rsidRPr="003B7FD8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3B7FD8">
              <w:rPr>
                <w:rFonts w:ascii="Arial" w:hAnsi="Arial" w:cs="Arial"/>
                <w:sz w:val="20"/>
                <w:szCs w:val="20"/>
              </w:rPr>
              <w:t>Brobson</w:t>
            </w:r>
            <w:proofErr w:type="spellEnd"/>
            <w:r w:rsidR="00C70E9F">
              <w:rPr>
                <w:rFonts w:ascii="Arial" w:hAnsi="Arial" w:cs="Arial"/>
                <w:sz w:val="20"/>
                <w:szCs w:val="20"/>
              </w:rPr>
              <w:t xml:space="preserve"> (R)</w:t>
            </w:r>
            <w:r w:rsidRPr="003B7FD8">
              <w:rPr>
                <w:rFonts w:ascii="Arial" w:hAnsi="Arial" w:cs="Arial"/>
                <w:sz w:val="20"/>
                <w:szCs w:val="20"/>
              </w:rPr>
              <w:t xml:space="preserve"> file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3B7FD8">
              <w:rPr>
                <w:rFonts w:ascii="Arial" w:hAnsi="Arial" w:cs="Arial"/>
                <w:sz w:val="20"/>
                <w:szCs w:val="20"/>
              </w:rPr>
              <w:t xml:space="preserve"> dissenting opinions.</w:t>
            </w:r>
          </w:p>
        </w:tc>
      </w:tr>
      <w:tr w:rsidR="00F37460" w:rsidRPr="00D73B91" w14:paraId="37413AE7" w14:textId="77777777" w:rsidTr="00372F65">
        <w:trPr>
          <w:trHeight w:val="513"/>
        </w:trPr>
        <w:tc>
          <w:tcPr>
            <w:tcW w:w="1998" w:type="dxa"/>
          </w:tcPr>
          <w:p w14:paraId="4AEA63B6" w14:textId="77777777" w:rsidR="00F37460" w:rsidRDefault="00F37460" w:rsidP="00F37460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63D06690" w:rsidR="00F37460" w:rsidRPr="00D73B91" w:rsidRDefault="00096943" w:rsidP="00F374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  <w:r w:rsidR="00F37460"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2A66052F" w14:textId="77777777" w:rsidR="00F37460" w:rsidRDefault="00F37460" w:rsidP="00F3746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0EF3D6D" w14:textId="6AEAEA47" w:rsidR="00F37460" w:rsidRDefault="00AA72DA" w:rsidP="00F3746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matter</w:t>
            </w:r>
            <w:r w:rsidR="00A76485">
              <w:rPr>
                <w:rFonts w:ascii="Arial" w:hAnsi="Arial" w:cs="Arial"/>
                <w:sz w:val="20"/>
                <w:szCs w:val="20"/>
              </w:rPr>
              <w:t xml:space="preserve"> commenced on 12/17/2021, when two separate petitions were filed.</w:t>
            </w:r>
          </w:p>
          <w:p w14:paraId="67705DA8" w14:textId="631AC6B3" w:rsidR="00A76485" w:rsidRPr="00DD6768" w:rsidRDefault="00A76485" w:rsidP="00DD676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Carter Petitioners</w:t>
            </w:r>
            <w:r w:rsidR="00DD676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D6768" w:rsidRPr="00DD6768">
              <w:rPr>
                <w:rFonts w:ascii="Arial" w:hAnsi="Arial" w:cs="Arial"/>
                <w:sz w:val="20"/>
                <w:szCs w:val="20"/>
              </w:rPr>
              <w:t>Citizens registered to vote in PA.</w:t>
            </w:r>
          </w:p>
          <w:p w14:paraId="49F2B20B" w14:textId="67845A03" w:rsidR="00A76485" w:rsidRDefault="00A76485" w:rsidP="00A7648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Gressman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Petitioners:</w:t>
            </w:r>
            <w:r w:rsidR="00DD6768">
              <w:rPr>
                <w:rFonts w:ascii="Arial" w:hAnsi="Arial" w:cs="Arial"/>
                <w:sz w:val="20"/>
                <w:szCs w:val="20"/>
              </w:rPr>
              <w:t xml:space="preserve"> Citizens registered to vote in PA and “leading professors of mathematics and science[.]”</w:t>
            </w:r>
          </w:p>
          <w:p w14:paraId="44DEB944" w14:textId="7DC25339" w:rsidR="00A76485" w:rsidRDefault="007E2E81" w:rsidP="007E2E8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E2E81">
              <w:rPr>
                <w:rFonts w:ascii="Arial" w:hAnsi="Arial" w:cs="Arial"/>
                <w:sz w:val="20"/>
                <w:szCs w:val="20"/>
              </w:rPr>
              <w:t xml:space="preserve">Petitioners claimed that the </w:t>
            </w:r>
            <w:r w:rsidR="00F30828">
              <w:rPr>
                <w:rFonts w:ascii="Arial" w:hAnsi="Arial" w:cs="Arial"/>
                <w:sz w:val="20"/>
                <w:szCs w:val="20"/>
              </w:rPr>
              <w:t>court’s congressional plan</w:t>
            </w:r>
            <w:r w:rsidRPr="007E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0828">
              <w:rPr>
                <w:rFonts w:ascii="Arial" w:hAnsi="Arial" w:cs="Arial"/>
                <w:sz w:val="20"/>
                <w:szCs w:val="20"/>
              </w:rPr>
              <w:t xml:space="preserve">adopted in </w:t>
            </w:r>
            <w:r w:rsidR="00F3082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LWV </w:t>
            </w:r>
            <w:r w:rsidR="00F30828" w:rsidRPr="00F30828">
              <w:rPr>
                <w:rFonts w:ascii="Arial" w:hAnsi="Arial" w:cs="Arial"/>
                <w:i/>
                <w:iCs/>
                <w:sz w:val="20"/>
                <w:szCs w:val="20"/>
              </w:rPr>
              <w:t>III</w:t>
            </w:r>
            <w:r w:rsidR="00F30828">
              <w:rPr>
                <w:rFonts w:ascii="Arial" w:hAnsi="Arial" w:cs="Arial"/>
                <w:sz w:val="20"/>
                <w:szCs w:val="20"/>
              </w:rPr>
              <w:t xml:space="preserve"> in 2018 (using 2010 census data) </w:t>
            </w:r>
            <w:r w:rsidRPr="00F30828">
              <w:rPr>
                <w:rFonts w:ascii="Arial" w:hAnsi="Arial" w:cs="Arial"/>
                <w:sz w:val="20"/>
                <w:szCs w:val="20"/>
              </w:rPr>
              <w:t>violated</w:t>
            </w:r>
            <w:r w:rsidRPr="007E2E81">
              <w:rPr>
                <w:rFonts w:ascii="Arial" w:hAnsi="Arial" w:cs="Arial"/>
                <w:sz w:val="20"/>
                <w:szCs w:val="20"/>
              </w:rPr>
              <w:t xml:space="preserve"> their state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2E81">
              <w:rPr>
                <w:rFonts w:ascii="Arial" w:hAnsi="Arial" w:cs="Arial"/>
                <w:sz w:val="20"/>
                <w:szCs w:val="20"/>
              </w:rPr>
              <w:t>federal rights to cast undiluted votes</w:t>
            </w:r>
            <w:r>
              <w:rPr>
                <w:rFonts w:ascii="Arial" w:hAnsi="Arial" w:cs="Arial"/>
                <w:sz w:val="20"/>
                <w:szCs w:val="20"/>
              </w:rPr>
              <w:t xml:space="preserve">, because </w:t>
            </w:r>
            <w:r w:rsidR="00F30828">
              <w:rPr>
                <w:rFonts w:ascii="Arial" w:hAnsi="Arial" w:cs="Arial"/>
                <w:sz w:val="20"/>
                <w:szCs w:val="20"/>
              </w:rPr>
              <w:t>the 2018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0828">
              <w:rPr>
                <w:rFonts w:ascii="Arial" w:hAnsi="Arial" w:cs="Arial"/>
                <w:sz w:val="20"/>
                <w:szCs w:val="20"/>
              </w:rPr>
              <w:t>Pl</w:t>
            </w:r>
            <w:r>
              <w:rPr>
                <w:rFonts w:ascii="Arial" w:hAnsi="Arial" w:cs="Arial"/>
                <w:sz w:val="20"/>
                <w:szCs w:val="20"/>
              </w:rPr>
              <w:t>an divided the Commonwealth into 18 districts</w:t>
            </w:r>
            <w:r w:rsidR="00F30828">
              <w:rPr>
                <w:rFonts w:ascii="Arial" w:hAnsi="Arial" w:cs="Arial"/>
                <w:sz w:val="20"/>
                <w:szCs w:val="20"/>
              </w:rPr>
              <w:t>—the 2020 census data reflected a population shift causing a loss of one congressional seat</w:t>
            </w:r>
            <w:r w:rsidR="00D470CC">
              <w:rPr>
                <w:rFonts w:ascii="Arial" w:hAnsi="Arial" w:cs="Arial"/>
                <w:sz w:val="20"/>
                <w:szCs w:val="20"/>
              </w:rPr>
              <w:t xml:space="preserve"> (to 17)</w:t>
            </w:r>
            <w:r w:rsidR="00F30828">
              <w:rPr>
                <w:rFonts w:ascii="Arial" w:hAnsi="Arial" w:cs="Arial"/>
                <w:sz w:val="20"/>
                <w:szCs w:val="20"/>
              </w:rPr>
              <w:t>, which rendered the 2018 Plan malapportioned.</w:t>
            </w:r>
          </w:p>
          <w:p w14:paraId="6EAEAC6A" w14:textId="12EE52BE" w:rsidR="006379AD" w:rsidRDefault="006379AD" w:rsidP="0047088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12/20/2021, the court consolidated the petitions.</w:t>
            </w:r>
          </w:p>
          <w:p w14:paraId="5BE8EE8E" w14:textId="24160BB7" w:rsidR="00151DCA" w:rsidRDefault="00151DCA" w:rsidP="007E2E8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order dated 1/14/2022, the court granted intervenor status to a variety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petitioners,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required that each submit at least one congressional plan and a supporting brief and/or expert report</w:t>
            </w:r>
            <w:r w:rsidR="00FD4C3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CC2758" w14:textId="2D96AF0B" w:rsidR="00FD4C3F" w:rsidRDefault="00FD4C3F" w:rsidP="00FD4C3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court held hearings on 1/27 and 1/28, at which numerous experts testified.</w:t>
            </w:r>
          </w:p>
          <w:p w14:paraId="08C5FF5C" w14:textId="101052BD" w:rsidR="00FD4C3F" w:rsidRDefault="004C5C91" w:rsidP="00FD4C3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order dated 2/2/2022, the court granted the Carter Petitioners’ Application for Extraordinary Relief, and, following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Mellow</w:t>
            </w:r>
            <w:r w:rsidR="007C0F3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v. Mitchell</w:t>
            </w:r>
            <w:r w:rsidR="007C0F38">
              <w:rPr>
                <w:rFonts w:ascii="Arial" w:hAnsi="Arial" w:cs="Arial"/>
                <w:sz w:val="20"/>
                <w:szCs w:val="20"/>
              </w:rPr>
              <w:t>, 607 A.2d 204 (Pa. 1992)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05C8DF" w14:textId="04664DD1" w:rsidR="004C5C91" w:rsidRDefault="004C5C91" w:rsidP="004C5C9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Designated a Special Master, the Hon. Patricia A. McCullough, who presided over the matter when the court assumed plenary jurisdiction;</w:t>
            </w:r>
            <w:r w:rsidR="00126FC6"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1626CE70" w14:textId="63C3ED51" w:rsidR="004C5C91" w:rsidRDefault="004C5C91" w:rsidP="004C5C9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Directed the Special Master to file a report containing proposed findings of fact and conclusions of law supporting her recommendation of a districting plan.</w:t>
            </w:r>
          </w:p>
          <w:p w14:paraId="6E742493" w14:textId="4F102286" w:rsidR="00126FC6" w:rsidRDefault="004D4174" w:rsidP="00126FC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2/7/2022, the Special Master submitted her report.</w:t>
            </w:r>
          </w:p>
          <w:p w14:paraId="3909545C" w14:textId="3AFF3CF4" w:rsidR="004D4174" w:rsidRDefault="004D4174" w:rsidP="004D417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Special Master received 13 plans to study, yet chose </w:t>
            </w:r>
            <w:r>
              <w:rPr>
                <w:rFonts w:ascii="Arial" w:hAnsi="Arial" w:cs="Arial"/>
                <w:sz w:val="20"/>
                <w:szCs w:val="20"/>
              </w:rPr>
              <w:t>the plan created by the PA Legislature (H.B. 2146), which the Governor previously vetoed on 1/26/2022.</w:t>
            </w:r>
          </w:p>
          <w:p w14:paraId="6CD24144" w14:textId="2454EC50" w:rsidR="004D4174" w:rsidRDefault="004D4174" w:rsidP="004D417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H.B. 2146 was given preferential treatment because “</w:t>
            </w:r>
            <w:r w:rsidRPr="004D4174">
              <w:rPr>
                <w:rFonts w:ascii="Arial" w:hAnsi="Arial" w:cs="Arial"/>
                <w:sz w:val="20"/>
                <w:szCs w:val="20"/>
              </w:rPr>
              <w:t>it is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4174">
              <w:rPr>
                <w:rFonts w:ascii="Arial" w:hAnsi="Arial" w:cs="Arial"/>
                <w:sz w:val="20"/>
                <w:szCs w:val="20"/>
              </w:rPr>
              <w:t>Assembly’s prerogative, rather its constitutional mandate, to redraw the state’s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4174">
              <w:rPr>
                <w:rFonts w:ascii="Arial" w:hAnsi="Arial" w:cs="Arial"/>
                <w:sz w:val="20"/>
                <w:szCs w:val="20"/>
              </w:rPr>
              <w:t>congressional districts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”  </w:t>
            </w:r>
          </w:p>
          <w:p w14:paraId="26E195EC" w14:textId="3C5AF945" w:rsidR="00F37460" w:rsidRPr="005B2017" w:rsidRDefault="004D4174" w:rsidP="00F3746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Various petitioners filed exceptions in </w:t>
            </w:r>
            <w:r w:rsidR="005B2DE7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court challenging the Special Master’s decision</w:t>
            </w:r>
            <w:r w:rsidR="00D576CB">
              <w:rPr>
                <w:rFonts w:ascii="Arial" w:hAnsi="Arial" w:cs="Arial"/>
                <w:sz w:val="20"/>
                <w:szCs w:val="20"/>
              </w:rPr>
              <w:t>, and a</w:t>
            </w:r>
            <w:r w:rsidR="00D576CB" w:rsidRPr="00D576CB">
              <w:rPr>
                <w:rFonts w:ascii="Arial" w:hAnsi="Arial" w:cs="Arial"/>
                <w:sz w:val="20"/>
                <w:szCs w:val="20"/>
              </w:rPr>
              <w:t>rgument was heard on 2/18/2022</w:t>
            </w:r>
            <w:r w:rsidR="005B201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96943" w:rsidRPr="00D73B91" w14:paraId="31B15346" w14:textId="77777777" w:rsidTr="00372F65">
        <w:trPr>
          <w:trHeight w:val="513"/>
        </w:trPr>
        <w:tc>
          <w:tcPr>
            <w:tcW w:w="1998" w:type="dxa"/>
          </w:tcPr>
          <w:p w14:paraId="3D0A12C1" w14:textId="77777777" w:rsidR="00096943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1D5448" w14:textId="467E501A" w:rsidR="00096943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76D3D50D" w14:textId="77777777" w:rsidR="00096943" w:rsidRDefault="00096943" w:rsidP="0009694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1736F067" w14:textId="0483DB52" w:rsidR="00096943" w:rsidRPr="00B63316" w:rsidRDefault="00942673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42673">
              <w:rPr>
                <w:rFonts w:ascii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hAnsi="Arial" w:cs="Arial"/>
                <w:sz w:val="20"/>
                <w:szCs w:val="20"/>
              </w:rPr>
              <w:t>PA</w:t>
            </w:r>
            <w:r w:rsidRPr="00942673">
              <w:rPr>
                <w:rFonts w:ascii="Arial" w:hAnsi="Arial" w:cs="Arial"/>
                <w:sz w:val="20"/>
                <w:szCs w:val="20"/>
              </w:rPr>
              <w:t xml:space="preserve"> primary and general elections for seats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2673">
              <w:rPr>
                <w:rFonts w:ascii="Arial" w:hAnsi="Arial" w:cs="Arial"/>
                <w:sz w:val="20"/>
                <w:szCs w:val="20"/>
              </w:rPr>
              <w:t xml:space="preserve">the United States House of Representatives commencing in 2022 shall be conducted </w:t>
            </w: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942673">
              <w:rPr>
                <w:rFonts w:ascii="Arial" w:hAnsi="Arial" w:cs="Arial"/>
                <w:sz w:val="20"/>
                <w:szCs w:val="20"/>
              </w:rPr>
              <w:t>accordance with the plan submitted to the Special Master by the Carter Petitioners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96943" w:rsidRPr="00D73B91" w14:paraId="0AA16A26" w14:textId="77777777" w:rsidTr="00A96AEB">
        <w:trPr>
          <w:trHeight w:val="630"/>
        </w:trPr>
        <w:tc>
          <w:tcPr>
            <w:tcW w:w="1998" w:type="dxa"/>
          </w:tcPr>
          <w:p w14:paraId="5C7D8449" w14:textId="77777777" w:rsidR="00096943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096943" w:rsidRPr="00D73B91" w:rsidRDefault="00096943" w:rsidP="0009694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096943" w:rsidRDefault="00096943" w:rsidP="0009694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0DE6C4D" w14:textId="5A7AD7C7" w:rsidR="00096943" w:rsidRDefault="00CE2D63" w:rsidP="005A13C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E2D63">
              <w:rPr>
                <w:rFonts w:ascii="Arial" w:hAnsi="Arial" w:cs="Arial"/>
                <w:sz w:val="20"/>
                <w:szCs w:val="20"/>
              </w:rPr>
              <w:t xml:space="preserve">Due to </w:t>
            </w:r>
            <w:r w:rsidR="007220AF">
              <w:rPr>
                <w:rFonts w:ascii="Arial" w:hAnsi="Arial" w:cs="Arial"/>
                <w:sz w:val="20"/>
                <w:szCs w:val="20"/>
              </w:rPr>
              <w:t>a loss</w:t>
            </w:r>
            <w:r w:rsidRPr="00CE2D63">
              <w:rPr>
                <w:rFonts w:ascii="Arial" w:hAnsi="Arial" w:cs="Arial"/>
                <w:sz w:val="20"/>
                <w:szCs w:val="20"/>
              </w:rPr>
              <w:t xml:space="preserve"> of population </w:t>
            </w:r>
            <w:r w:rsidR="00D07DF7">
              <w:rPr>
                <w:rFonts w:ascii="Arial" w:hAnsi="Arial" w:cs="Arial"/>
                <w:sz w:val="20"/>
                <w:szCs w:val="20"/>
              </w:rPr>
              <w:t>(</w:t>
            </w:r>
            <w:r w:rsidRPr="00CE2D63">
              <w:rPr>
                <w:rFonts w:ascii="Arial" w:hAnsi="Arial" w:cs="Arial"/>
                <w:sz w:val="20"/>
                <w:szCs w:val="20"/>
              </w:rPr>
              <w:t>relative to the nation</w:t>
            </w:r>
            <w:r w:rsidR="00D07DF7">
              <w:rPr>
                <w:rFonts w:ascii="Arial" w:hAnsi="Arial" w:cs="Arial"/>
                <w:sz w:val="20"/>
                <w:szCs w:val="20"/>
              </w:rPr>
              <w:t>)</w:t>
            </w:r>
            <w:r w:rsidRPr="005A13C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7583A">
              <w:rPr>
                <w:rFonts w:ascii="Arial" w:hAnsi="Arial" w:cs="Arial"/>
                <w:sz w:val="20"/>
                <w:szCs w:val="20"/>
              </w:rPr>
              <w:t>PA’s</w:t>
            </w:r>
            <w:r w:rsidRPr="005A13C9">
              <w:rPr>
                <w:rFonts w:ascii="Arial" w:hAnsi="Arial" w:cs="Arial"/>
                <w:sz w:val="20"/>
                <w:szCs w:val="20"/>
              </w:rPr>
              <w:t xml:space="preserve"> number of congressional representatives declined from</w:t>
            </w:r>
            <w:r w:rsidR="005A13C9" w:rsidRPr="005A13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13C9">
              <w:rPr>
                <w:rFonts w:ascii="Arial" w:hAnsi="Arial" w:cs="Arial"/>
                <w:sz w:val="20"/>
                <w:szCs w:val="20"/>
              </w:rPr>
              <w:t>18</w:t>
            </w:r>
            <w:r w:rsidRPr="005A13C9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5A13C9">
              <w:rPr>
                <w:rFonts w:ascii="Arial" w:hAnsi="Arial" w:cs="Arial"/>
                <w:sz w:val="20"/>
                <w:szCs w:val="20"/>
              </w:rPr>
              <w:t>17</w:t>
            </w:r>
            <w:r w:rsidR="00C774CC">
              <w:rPr>
                <w:rFonts w:ascii="Arial" w:hAnsi="Arial" w:cs="Arial"/>
                <w:sz w:val="20"/>
                <w:szCs w:val="20"/>
              </w:rPr>
              <w:t>, requiring a new congressional districting plan.</w:t>
            </w:r>
          </w:p>
          <w:p w14:paraId="16DF1E0E" w14:textId="77777777" w:rsidR="0077533F" w:rsidRDefault="004508EA" w:rsidP="00A96AE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 the General Assembly and the Governor failed to agree on a plan, the court was forced to create one.</w:t>
            </w:r>
          </w:p>
          <w:p w14:paraId="6A639D96" w14:textId="6F47218D" w:rsidR="00A96AEB" w:rsidRPr="00A96AEB" w:rsidRDefault="00A96AEB" w:rsidP="00A96AE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Issue(s) or </w:t>
            </w:r>
          </w:p>
          <w:p w14:paraId="44E250EA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752E9030" w14:textId="38DBCBC5" w:rsidR="00096943" w:rsidRPr="008D467C" w:rsidRDefault="00156FAE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  <w:tr w:rsidR="00096943" w:rsidRPr="008D467C" w14:paraId="36271834" w14:textId="77777777" w:rsidTr="00A10326">
        <w:trPr>
          <w:trHeight w:val="207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F7003AB" w14:textId="60EA6F75" w:rsidR="00023862" w:rsidRDefault="00B20FD7" w:rsidP="00174C5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 traditional districting </w:t>
            </w:r>
            <w:r w:rsidRPr="00B20FD7">
              <w:rPr>
                <w:rFonts w:ascii="Arial" w:hAnsi="Arial" w:cs="Arial"/>
                <w:sz w:val="20"/>
                <w:szCs w:val="20"/>
              </w:rPr>
              <w:t>principles</w:t>
            </w:r>
            <w:r w:rsidRPr="00B20FD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– </w:t>
            </w:r>
            <w:r w:rsidR="00023862" w:rsidRPr="00B20FD7"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023862" w:rsidRPr="00B20FD7">
              <w:rPr>
                <w:rFonts w:ascii="Arial" w:hAnsi="Arial" w:cs="Arial"/>
                <w:i/>
                <w:iCs/>
                <w:sz w:val="20"/>
                <w:szCs w:val="20"/>
              </w:rPr>
              <w:t>eague of Women Voters of Pa. v. Commonwealth</w:t>
            </w:r>
            <w:r w:rsidR="00023862" w:rsidRPr="00B20FD7">
              <w:rPr>
                <w:rFonts w:ascii="Arial" w:hAnsi="Arial" w:cs="Arial"/>
                <w:sz w:val="20"/>
                <w:szCs w:val="20"/>
              </w:rPr>
              <w:t xml:space="preserve">, 178 A.3d </w:t>
            </w:r>
            <w:r w:rsidR="00A252C1" w:rsidRPr="00B20FD7">
              <w:rPr>
                <w:rFonts w:ascii="Arial" w:hAnsi="Arial" w:cs="Arial"/>
                <w:sz w:val="20"/>
                <w:szCs w:val="20"/>
              </w:rPr>
              <w:t>737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52C1" w:rsidRPr="00B20FD7">
              <w:rPr>
                <w:rFonts w:ascii="Arial" w:hAnsi="Arial" w:cs="Arial"/>
                <w:sz w:val="20"/>
                <w:szCs w:val="20"/>
              </w:rPr>
              <w:t>(Pa. 2018) (</w:t>
            </w:r>
            <w:r w:rsidR="00A252C1" w:rsidRPr="00B20FD7">
              <w:rPr>
                <w:rFonts w:ascii="Arial" w:hAnsi="Arial" w:cs="Arial"/>
                <w:i/>
                <w:iCs/>
                <w:sz w:val="20"/>
                <w:szCs w:val="20"/>
              </w:rPr>
              <w:t>LWV II</w:t>
            </w:r>
            <w:r w:rsidR="00A252C1" w:rsidRPr="00B20FD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752D416" w14:textId="3155191C" w:rsidR="001F4E60" w:rsidRDefault="001F4E60" w:rsidP="001F4E6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use</w:t>
            </w:r>
            <w:r w:rsidR="00CD0405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B77">
              <w:rPr>
                <w:rFonts w:ascii="Arial" w:hAnsi="Arial" w:cs="Arial"/>
                <w:sz w:val="20"/>
                <w:szCs w:val="20"/>
              </w:rPr>
              <w:t>traditional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neutral criteria to determine a claim of congressional vote dilution under the Free Exercise Clause of the state charter.</w:t>
            </w:r>
          </w:p>
          <w:p w14:paraId="17E38353" w14:textId="77777777" w:rsidR="001F4E60" w:rsidRDefault="001F4E60" w:rsidP="001F4E6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7951B7">
              <w:rPr>
                <w:rFonts w:ascii="Arial" w:hAnsi="Arial" w:cs="Arial"/>
                <w:sz w:val="20"/>
                <w:szCs w:val="20"/>
              </w:rPr>
              <w:t>hese traditional core criteria provide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1B7">
              <w:rPr>
                <w:rFonts w:ascii="Arial" w:hAnsi="Arial" w:cs="Arial"/>
                <w:sz w:val="20"/>
                <w:szCs w:val="20"/>
              </w:rPr>
              <w:t>“floor” of protection against the dilution of one’s vote and that the subordination of these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1B7">
              <w:rPr>
                <w:rFonts w:ascii="Arial" w:hAnsi="Arial" w:cs="Arial"/>
                <w:sz w:val="20"/>
                <w:szCs w:val="20"/>
              </w:rPr>
              <w:t>criteria to extraneous considerations, such as partisan gerrymandering,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1B7">
              <w:rPr>
                <w:rFonts w:ascii="Arial" w:hAnsi="Arial" w:cs="Arial"/>
                <w:sz w:val="20"/>
                <w:szCs w:val="20"/>
              </w:rPr>
              <w:t>unconstitutional.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8B7B99">
              <w:rPr>
                <w:rFonts w:ascii="Arial" w:hAnsi="Arial" w:cs="Arial"/>
                <w:i/>
                <w:iCs/>
                <w:sz w:val="20"/>
                <w:szCs w:val="20"/>
              </w:rPr>
              <w:t>LWV II</w:t>
            </w:r>
            <w:r w:rsidRPr="008B7B99">
              <w:rPr>
                <w:rFonts w:ascii="Arial" w:hAnsi="Arial" w:cs="Arial"/>
                <w:sz w:val="20"/>
                <w:szCs w:val="20"/>
              </w:rPr>
              <w:t>, 178 A.3d at 81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8C178D" w14:textId="66FDCB58" w:rsidR="007951B7" w:rsidRDefault="00730202" w:rsidP="0057220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Requires</w:t>
            </w:r>
            <w:r w:rsidRPr="00730202">
              <w:rPr>
                <w:rFonts w:ascii="Arial" w:hAnsi="Arial" w:cs="Arial"/>
                <w:sz w:val="20"/>
                <w:szCs w:val="20"/>
              </w:rPr>
              <w:t xml:space="preserve"> that congressional districts be compact,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0202">
              <w:rPr>
                <w:rFonts w:ascii="Arial" w:hAnsi="Arial" w:cs="Arial"/>
                <w:sz w:val="20"/>
                <w:szCs w:val="20"/>
              </w:rPr>
              <w:t>contiguous, as nearly equal in population as practicable, and which minimize divisions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0202">
              <w:rPr>
                <w:rFonts w:ascii="Arial" w:hAnsi="Arial" w:cs="Arial"/>
                <w:sz w:val="20"/>
                <w:szCs w:val="20"/>
              </w:rPr>
              <w:t xml:space="preserve">political subdivisions, while taking into consideration the </w:t>
            </w:r>
            <w:r w:rsidRPr="00065C4F">
              <w:rPr>
                <w:rFonts w:ascii="Arial" w:hAnsi="Arial" w:cs="Arial"/>
                <w:sz w:val="20"/>
                <w:szCs w:val="20"/>
                <w:u w:val="single"/>
              </w:rPr>
              <w:t>subordinate historical</w:t>
            </w:r>
            <w:r w:rsidRPr="00065C4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065C4F">
              <w:rPr>
                <w:rFonts w:ascii="Arial" w:hAnsi="Arial" w:cs="Arial"/>
                <w:sz w:val="20"/>
                <w:szCs w:val="20"/>
                <w:u w:val="single"/>
              </w:rPr>
              <w:t>considerations</w:t>
            </w:r>
            <w:r w:rsidRPr="00730202">
              <w:rPr>
                <w:rFonts w:ascii="Arial" w:hAnsi="Arial" w:cs="Arial"/>
                <w:sz w:val="20"/>
                <w:szCs w:val="20"/>
              </w:rPr>
              <w:t>, such as communities of interests, the preservation of prior district lines,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0202">
              <w:rPr>
                <w:rFonts w:ascii="Arial" w:hAnsi="Arial" w:cs="Arial"/>
                <w:sz w:val="20"/>
                <w:szCs w:val="20"/>
              </w:rPr>
              <w:t>and the protection of incumbents</w:t>
            </w:r>
            <w:r w:rsidR="008B7B99" w:rsidRPr="0057220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16EE9B4" w14:textId="2D9F843A" w:rsidR="0042093C" w:rsidRDefault="0042093C" w:rsidP="0042093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2093C">
              <w:rPr>
                <w:rFonts w:ascii="Arial" w:hAnsi="Arial" w:cs="Arial"/>
                <w:sz w:val="20"/>
                <w:szCs w:val="20"/>
              </w:rPr>
              <w:t>Partisan fairness metrics provide tools for objective evaluation of proposed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093C">
              <w:rPr>
                <w:rFonts w:ascii="Arial" w:hAnsi="Arial" w:cs="Arial"/>
                <w:sz w:val="20"/>
                <w:szCs w:val="20"/>
              </w:rPr>
              <w:t>districting plans</w:t>
            </w:r>
            <w:r>
              <w:rPr>
                <w:rFonts w:ascii="Arial" w:hAnsi="Arial" w:cs="Arial"/>
                <w:sz w:val="20"/>
                <w:szCs w:val="20"/>
              </w:rPr>
              <w:t>, e.g., efficiency gap analysis</w:t>
            </w:r>
            <w:r w:rsidR="00065C4F">
              <w:rPr>
                <w:rFonts w:ascii="Arial" w:hAnsi="Arial" w:cs="Arial"/>
                <w:sz w:val="20"/>
                <w:szCs w:val="20"/>
              </w:rPr>
              <w:t>, etc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81E68" w14:textId="77777777" w:rsidR="00072376" w:rsidRPr="006C0DC8" w:rsidRDefault="00072376" w:rsidP="0007237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PA’s</w:t>
            </w:r>
            <w:r w:rsidRPr="006C0DC8">
              <w:rPr>
                <w:rFonts w:ascii="Arial" w:hAnsi="Arial" w:cs="Arial"/>
                <w:sz w:val="20"/>
                <w:szCs w:val="20"/>
              </w:rPr>
              <w:t xml:space="preserve"> Free and Equal Elections Clause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52E3F">
              <w:rPr>
                <w:rFonts w:ascii="Arial" w:hAnsi="Arial" w:cs="Arial"/>
                <w:smallCaps/>
                <w:sz w:val="20"/>
                <w:szCs w:val="20"/>
              </w:rPr>
              <w:t>Pa</w:t>
            </w:r>
            <w:r w:rsidRPr="003942F0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3942F0">
              <w:rPr>
                <w:rFonts w:ascii="Arial" w:hAnsi="Arial" w:cs="Arial"/>
                <w:smallCaps/>
                <w:sz w:val="20"/>
                <w:szCs w:val="20"/>
              </w:rPr>
              <w:t>Const</w:t>
            </w:r>
            <w:r w:rsidRPr="003942F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942F0">
              <w:rPr>
                <w:rFonts w:ascii="Arial" w:hAnsi="Arial" w:cs="Arial"/>
                <w:sz w:val="20"/>
                <w:szCs w:val="20"/>
              </w:rPr>
              <w:t xml:space="preserve"> art. I, § 5.</w:t>
            </w:r>
          </w:p>
          <w:p w14:paraId="1B232CDD" w14:textId="77777777" w:rsidR="00072376" w:rsidRDefault="00072376" w:rsidP="0007237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942F0">
              <w:rPr>
                <w:rFonts w:ascii="Arial" w:hAnsi="Arial" w:cs="Arial"/>
                <w:sz w:val="20"/>
                <w:szCs w:val="20"/>
              </w:rPr>
              <w:t>“Elections shall be free and equal;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42F0">
              <w:rPr>
                <w:rFonts w:ascii="Arial" w:hAnsi="Arial" w:cs="Arial"/>
                <w:sz w:val="20"/>
                <w:szCs w:val="20"/>
              </w:rPr>
              <w:t>and no power, civil or military, shall at any time interfere to prevent the free exercise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42F0">
              <w:rPr>
                <w:rFonts w:ascii="Arial" w:hAnsi="Arial" w:cs="Arial"/>
                <w:sz w:val="20"/>
                <w:szCs w:val="20"/>
              </w:rPr>
              <w:t xml:space="preserve">the right of suffrage.”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7665B1" w14:textId="2EB9382C" w:rsidR="00072376" w:rsidRPr="00072376" w:rsidRDefault="00072376" w:rsidP="0007237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C0DC8">
              <w:rPr>
                <w:rFonts w:ascii="Arial" w:hAnsi="Arial" w:cs="Arial"/>
                <w:sz w:val="20"/>
                <w:szCs w:val="20"/>
              </w:rPr>
              <w:t xml:space="preserve">Must </w:t>
            </w:r>
            <w:r w:rsidRPr="00615943">
              <w:rPr>
                <w:rFonts w:ascii="Arial" w:hAnsi="Arial" w:cs="Arial"/>
                <w:sz w:val="20"/>
                <w:szCs w:val="20"/>
              </w:rPr>
              <w:t>not dilute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0DC8">
              <w:rPr>
                <w:rFonts w:ascii="Arial" w:hAnsi="Arial" w:cs="Arial"/>
                <w:sz w:val="20"/>
                <w:szCs w:val="20"/>
              </w:rPr>
              <w:t>the potency of an individual’s ability to select the congressional</w:t>
            </w:r>
            <w:r w:rsidRPr="00174C5F">
              <w:rPr>
                <w:rFonts w:ascii="Arial" w:hAnsi="Arial" w:cs="Arial"/>
                <w:sz w:val="20"/>
                <w:szCs w:val="20"/>
              </w:rPr>
              <w:t xml:space="preserve"> representative of his or her choice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LWV II</w:t>
            </w:r>
            <w:r>
              <w:rPr>
                <w:rFonts w:ascii="Arial" w:hAnsi="Arial" w:cs="Arial"/>
                <w:sz w:val="20"/>
                <w:szCs w:val="20"/>
              </w:rPr>
              <w:t>, 178 A. 3d at 816.</w:t>
            </w:r>
          </w:p>
          <w:p w14:paraId="65948C96" w14:textId="46508802" w:rsidR="00096943" w:rsidRDefault="00174C5F" w:rsidP="00174C5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74C5F">
              <w:rPr>
                <w:rFonts w:ascii="Arial" w:hAnsi="Arial" w:cs="Arial"/>
                <w:sz w:val="20"/>
                <w:szCs w:val="20"/>
              </w:rPr>
              <w:t>Voting Rights Act, 52 U.S.C. § 10301.</w:t>
            </w:r>
            <w:r w:rsidR="0034558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FF57219" w14:textId="5B29970C" w:rsidR="006C7F2E" w:rsidRPr="00174C5F" w:rsidRDefault="006C7F2E" w:rsidP="006C7F2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6EAC0DAF" w14:textId="77777777" w:rsidTr="00EF7CAB">
        <w:trPr>
          <w:trHeight w:val="71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47D26CFD" w14:textId="2CE6CB81" w:rsidR="00096943" w:rsidRPr="002E0856" w:rsidRDefault="00156FAE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  <w:tr w:rsidR="00096943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096943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096943" w:rsidRDefault="00096943" w:rsidP="0009694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E4A8007" w14:textId="07703002" w:rsidR="004437CD" w:rsidRDefault="009F3901" w:rsidP="002D6F2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rejected the Special Master’s recommendation,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focussing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2E61">
              <w:rPr>
                <w:rFonts w:ascii="Arial" w:hAnsi="Arial" w:cs="Arial"/>
                <w:sz w:val="20"/>
                <w:szCs w:val="20"/>
              </w:rPr>
              <w:t>on 3</w:t>
            </w:r>
            <w:r w:rsidR="009F33C9">
              <w:rPr>
                <w:rFonts w:ascii="Arial" w:hAnsi="Arial" w:cs="Arial"/>
                <w:sz w:val="20"/>
                <w:szCs w:val="20"/>
              </w:rPr>
              <w:t xml:space="preserve"> aspects of her analysis</w:t>
            </w:r>
            <w:r w:rsidR="00A32E6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90A1E07" w14:textId="25F2A603" w:rsidR="00650E13" w:rsidRPr="00D17059" w:rsidRDefault="00D17059" w:rsidP="00D170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="00A32E61">
              <w:rPr>
                <w:rFonts w:ascii="Arial" w:hAnsi="Arial" w:cs="Arial"/>
                <w:sz w:val="20"/>
                <w:szCs w:val="20"/>
              </w:rPr>
              <w:t>Partisan Advantage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 xml:space="preserve">Court rejected 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>the Special Master’s conclusion that certain plans improperly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>yielded a partisan advantage to the Democratic Party contrary to Pennsylvania’s political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63" w:rsidRPr="00D17059">
              <w:rPr>
                <w:rFonts w:ascii="Arial" w:hAnsi="Arial" w:cs="Arial"/>
                <w:sz w:val="20"/>
                <w:szCs w:val="20"/>
              </w:rPr>
              <w:t>geography</w:t>
            </w:r>
            <w:r w:rsidR="00650E13" w:rsidRPr="00D170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EF3CED" w14:textId="73417D86" w:rsidR="00B61360" w:rsidRPr="00B61360" w:rsidRDefault="00650E13" w:rsidP="00D1705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 xml:space="preserve">hile discounting </w:t>
            </w:r>
            <w:r w:rsidR="00B61360">
              <w:rPr>
                <w:rFonts w:ascii="Arial" w:hAnsi="Arial" w:cs="Arial"/>
                <w:sz w:val="20"/>
                <w:szCs w:val="20"/>
              </w:rPr>
              <w:t>6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 xml:space="preserve"> maps</w:t>
            </w:r>
            <w:r w:rsidR="00B613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>due to the absence of a sufficient “Republican tilt,” the Special Master credited H.B. 2146</w:t>
            </w:r>
            <w:r w:rsidR="00B613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>for the same attribute, observing that the Republican majority in the General Assembly</w:t>
            </w:r>
            <w:r w:rsidR="00B613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>“developed and proposed a plan, H.B. 2146, that favors Democrats, which ultimately</w:t>
            </w:r>
            <w:r w:rsidR="00B613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1360" w:rsidRPr="00B61360">
              <w:rPr>
                <w:rFonts w:ascii="Arial" w:hAnsi="Arial" w:cs="Arial"/>
                <w:sz w:val="20"/>
                <w:szCs w:val="20"/>
              </w:rPr>
              <w:t>underscores the partisan fairness of the plan.</w:t>
            </w:r>
            <w:r w:rsidR="004B493D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2C44D4D" w14:textId="1B3374B9" w:rsidR="00A32E61" w:rsidRPr="00443FB9" w:rsidRDefault="00756599" w:rsidP="00B85DA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Ultimately, c</w:t>
            </w:r>
            <w:r w:rsidR="00443FB9" w:rsidRPr="00443FB9">
              <w:rPr>
                <w:rFonts w:ascii="Arial" w:hAnsi="Arial" w:cs="Arial"/>
                <w:sz w:val="20"/>
                <w:szCs w:val="20"/>
              </w:rPr>
              <w:t>onsideration of partisan fairness, when selecting a plan among several</w:t>
            </w:r>
            <w:r w:rsidR="00443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3FB9" w:rsidRPr="00443FB9">
              <w:rPr>
                <w:rFonts w:ascii="Arial" w:hAnsi="Arial" w:cs="Arial"/>
                <w:sz w:val="20"/>
                <w:szCs w:val="20"/>
              </w:rPr>
              <w:t>that meet the traditional core criteria, is necessary to ensure that a congressional plan is</w:t>
            </w:r>
            <w:r w:rsidR="00443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3FB9" w:rsidRPr="00443FB9">
              <w:rPr>
                <w:rFonts w:ascii="Arial" w:hAnsi="Arial" w:cs="Arial"/>
                <w:sz w:val="20"/>
                <w:szCs w:val="20"/>
              </w:rPr>
              <w:t xml:space="preserve">reflective of and responsive to </w:t>
            </w:r>
            <w:r w:rsidR="00443FB9" w:rsidRPr="00443FB9">
              <w:rPr>
                <w:rFonts w:ascii="Arial" w:hAnsi="Arial" w:cs="Arial"/>
                <w:sz w:val="20"/>
                <w:szCs w:val="20"/>
              </w:rPr>
              <w:lastRenderedPageBreak/>
              <w:t>the partisan preferences of the Commonwealth’s voters</w:t>
            </w:r>
            <w:r w:rsidR="008573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BBFE4A" w14:textId="4BC95AEA" w:rsidR="00274E03" w:rsidRDefault="00D17059" w:rsidP="00D170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274E03">
              <w:rPr>
                <w:rFonts w:ascii="Arial" w:hAnsi="Arial" w:cs="Arial"/>
                <w:sz w:val="20"/>
                <w:szCs w:val="20"/>
              </w:rPr>
              <w:t>Population Deviation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 xml:space="preserve">Court rejected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the Special Master’s finding that certain plans failed to achieve a maximum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population deviation of one person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6B19369" w14:textId="269EB383" w:rsidR="00D17059" w:rsidRDefault="00D33636" w:rsidP="00D3363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D33636">
              <w:rPr>
                <w:rFonts w:ascii="Arial" w:hAnsi="Arial" w:cs="Arial"/>
                <w:sz w:val="20"/>
                <w:szCs w:val="20"/>
              </w:rPr>
              <w:t>hile the districts in most of the plans deviated by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636">
              <w:rPr>
                <w:rFonts w:ascii="Arial" w:hAnsi="Arial" w:cs="Arial"/>
                <w:sz w:val="20"/>
                <w:szCs w:val="20"/>
              </w:rPr>
              <w:t>only one person, the two discounted plans deviated from the ideal district population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636">
              <w:rPr>
                <w:rFonts w:ascii="Arial" w:hAnsi="Arial" w:cs="Arial"/>
                <w:sz w:val="20"/>
                <w:szCs w:val="20"/>
              </w:rPr>
              <w:t>764,865 by plus one person or minus one person.</w:t>
            </w:r>
          </w:p>
          <w:p w14:paraId="31597F6F" w14:textId="7C7E5D7D" w:rsidR="007009F8" w:rsidRPr="007009F8" w:rsidRDefault="007009F8" w:rsidP="007009F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7009F8">
              <w:rPr>
                <w:rFonts w:ascii="Arial" w:hAnsi="Arial" w:cs="Arial"/>
                <w:sz w:val="20"/>
                <w:szCs w:val="20"/>
              </w:rPr>
              <w:t>t was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09F8">
              <w:rPr>
                <w:rFonts w:ascii="Arial" w:hAnsi="Arial" w:cs="Arial"/>
                <w:sz w:val="20"/>
                <w:szCs w:val="20"/>
              </w:rPr>
              <w:t>improper to discredit these two plans without considering the reasons for the minor</w:t>
            </w:r>
            <w:r>
              <w:rPr>
                <w:rFonts w:ascii="Arial" w:hAnsi="Arial" w:cs="Arial"/>
                <w:sz w:val="20"/>
                <w:szCs w:val="20"/>
              </w:rPr>
              <w:t xml:space="preserve"> deviation.</w:t>
            </w:r>
          </w:p>
          <w:p w14:paraId="3B8BE6BD" w14:textId="39277DF7" w:rsidR="00274E03" w:rsidRPr="00D17059" w:rsidRDefault="00D17059" w:rsidP="00D1705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274E03">
              <w:rPr>
                <w:rFonts w:ascii="Arial" w:hAnsi="Arial" w:cs="Arial"/>
                <w:sz w:val="20"/>
                <w:szCs w:val="20"/>
              </w:rPr>
              <w:t>Preferential Treatment of H.B. 214</w:t>
            </w:r>
            <w:r>
              <w:rPr>
                <w:rFonts w:ascii="Arial" w:hAnsi="Arial" w:cs="Arial"/>
                <w:sz w:val="20"/>
                <w:szCs w:val="20"/>
              </w:rPr>
              <w:t xml:space="preserve">6: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 xml:space="preserve">Court rejected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the Special Master’s preferential treatment of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H.B. 2146</w:t>
            </w:r>
            <w:r w:rsidR="00274E03" w:rsidRPr="00D1705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3F1CB2" w14:textId="0BC1936D" w:rsidR="00134B9C" w:rsidRDefault="00732ABB" w:rsidP="00732AB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32ABB">
              <w:rPr>
                <w:rFonts w:ascii="Arial" w:hAnsi="Arial" w:cs="Arial"/>
                <w:sz w:val="20"/>
                <w:szCs w:val="20"/>
              </w:rPr>
              <w:t>To the extent that the Special Master’s recommendation was premised upon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2ABB">
              <w:rPr>
                <w:rFonts w:ascii="Arial" w:hAnsi="Arial" w:cs="Arial"/>
                <w:sz w:val="20"/>
                <w:szCs w:val="20"/>
              </w:rPr>
              <w:t>bestowing H.B. 2146 preferential treatment simply because it had made it partway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2ABB">
              <w:rPr>
                <w:rFonts w:ascii="Arial" w:hAnsi="Arial" w:cs="Arial"/>
                <w:sz w:val="20"/>
                <w:szCs w:val="20"/>
              </w:rPr>
              <w:t xml:space="preserve">through the legislative process, </w:t>
            </w:r>
            <w:r>
              <w:rPr>
                <w:rFonts w:ascii="Arial" w:hAnsi="Arial" w:cs="Arial"/>
                <w:sz w:val="20"/>
                <w:szCs w:val="20"/>
              </w:rPr>
              <w:t>[the court]</w:t>
            </w:r>
            <w:r w:rsidRPr="00732ABB">
              <w:rPr>
                <w:rFonts w:ascii="Arial" w:hAnsi="Arial" w:cs="Arial"/>
                <w:sz w:val="20"/>
                <w:szCs w:val="20"/>
              </w:rPr>
              <w:t xml:space="preserve"> reject</w:t>
            </w:r>
            <w:r>
              <w:rPr>
                <w:rFonts w:ascii="Arial" w:hAnsi="Arial" w:cs="Arial"/>
                <w:sz w:val="20"/>
                <w:szCs w:val="20"/>
              </w:rPr>
              <w:t>[s]</w:t>
            </w:r>
            <w:r w:rsidRPr="00732ABB">
              <w:rPr>
                <w:rFonts w:ascii="Arial" w:hAnsi="Arial" w:cs="Arial"/>
                <w:sz w:val="20"/>
                <w:szCs w:val="20"/>
              </w:rPr>
              <w:t xml:space="preserve"> her endorsement of this plan on this basis alone.</w:t>
            </w:r>
          </w:p>
          <w:p w14:paraId="1C417984" w14:textId="0F3EB369" w:rsidR="00570BD6" w:rsidRDefault="008930C1" w:rsidP="00732AB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</w:t>
            </w:r>
            <w:r w:rsidR="008023D0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>
              <w:rPr>
                <w:rFonts w:ascii="Arial" w:hAnsi="Arial" w:cs="Arial"/>
                <w:sz w:val="20"/>
                <w:szCs w:val="20"/>
              </w:rPr>
              <w:t xml:space="preserve"> distinguished from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Upham </w:t>
            </w:r>
            <w:r w:rsidR="0069717A">
              <w:rPr>
                <w:rFonts w:ascii="Arial" w:hAnsi="Arial" w:cs="Arial"/>
                <w:sz w:val="20"/>
                <w:szCs w:val="20"/>
              </w:rPr>
              <w:t>which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Special Master relied upon because</w:t>
            </w:r>
            <w:r w:rsidR="000F7881">
              <w:rPr>
                <w:rFonts w:ascii="Arial" w:hAnsi="Arial" w:cs="Arial"/>
                <w:sz w:val="20"/>
                <w:szCs w:val="20"/>
              </w:rPr>
              <w:t xml:space="preserve"> here</w:t>
            </w:r>
            <w:r>
              <w:rPr>
                <w:rFonts w:ascii="Arial" w:hAnsi="Arial" w:cs="Arial"/>
                <w:sz w:val="20"/>
                <w:szCs w:val="20"/>
              </w:rPr>
              <w:t>, the Governor vetoed the plan.</w:t>
            </w:r>
          </w:p>
          <w:p w14:paraId="737586F4" w14:textId="6EEB1619" w:rsidR="008E628A" w:rsidRPr="008E628A" w:rsidRDefault="008E628A" w:rsidP="008E628A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E628A">
              <w:rPr>
                <w:rFonts w:ascii="Arial" w:hAnsi="Arial" w:cs="Arial"/>
                <w:sz w:val="20"/>
                <w:szCs w:val="20"/>
              </w:rPr>
              <w:t>Special Master improperly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628A">
              <w:rPr>
                <w:rFonts w:ascii="Arial" w:hAnsi="Arial" w:cs="Arial"/>
                <w:sz w:val="20"/>
                <w:szCs w:val="20"/>
              </w:rPr>
              <w:t>elevated the General Assembly’s role in passing legislation over that of the Executive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628A">
              <w:rPr>
                <w:rFonts w:ascii="Arial" w:hAnsi="Arial" w:cs="Arial"/>
                <w:sz w:val="20"/>
                <w:szCs w:val="20"/>
              </w:rPr>
              <w:t>Branch</w:t>
            </w:r>
            <w:r>
              <w:rPr>
                <w:rFonts w:ascii="Arial" w:hAnsi="Arial" w:cs="Arial"/>
                <w:sz w:val="20"/>
                <w:szCs w:val="20"/>
              </w:rPr>
              <w:t>, departing from checks and balances.</w:t>
            </w:r>
          </w:p>
          <w:p w14:paraId="2FB42327" w14:textId="77777777" w:rsidR="003D336C" w:rsidRDefault="003D336C" w:rsidP="003D336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Although the </w:t>
            </w:r>
            <w:r w:rsidRPr="002D6F29">
              <w:rPr>
                <w:rFonts w:ascii="Arial" w:hAnsi="Arial" w:cs="Arial"/>
                <w:sz w:val="20"/>
                <w:szCs w:val="20"/>
              </w:rPr>
              <w:t>redistricting of congressional districts falls squarely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F29">
              <w:rPr>
                <w:rFonts w:ascii="Arial" w:hAnsi="Arial" w:cs="Arial"/>
                <w:sz w:val="20"/>
                <w:szCs w:val="20"/>
              </w:rPr>
              <w:t xml:space="preserve">within the purview of the General Assembly, U.S. </w:t>
            </w:r>
            <w:r w:rsidRPr="00367B64">
              <w:rPr>
                <w:rFonts w:ascii="Arial" w:hAnsi="Arial" w:cs="Arial"/>
                <w:smallCaps/>
                <w:sz w:val="20"/>
                <w:szCs w:val="20"/>
              </w:rPr>
              <w:t>Const</w:t>
            </w:r>
            <w:r w:rsidRPr="002D6F29">
              <w:rPr>
                <w:rFonts w:ascii="Arial" w:hAnsi="Arial" w:cs="Arial"/>
                <w:sz w:val="20"/>
                <w:szCs w:val="20"/>
              </w:rPr>
              <w:t xml:space="preserve">., art. I, § 4, cl. 1, </w:t>
            </w:r>
            <w:r>
              <w:rPr>
                <w:rFonts w:ascii="Arial" w:hAnsi="Arial" w:cs="Arial"/>
                <w:sz w:val="20"/>
                <w:szCs w:val="20"/>
              </w:rPr>
              <w:t>the court</w:t>
            </w:r>
            <w:r w:rsidRPr="002D6F29">
              <w:rPr>
                <w:rFonts w:ascii="Arial" w:hAnsi="Arial" w:cs="Arial"/>
                <w:sz w:val="20"/>
                <w:szCs w:val="20"/>
              </w:rPr>
              <w:t xml:space="preserve"> ha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D6F2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2D6F29">
              <w:rPr>
                <w:rFonts w:ascii="Arial" w:hAnsi="Arial" w:cs="Arial"/>
                <w:sz w:val="20"/>
                <w:szCs w:val="20"/>
              </w:rPr>
              <w:t>fulfilled</w:t>
            </w:r>
            <w:r>
              <w:rPr>
                <w:rFonts w:ascii="Arial" w:hAnsi="Arial" w:cs="Arial"/>
                <w:sz w:val="20"/>
                <w:szCs w:val="20"/>
              </w:rPr>
              <w:t xml:space="preserve"> [its]</w:t>
            </w:r>
            <w:r w:rsidRPr="002D6F29">
              <w:rPr>
                <w:rFonts w:ascii="Arial" w:hAnsi="Arial" w:cs="Arial"/>
                <w:sz w:val="20"/>
                <w:szCs w:val="20"/>
              </w:rPr>
              <w:t xml:space="preserve"> obligation to select a redistricting plan only because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F29">
              <w:rPr>
                <w:rFonts w:ascii="Arial" w:hAnsi="Arial" w:cs="Arial"/>
                <w:sz w:val="20"/>
                <w:szCs w:val="20"/>
              </w:rPr>
              <w:t>Legislature was unable to 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6F29">
              <w:rPr>
                <w:rFonts w:ascii="Arial" w:hAnsi="Arial" w:cs="Arial"/>
                <w:sz w:val="20"/>
                <w:szCs w:val="20"/>
              </w:rPr>
              <w:t>so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4D1CF4AA" w14:textId="7FC063CF" w:rsidR="002379BA" w:rsidRDefault="00F779BA" w:rsidP="00875A2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3D336C">
              <w:rPr>
                <w:rFonts w:ascii="Arial" w:hAnsi="Arial" w:cs="Arial"/>
                <w:sz w:val="20"/>
                <w:szCs w:val="20"/>
              </w:rPr>
              <w:t>H</w:t>
            </w:r>
            <w:r w:rsidR="003D336C" w:rsidRPr="003D336C">
              <w:rPr>
                <w:rFonts w:ascii="Arial" w:hAnsi="Arial" w:cs="Arial"/>
                <w:sz w:val="20"/>
                <w:szCs w:val="20"/>
              </w:rPr>
              <w:t>aving been thrust into the position of choosing a redistricting plan due to</w:t>
            </w:r>
            <w:r w:rsidR="003D33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36C" w:rsidRPr="003D336C">
              <w:rPr>
                <w:rFonts w:ascii="Arial" w:hAnsi="Arial" w:cs="Arial"/>
                <w:sz w:val="20"/>
                <w:szCs w:val="20"/>
              </w:rPr>
              <w:t>the political stalemate between the Legislature and the Governor, we applied the</w:t>
            </w:r>
            <w:r w:rsidR="00875A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36C" w:rsidRPr="00875A23">
              <w:rPr>
                <w:rFonts w:ascii="Arial" w:hAnsi="Arial" w:cs="Arial"/>
                <w:sz w:val="20"/>
                <w:szCs w:val="20"/>
              </w:rPr>
              <w:t>aforementioned designated criteria and considerations and selected the Carter Plan</w:t>
            </w:r>
            <w:r w:rsidR="00875A2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12C1F4B0" w14:textId="1F5039B3" w:rsidR="00362FC3" w:rsidRDefault="00B85E40" w:rsidP="00B85E4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court did</w:t>
            </w:r>
            <w:r w:rsidRPr="00B85E40">
              <w:rPr>
                <w:rFonts w:ascii="Arial" w:hAnsi="Arial" w:cs="Arial"/>
                <w:sz w:val="20"/>
                <w:szCs w:val="20"/>
              </w:rPr>
              <w:t xml:space="preserve"> not select the Carter Plan because i</w:t>
            </w:r>
            <w:r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B85E40">
              <w:rPr>
                <w:rFonts w:ascii="Arial" w:hAnsi="Arial" w:cs="Arial"/>
                <w:sz w:val="20"/>
                <w:szCs w:val="20"/>
              </w:rPr>
              <w:t>utilized the least change approach</w:t>
            </w:r>
            <w:r>
              <w:rPr>
                <w:rFonts w:ascii="Arial" w:hAnsi="Arial" w:cs="Arial"/>
                <w:sz w:val="20"/>
                <w:szCs w:val="20"/>
              </w:rPr>
              <w:t xml:space="preserve"> (although that was deemed a reasonable starting point)</w:t>
            </w:r>
            <w:r w:rsidRPr="00B85E40">
              <w:rPr>
                <w:rFonts w:ascii="Arial" w:hAnsi="Arial" w:cs="Arial"/>
                <w:sz w:val="20"/>
                <w:szCs w:val="20"/>
              </w:rPr>
              <w:t xml:space="preserve"> but because the least change approach </w:t>
            </w:r>
            <w:r w:rsidR="001C59EC">
              <w:rPr>
                <w:rFonts w:ascii="Arial" w:hAnsi="Arial" w:cs="Arial"/>
                <w:sz w:val="20"/>
                <w:szCs w:val="20"/>
              </w:rPr>
              <w:t>“</w:t>
            </w:r>
            <w:r w:rsidRPr="00B85E40">
              <w:rPr>
                <w:rFonts w:ascii="Arial" w:hAnsi="Arial" w:cs="Arial"/>
                <w:sz w:val="20"/>
                <w:szCs w:val="20"/>
              </w:rPr>
              <w:t>worked in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5E40">
              <w:rPr>
                <w:rFonts w:ascii="Arial" w:hAnsi="Arial" w:cs="Arial"/>
                <w:sz w:val="20"/>
                <w:szCs w:val="20"/>
              </w:rPr>
              <w:t>case to produce a map that satisfies the requisite traditional core criteria while balancing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5E40">
              <w:rPr>
                <w:rFonts w:ascii="Arial" w:hAnsi="Arial" w:cs="Arial"/>
                <w:sz w:val="20"/>
                <w:szCs w:val="20"/>
              </w:rPr>
              <w:t>the subordinate historical considerations and resulted in a plan that is reflective of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5E40">
              <w:rPr>
                <w:rFonts w:ascii="Arial" w:hAnsi="Arial" w:cs="Arial"/>
                <w:sz w:val="20"/>
                <w:szCs w:val="20"/>
              </w:rPr>
              <w:t>responsive to the partisan preferences of the Commonwealth’s voters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C59EC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2CF2EDC" w14:textId="207EBCC6" w:rsidR="00A965D3" w:rsidRDefault="001423EE" w:rsidP="00A965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17 districts are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contiguous;</w:t>
            </w:r>
            <w:proofErr w:type="gramEnd"/>
          </w:p>
          <w:p w14:paraId="482E2756" w14:textId="264A08AA" w:rsidR="001423EE" w:rsidRDefault="001423EE" w:rsidP="00A965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Although slightly less compact than other plans</w:t>
            </w:r>
            <w:r w:rsidR="00DF43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due to </w:t>
            </w:r>
            <w:r w:rsidR="00DF430C">
              <w:rPr>
                <w:rFonts w:ascii="Arial" w:hAnsi="Arial" w:cs="Arial"/>
                <w:sz w:val="20"/>
                <w:szCs w:val="20"/>
              </w:rPr>
              <w:t>the</w:t>
            </w:r>
            <w:r w:rsidR="001F7992">
              <w:rPr>
                <w:rFonts w:ascii="Arial" w:hAnsi="Arial" w:cs="Arial"/>
                <w:sz w:val="20"/>
                <w:szCs w:val="20"/>
              </w:rPr>
              <w:t xml:space="preserve"> plan’s</w:t>
            </w:r>
            <w:r w:rsidR="00DF430C">
              <w:rPr>
                <w:rFonts w:ascii="Arial" w:hAnsi="Arial" w:cs="Arial"/>
                <w:sz w:val="20"/>
                <w:szCs w:val="20"/>
              </w:rPr>
              <w:t xml:space="preserve"> favorable </w:t>
            </w:r>
            <w:r>
              <w:rPr>
                <w:rFonts w:ascii="Arial" w:hAnsi="Arial" w:cs="Arial"/>
                <w:sz w:val="20"/>
                <w:szCs w:val="20"/>
              </w:rPr>
              <w:t>consideration of existing political subdivisions</w:t>
            </w:r>
            <w:r w:rsidR="005F52E2">
              <w:rPr>
                <w:rFonts w:ascii="Arial" w:hAnsi="Arial" w:cs="Arial"/>
                <w:sz w:val="20"/>
                <w:szCs w:val="20"/>
              </w:rPr>
              <w:t xml:space="preserve"> (e.g., keeping Pittsburgh within a single district)</w:t>
            </w:r>
            <w:r w:rsidR="00DF430C">
              <w:rPr>
                <w:rFonts w:ascii="Arial" w:hAnsi="Arial" w:cs="Arial"/>
                <w:sz w:val="20"/>
                <w:szCs w:val="20"/>
              </w:rPr>
              <w:t xml:space="preserve">, such a reason is sufficiently </w:t>
            </w:r>
            <w:proofErr w:type="gramStart"/>
            <w:r w:rsidR="00DF430C">
              <w:rPr>
                <w:rFonts w:ascii="Arial" w:hAnsi="Arial" w:cs="Arial"/>
                <w:sz w:val="20"/>
                <w:szCs w:val="20"/>
              </w:rPr>
              <w:t>justifiable</w:t>
            </w:r>
            <w:r w:rsidR="00D43CAE">
              <w:rPr>
                <w:rFonts w:ascii="Arial" w:hAnsi="Arial" w:cs="Arial"/>
                <w:sz w:val="20"/>
                <w:szCs w:val="20"/>
              </w:rPr>
              <w:t>;</w:t>
            </w:r>
            <w:proofErr w:type="gramEnd"/>
          </w:p>
          <w:p w14:paraId="013B3023" w14:textId="6DBD431C" w:rsidR="00D43CAE" w:rsidRDefault="00D43CAE" w:rsidP="00A965D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plan was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equipopulous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having a maximum deviation of two persons, and satisfies the constitutional requirement of achieving equal population “as nearly as is practicable.”</w:t>
            </w:r>
          </w:p>
          <w:p w14:paraId="10C47E37" w14:textId="5DA85548" w:rsidR="008527AE" w:rsidRDefault="008527AE" w:rsidP="008527A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Even if challenged in arguendo, the plan </w:t>
            </w:r>
            <w:r w:rsidR="00B94C81">
              <w:rPr>
                <w:rFonts w:ascii="Arial" w:hAnsi="Arial" w:cs="Arial"/>
                <w:sz w:val="20"/>
                <w:szCs w:val="20"/>
              </w:rPr>
              <w:t>would be</w:t>
            </w:r>
            <w:r>
              <w:rPr>
                <w:rFonts w:ascii="Arial" w:hAnsi="Arial" w:cs="Arial"/>
                <w:sz w:val="20"/>
                <w:szCs w:val="20"/>
              </w:rPr>
              <w:t xml:space="preserve"> sufficiently justified, because </w:t>
            </w:r>
            <w:r w:rsidRPr="008527AE">
              <w:rPr>
                <w:rFonts w:ascii="Arial" w:hAnsi="Arial" w:cs="Arial"/>
                <w:sz w:val="20"/>
                <w:szCs w:val="20"/>
              </w:rPr>
              <w:t>attempts to reach zero deviation required not only the manipulation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527AE">
              <w:rPr>
                <w:rFonts w:ascii="Arial" w:hAnsi="Arial" w:cs="Arial"/>
                <w:sz w:val="20"/>
                <w:szCs w:val="20"/>
              </w:rPr>
              <w:t>of several census blocks</w:t>
            </w:r>
            <w:r>
              <w:rPr>
                <w:rFonts w:ascii="Arial" w:hAnsi="Arial" w:cs="Arial"/>
                <w:sz w:val="20"/>
                <w:szCs w:val="20"/>
              </w:rPr>
              <w:t>, but a split between Districts 3 and 5</w:t>
            </w:r>
            <w:r w:rsidR="003B7601">
              <w:rPr>
                <w:rFonts w:ascii="Arial" w:hAnsi="Arial" w:cs="Arial"/>
                <w:sz w:val="20"/>
                <w:szCs w:val="20"/>
              </w:rPr>
              <w:t xml:space="preserve"> in South Philadelphia. </w:t>
            </w:r>
          </w:p>
          <w:p w14:paraId="1DDCA644" w14:textId="46574F72" w:rsidR="00CB6C1D" w:rsidRDefault="00CB6C1D" w:rsidP="008527A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plan represents a good-faith </w:t>
            </w:r>
            <w:r w:rsidR="00DD758F">
              <w:rPr>
                <w:rFonts w:ascii="Arial" w:hAnsi="Arial" w:cs="Arial"/>
                <w:sz w:val="20"/>
                <w:szCs w:val="20"/>
              </w:rPr>
              <w:t>effort,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the deviation was solely to </w:t>
            </w:r>
            <w:r w:rsidR="009F7767">
              <w:rPr>
                <w:rFonts w:ascii="Arial" w:hAnsi="Arial" w:cs="Arial"/>
                <w:sz w:val="20"/>
                <w:szCs w:val="20"/>
              </w:rPr>
              <w:t>limit the number of</w:t>
            </w:r>
            <w:r>
              <w:rPr>
                <w:rFonts w:ascii="Arial" w:hAnsi="Arial" w:cs="Arial"/>
                <w:sz w:val="20"/>
                <w:szCs w:val="20"/>
              </w:rPr>
              <w:t xml:space="preserve"> splits.</w:t>
            </w:r>
          </w:p>
          <w:p w14:paraId="1E8F9E36" w14:textId="271529A3" w:rsidR="00476206" w:rsidRDefault="00476206" w:rsidP="0047620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76206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>
              <w:rPr>
                <w:rFonts w:ascii="Arial" w:hAnsi="Arial" w:cs="Arial"/>
                <w:sz w:val="20"/>
                <w:szCs w:val="20"/>
              </w:rPr>
              <w:t>the court did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 not opine as to which</w:t>
            </w:r>
            <w:r>
              <w:rPr>
                <w:rFonts w:ascii="Arial" w:hAnsi="Arial" w:cs="Arial"/>
                <w:sz w:val="20"/>
                <w:szCs w:val="20"/>
              </w:rPr>
              <w:t xml:space="preserve"> type of political subd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ivision </w:t>
            </w:r>
            <w:r>
              <w:rPr>
                <w:rFonts w:ascii="Arial" w:hAnsi="Arial" w:cs="Arial"/>
                <w:sz w:val="20"/>
                <w:szCs w:val="20"/>
              </w:rPr>
              <w:t>was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 preferable</w:t>
            </w:r>
            <w:r>
              <w:rPr>
                <w:rFonts w:ascii="Arial" w:hAnsi="Arial" w:cs="Arial"/>
                <w:sz w:val="20"/>
                <w:szCs w:val="20"/>
              </w:rPr>
              <w:t xml:space="preserve"> (i.e., county, city, incorporated town, borough, township, or ward)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the court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 merel</w:t>
            </w: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476206">
              <w:rPr>
                <w:rFonts w:ascii="Arial" w:hAnsi="Arial" w:cs="Arial"/>
                <w:sz w:val="20"/>
                <w:szCs w:val="20"/>
              </w:rPr>
              <w:t>observe</w:t>
            </w:r>
            <w:r w:rsidRPr="00476206">
              <w:rPr>
                <w:rFonts w:ascii="Arial" w:hAnsi="Arial" w:cs="Arial"/>
                <w:sz w:val="20"/>
                <w:szCs w:val="20"/>
              </w:rPr>
              <w:t>d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 that the Carter Plan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“was</w:t>
            </w:r>
            <w:r w:rsidRPr="00476206">
              <w:rPr>
                <w:rFonts w:ascii="Arial" w:hAnsi="Arial" w:cs="Arial"/>
                <w:sz w:val="20"/>
                <w:szCs w:val="20"/>
              </w:rPr>
              <w:t xml:space="preserve"> one of the best in terms of keeping counties whole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76206">
              <w:rPr>
                <w:rFonts w:ascii="Arial" w:hAnsi="Arial" w:cs="Arial"/>
                <w:sz w:val="20"/>
                <w:szCs w:val="20"/>
              </w:rPr>
              <w:t>falls within all other ranges of the plans submitted.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1EB1127" w14:textId="4EDD0DCC" w:rsidR="0087202D" w:rsidRDefault="00C97601" w:rsidP="0047620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Regarding subordinate historical considerations, the Carter Plan sufficiently considered communities of interest</w:t>
            </w:r>
            <w:r w:rsidR="0090372C">
              <w:rPr>
                <w:rFonts w:ascii="Arial" w:hAnsi="Arial" w:cs="Arial"/>
                <w:sz w:val="20"/>
                <w:szCs w:val="20"/>
              </w:rPr>
              <w:t>, “lap[ped</w:t>
            </w:r>
            <w:r w:rsidR="00E44D86">
              <w:rPr>
                <w:rFonts w:ascii="Arial" w:hAnsi="Arial" w:cs="Arial"/>
                <w:sz w:val="20"/>
                <w:szCs w:val="20"/>
              </w:rPr>
              <w:t>]</w:t>
            </w:r>
            <w:r w:rsidR="0090372C">
              <w:rPr>
                <w:rFonts w:ascii="Arial" w:hAnsi="Arial" w:cs="Arial"/>
                <w:sz w:val="20"/>
                <w:szCs w:val="20"/>
              </w:rPr>
              <w:t xml:space="preserve"> the field” in preserving prior districts, paid due consideration to incumbents (the two incumbents paired in District 15 were necessitated by the population shift), </w:t>
            </w:r>
            <w:r w:rsidR="004A1DB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52A5A">
              <w:rPr>
                <w:rFonts w:ascii="Arial" w:hAnsi="Arial" w:cs="Arial"/>
                <w:sz w:val="20"/>
                <w:szCs w:val="20"/>
              </w:rPr>
              <w:t xml:space="preserve">was deemed fair based on various </w:t>
            </w:r>
            <w:r w:rsidR="00281D9D">
              <w:rPr>
                <w:rFonts w:ascii="Arial" w:hAnsi="Arial" w:cs="Arial"/>
                <w:sz w:val="20"/>
                <w:szCs w:val="20"/>
              </w:rPr>
              <w:t xml:space="preserve">partisan </w:t>
            </w:r>
            <w:r w:rsidR="00557028">
              <w:rPr>
                <w:rFonts w:ascii="Arial" w:hAnsi="Arial" w:cs="Arial"/>
                <w:sz w:val="20"/>
                <w:szCs w:val="20"/>
              </w:rPr>
              <w:t xml:space="preserve">fairness </w:t>
            </w:r>
            <w:r w:rsidR="00852A5A">
              <w:rPr>
                <w:rFonts w:ascii="Arial" w:hAnsi="Arial" w:cs="Arial"/>
                <w:sz w:val="20"/>
                <w:szCs w:val="20"/>
              </w:rPr>
              <w:t>metrics</w:t>
            </w:r>
            <w:r w:rsidR="001C3E3E">
              <w:rPr>
                <w:rFonts w:ascii="Arial" w:hAnsi="Arial" w:cs="Arial"/>
                <w:sz w:val="20"/>
                <w:szCs w:val="20"/>
              </w:rPr>
              <w:t xml:space="preserve"> (e.g., Majority Responsiveness, Efficiency Gap, &amp; Mean-</w:t>
            </w:r>
            <w:r w:rsidR="00F21D79">
              <w:rPr>
                <w:rFonts w:ascii="Arial" w:hAnsi="Arial" w:cs="Arial"/>
                <w:sz w:val="20"/>
                <w:szCs w:val="20"/>
              </w:rPr>
              <w:t>Median</w:t>
            </w:r>
            <w:r w:rsidR="001C3E3E">
              <w:rPr>
                <w:rFonts w:ascii="Arial" w:hAnsi="Arial" w:cs="Arial"/>
                <w:sz w:val="20"/>
                <w:szCs w:val="20"/>
              </w:rPr>
              <w:t>)</w:t>
            </w:r>
            <w:r w:rsidR="004A1DB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617FAB" w14:textId="42CC10D3" w:rsidR="00C97601" w:rsidRPr="003D415C" w:rsidRDefault="00631814" w:rsidP="003D415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Lastly, w</w:t>
            </w:r>
            <w:r w:rsidR="004A1DB2">
              <w:rPr>
                <w:rFonts w:ascii="Arial" w:hAnsi="Arial" w:cs="Arial"/>
                <w:sz w:val="20"/>
                <w:szCs w:val="20"/>
              </w:rPr>
              <w:t xml:space="preserve">hile a VRA analysis was not performed, the </w:t>
            </w:r>
            <w:r w:rsidR="00703EAB">
              <w:rPr>
                <w:rFonts w:ascii="Arial" w:hAnsi="Arial" w:cs="Arial"/>
                <w:sz w:val="20"/>
                <w:szCs w:val="20"/>
              </w:rPr>
              <w:t xml:space="preserve">existing </w:t>
            </w:r>
            <w:r w:rsidR="004A1DB2">
              <w:rPr>
                <w:rFonts w:ascii="Arial" w:hAnsi="Arial" w:cs="Arial"/>
                <w:sz w:val="20"/>
                <w:szCs w:val="20"/>
              </w:rPr>
              <w:t>2 majority-minority districts were the same as in the 2018 Plan and ha</w:t>
            </w:r>
            <w:r w:rsidR="00E87021">
              <w:rPr>
                <w:rFonts w:ascii="Arial" w:hAnsi="Arial" w:cs="Arial"/>
                <w:sz w:val="20"/>
                <w:szCs w:val="20"/>
              </w:rPr>
              <w:t>d</w:t>
            </w:r>
            <w:r w:rsidR="004A1DB2">
              <w:rPr>
                <w:rFonts w:ascii="Arial" w:hAnsi="Arial" w:cs="Arial"/>
                <w:sz w:val="20"/>
                <w:szCs w:val="20"/>
              </w:rPr>
              <w:t xml:space="preserve"> not been challenged as violative of the VRA.</w:t>
            </w:r>
          </w:p>
          <w:p w14:paraId="5782D514" w14:textId="539B91A0" w:rsidR="00C65501" w:rsidRPr="002D6F29" w:rsidRDefault="00C65501" w:rsidP="004437C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053F9293" w14:textId="77777777" w:rsidTr="00F47A0B">
        <w:trPr>
          <w:trHeight w:val="71"/>
        </w:trPr>
        <w:tc>
          <w:tcPr>
            <w:tcW w:w="1998" w:type="dxa"/>
            <w:tcBorders>
              <w:left w:val="nil"/>
              <w:bottom w:val="nil"/>
            </w:tcBorders>
          </w:tcPr>
          <w:p w14:paraId="7261BE5A" w14:textId="77777777" w:rsidR="00096943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  <w:p w14:paraId="063E9EBA" w14:textId="36C6596F" w:rsidR="000E1701" w:rsidRPr="008D467C" w:rsidRDefault="000E1701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36ECC2A7" w14:textId="77777777" w:rsidR="00096943" w:rsidRDefault="00713481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  <w:p w14:paraId="2B5C0BDB" w14:textId="33F455CA" w:rsidR="00F47A0B" w:rsidRPr="008D467C" w:rsidRDefault="00F47A0B" w:rsidP="00F47A0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061BADD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6508B4C3" w14:textId="77777777" w:rsidR="008B2E42" w:rsidRDefault="008B2E42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Concurring</w:t>
            </w:r>
            <w:r w:rsidR="0009694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Donohue, J.</w:t>
            </w:r>
          </w:p>
          <w:p w14:paraId="0B207ADD" w14:textId="18FAB544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  <w:tcBorders>
              <w:right w:val="nil"/>
            </w:tcBorders>
          </w:tcPr>
          <w:p w14:paraId="6D7806BC" w14:textId="678182F1" w:rsidR="008B2E42" w:rsidRDefault="00AB174E" w:rsidP="008B2E4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Agrees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 with the selection of the Carter Plan, and join</w:t>
            </w:r>
            <w:r w:rsidR="005704EE">
              <w:rPr>
                <w:rFonts w:ascii="Arial" w:hAnsi="Arial" w:cs="Arial"/>
                <w:sz w:val="20"/>
                <w:szCs w:val="20"/>
              </w:rPr>
              <w:t>s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 in the Majority’s analysis,</w:t>
            </w:r>
            <w:r w:rsidR="008B2E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including its invocation of partisan fairness as a factor in its selection. </w:t>
            </w:r>
          </w:p>
          <w:p w14:paraId="5D9B6137" w14:textId="19D46371" w:rsidR="00096943" w:rsidRDefault="00202D94" w:rsidP="00202D9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n this circumstance, the logic of </w:t>
            </w:r>
            <w:r w:rsidR="004B0981">
              <w:rPr>
                <w:rFonts w:ascii="Arial" w:hAnsi="Arial" w:cs="Arial"/>
                <w:i/>
                <w:iCs/>
                <w:sz w:val="20"/>
                <w:szCs w:val="20"/>
              </w:rPr>
              <w:t>LWV</w:t>
            </w:r>
            <w:r w:rsidR="008B2E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compels </w:t>
            </w:r>
            <w:r w:rsidR="007B3265">
              <w:rPr>
                <w:rFonts w:ascii="Arial" w:hAnsi="Arial" w:cs="Arial"/>
                <w:sz w:val="20"/>
                <w:szCs w:val="20"/>
              </w:rPr>
              <w:t>the court</w:t>
            </w:r>
            <w:r w:rsidR="008B2E42" w:rsidRPr="008B2E42">
              <w:rPr>
                <w:rFonts w:ascii="Arial" w:hAnsi="Arial" w:cs="Arial"/>
                <w:sz w:val="20"/>
                <w:szCs w:val="20"/>
              </w:rPr>
              <w:t xml:space="preserve"> to consider the degree of partisan fairness among the plans.</w:t>
            </w:r>
          </w:p>
          <w:p w14:paraId="6190DD2B" w14:textId="77777777" w:rsidR="004D193D" w:rsidRDefault="004D193D" w:rsidP="004D193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D193D">
              <w:rPr>
                <w:rFonts w:ascii="Arial" w:hAnsi="Arial" w:cs="Arial"/>
                <w:sz w:val="20"/>
                <w:szCs w:val="20"/>
              </w:rPr>
              <w:t xml:space="preserve">Partisan fairness is not merely a subordinate factor to be considered. </w:t>
            </w:r>
          </w:p>
          <w:p w14:paraId="222D3CB4" w14:textId="549D2BC7" w:rsidR="00053734" w:rsidRDefault="004D193D" w:rsidP="004D193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4D193D">
              <w:rPr>
                <w:rFonts w:ascii="Arial" w:hAnsi="Arial" w:cs="Arial"/>
                <w:sz w:val="20"/>
                <w:szCs w:val="20"/>
              </w:rPr>
              <w:t>When, as here, 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193D">
              <w:rPr>
                <w:rFonts w:ascii="Arial" w:hAnsi="Arial" w:cs="Arial"/>
                <w:sz w:val="20"/>
                <w:szCs w:val="20"/>
              </w:rPr>
              <w:t>of the plans are compliant with the floor criteria, consideration of the degree of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193D">
              <w:rPr>
                <w:rFonts w:ascii="Arial" w:hAnsi="Arial" w:cs="Arial"/>
                <w:sz w:val="20"/>
                <w:szCs w:val="20"/>
              </w:rPr>
              <w:t>fairness must, in my view, drive the ultimate selection of a plan in the circumstances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193D">
              <w:rPr>
                <w:rFonts w:ascii="Arial" w:hAnsi="Arial" w:cs="Arial"/>
                <w:sz w:val="20"/>
                <w:szCs w:val="20"/>
              </w:rPr>
              <w:t>which this Court finds itself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2340A8E0" w14:textId="4989B46D" w:rsidR="00D33184" w:rsidRDefault="00D33184" w:rsidP="00D3318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33184">
              <w:rPr>
                <w:rFonts w:ascii="Arial" w:hAnsi="Arial" w:cs="Arial"/>
                <w:sz w:val="20"/>
                <w:szCs w:val="20"/>
              </w:rPr>
              <w:t>he lack of one perfect test for measuring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184">
              <w:rPr>
                <w:rFonts w:ascii="Arial" w:hAnsi="Arial" w:cs="Arial"/>
                <w:sz w:val="20"/>
                <w:szCs w:val="20"/>
              </w:rPr>
              <w:t xml:space="preserve">fairness </w:t>
            </w:r>
            <w:r w:rsidR="007B3ECB">
              <w:rPr>
                <w:rFonts w:ascii="Arial" w:hAnsi="Arial" w:cs="Arial"/>
                <w:sz w:val="20"/>
                <w:szCs w:val="20"/>
              </w:rPr>
              <w:t xml:space="preserve">does not </w:t>
            </w:r>
            <w:r w:rsidRPr="00D33184">
              <w:rPr>
                <w:rFonts w:ascii="Arial" w:hAnsi="Arial" w:cs="Arial"/>
                <w:sz w:val="20"/>
                <w:szCs w:val="20"/>
              </w:rPr>
              <w:t>preclude</w:t>
            </w:r>
            <w:r w:rsidR="007B3E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FB8">
              <w:rPr>
                <w:rFonts w:ascii="Arial" w:hAnsi="Arial" w:cs="Arial"/>
                <w:sz w:val="20"/>
                <w:szCs w:val="20"/>
              </w:rPr>
              <w:t>the court</w:t>
            </w:r>
            <w:r w:rsidRPr="00D33184">
              <w:rPr>
                <w:rFonts w:ascii="Arial" w:hAnsi="Arial" w:cs="Arial"/>
                <w:sz w:val="20"/>
                <w:szCs w:val="20"/>
              </w:rPr>
              <w:t xml:space="preserve"> from considering that factor. </w:t>
            </w:r>
          </w:p>
          <w:p w14:paraId="2CA54A29" w14:textId="1A7FF6DD" w:rsidR="00D33184" w:rsidRPr="00D33184" w:rsidRDefault="00D33184" w:rsidP="00D3318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33184">
              <w:rPr>
                <w:rFonts w:ascii="Arial" w:hAnsi="Arial" w:cs="Arial"/>
                <w:sz w:val="20"/>
                <w:szCs w:val="20"/>
              </w:rPr>
              <w:t xml:space="preserve">It simply means that </w:t>
            </w:r>
            <w:r w:rsidR="00D41361">
              <w:rPr>
                <w:rFonts w:ascii="Arial" w:hAnsi="Arial" w:cs="Arial"/>
                <w:sz w:val="20"/>
                <w:szCs w:val="20"/>
              </w:rPr>
              <w:t>it</w:t>
            </w:r>
            <w:r w:rsidRPr="00D33184">
              <w:rPr>
                <w:rFonts w:ascii="Arial" w:hAnsi="Arial" w:cs="Arial"/>
                <w:sz w:val="20"/>
                <w:szCs w:val="20"/>
              </w:rPr>
              <w:t xml:space="preserve"> should look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184">
              <w:rPr>
                <w:rFonts w:ascii="Arial" w:hAnsi="Arial" w:cs="Arial"/>
                <w:sz w:val="20"/>
                <w:szCs w:val="20"/>
              </w:rPr>
              <w:t>for the most comprehensive review available.</w:t>
            </w:r>
          </w:p>
          <w:p w14:paraId="78162F26" w14:textId="03F15D77" w:rsidR="008B2E42" w:rsidRPr="008B2E42" w:rsidRDefault="008B2E42" w:rsidP="008B2E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E42" w:rsidRPr="008D467C" w14:paraId="3F02A850" w14:textId="77777777" w:rsidTr="002E1F56">
        <w:trPr>
          <w:trHeight w:val="864"/>
        </w:trPr>
        <w:tc>
          <w:tcPr>
            <w:tcW w:w="1998" w:type="dxa"/>
            <w:tcBorders>
              <w:left w:val="nil"/>
            </w:tcBorders>
          </w:tcPr>
          <w:p w14:paraId="008D384D" w14:textId="77777777" w:rsidR="008B2E42" w:rsidRDefault="008B2E42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Concurring: </w:t>
            </w:r>
            <w:r w:rsidR="00CB0E1D">
              <w:rPr>
                <w:rFonts w:ascii="Arial" w:hAnsi="Arial" w:cs="Arial"/>
                <w:b/>
                <w:bCs/>
                <w:sz w:val="20"/>
                <w:szCs w:val="20"/>
              </w:rPr>
              <w:t>Dougherty, J.</w:t>
            </w:r>
          </w:p>
          <w:p w14:paraId="6DA1DC34" w14:textId="4CD77415" w:rsidR="00CB0E1D" w:rsidRDefault="00CB0E1D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527149BD" w14:textId="77777777" w:rsidR="008B2E42" w:rsidRDefault="00036DBC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  <w:r w:rsidRPr="00036DBC">
              <w:rPr>
                <w:rFonts w:ascii="Arial" w:hAnsi="Arial" w:cs="Arial"/>
                <w:sz w:val="20"/>
                <w:szCs w:val="20"/>
              </w:rPr>
              <w:t>oin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36DBC">
              <w:rPr>
                <w:rFonts w:ascii="Arial" w:hAnsi="Arial" w:cs="Arial"/>
                <w:sz w:val="20"/>
                <w:szCs w:val="20"/>
              </w:rPr>
              <w:t xml:space="preserve"> the majority opinion, but distance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36DBC">
              <w:rPr>
                <w:rFonts w:ascii="Arial" w:hAnsi="Arial" w:cs="Arial"/>
                <w:sz w:val="20"/>
                <w:szCs w:val="20"/>
              </w:rPr>
              <w:t xml:space="preserve"> from certain aspects of part VI.B.</w:t>
            </w:r>
          </w:p>
          <w:p w14:paraId="252F1F97" w14:textId="77777777" w:rsidR="004C5B3D" w:rsidRDefault="004C5B3D" w:rsidP="004C5B3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C5B3D">
              <w:rPr>
                <w:rFonts w:ascii="Arial" w:hAnsi="Arial" w:cs="Arial"/>
                <w:sz w:val="20"/>
                <w:szCs w:val="20"/>
              </w:rPr>
              <w:t>Although the majority lands on the right answer, it fails to satisfactorily explain how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5B3D">
              <w:rPr>
                <w:rFonts w:ascii="Arial" w:hAnsi="Arial" w:cs="Arial"/>
                <w:sz w:val="20"/>
                <w:szCs w:val="20"/>
              </w:rPr>
              <w:t>it reaches that result.</w:t>
            </w:r>
          </w:p>
          <w:p w14:paraId="676BB7A7" w14:textId="099B2FAF" w:rsidR="004C5B3D" w:rsidRDefault="00556E2D" w:rsidP="00556E2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556E2D">
              <w:rPr>
                <w:rFonts w:ascii="Arial" w:hAnsi="Arial" w:cs="Arial"/>
                <w:sz w:val="20"/>
                <w:szCs w:val="20"/>
              </w:rPr>
              <w:t xml:space="preserve">In my view, the critical factor that sets the Carter Plan apart—the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 w:rsidRPr="00556E2D">
              <w:rPr>
                <w:rFonts w:ascii="Arial" w:hAnsi="Arial" w:cs="Arial"/>
                <w:sz w:val="20"/>
                <w:szCs w:val="20"/>
              </w:rPr>
              <w:t>tie-breaker</w:t>
            </w:r>
            <w:proofErr w:type="gramEnd"/>
            <w:r w:rsidRPr="00556E2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’ </w:t>
            </w:r>
            <w:r w:rsidRPr="00556E2D">
              <w:rPr>
                <w:rFonts w:ascii="Arial" w:hAnsi="Arial" w:cs="Arial"/>
                <w:sz w:val="20"/>
                <w:szCs w:val="20"/>
              </w:rPr>
              <w:t>so to spea</w:t>
            </w:r>
            <w:r w:rsidR="00FE2E32">
              <w:rPr>
                <w:rFonts w:ascii="Arial" w:hAnsi="Arial" w:cs="Arial"/>
                <w:sz w:val="20"/>
                <w:szCs w:val="20"/>
              </w:rPr>
              <w:t>k</w:t>
            </w:r>
            <w:r w:rsidRPr="00556E2D">
              <w:rPr>
                <w:rFonts w:ascii="Arial" w:hAnsi="Arial" w:cs="Arial"/>
                <w:sz w:val="20"/>
                <w:szCs w:val="20"/>
              </w:rPr>
              <w:t>—is that the Carter Plan yields the least change from the Court’s 2018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56E2D">
              <w:rPr>
                <w:rFonts w:ascii="Arial" w:hAnsi="Arial" w:cs="Arial"/>
                <w:sz w:val="20"/>
                <w:szCs w:val="20"/>
              </w:rPr>
              <w:t>congressional redistricting plan.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589B571" w14:textId="5B4B00D4" w:rsidR="002E1F56" w:rsidRPr="00556E2D" w:rsidRDefault="002E1F56" w:rsidP="002E1F5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E42" w:rsidRPr="008D467C" w14:paraId="05C00078" w14:textId="77777777" w:rsidTr="003B0E44">
        <w:trPr>
          <w:trHeight w:val="2331"/>
        </w:trPr>
        <w:tc>
          <w:tcPr>
            <w:tcW w:w="1998" w:type="dxa"/>
            <w:tcBorders>
              <w:left w:val="nil"/>
            </w:tcBorders>
          </w:tcPr>
          <w:p w14:paraId="6F90223C" w14:textId="77777777" w:rsidR="008B2E42" w:rsidRDefault="00D63D1B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Concurring: Wecht, J.</w:t>
            </w:r>
          </w:p>
          <w:p w14:paraId="0D2DA945" w14:textId="36FEFF2D" w:rsidR="00D63D1B" w:rsidRDefault="00D63D1B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4CC54A09" w14:textId="77777777" w:rsidR="008B2E42" w:rsidRDefault="005C2CF1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5C2CF1">
              <w:rPr>
                <w:rFonts w:ascii="Arial" w:hAnsi="Arial" w:cs="Arial"/>
                <w:sz w:val="20"/>
                <w:szCs w:val="20"/>
              </w:rPr>
              <w:t>rite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C2CF1">
              <w:rPr>
                <w:rFonts w:ascii="Arial" w:hAnsi="Arial" w:cs="Arial"/>
                <w:sz w:val="20"/>
                <w:szCs w:val="20"/>
              </w:rPr>
              <w:t xml:space="preserve"> separately to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5C2CF1">
              <w:rPr>
                <w:rFonts w:ascii="Arial" w:hAnsi="Arial" w:cs="Arial"/>
                <w:sz w:val="20"/>
                <w:szCs w:val="20"/>
              </w:rPr>
              <w:t xml:space="preserve">further explain why </w:t>
            </w:r>
            <w:r w:rsidR="00A22730">
              <w:rPr>
                <w:rFonts w:ascii="Arial" w:hAnsi="Arial" w:cs="Arial"/>
                <w:sz w:val="20"/>
                <w:szCs w:val="20"/>
              </w:rPr>
              <w:t>[he]</w:t>
            </w:r>
            <w:r w:rsidRPr="005C2CF1">
              <w:rPr>
                <w:rFonts w:ascii="Arial" w:hAnsi="Arial" w:cs="Arial"/>
                <w:sz w:val="20"/>
                <w:szCs w:val="20"/>
              </w:rPr>
              <w:t xml:space="preserve"> found a number of exceptions to the Special Master’s Report and Recommendation to be meritorious, </w:t>
            </w:r>
            <w:proofErr w:type="gramStart"/>
            <w:r w:rsidRPr="005C2CF1">
              <w:rPr>
                <w:rFonts w:ascii="Arial" w:hAnsi="Arial" w:cs="Arial"/>
                <w:sz w:val="20"/>
                <w:szCs w:val="20"/>
              </w:rPr>
              <w:t>and also</w:t>
            </w:r>
            <w:proofErr w:type="gramEnd"/>
            <w:r w:rsidRPr="005C2CF1">
              <w:rPr>
                <w:rFonts w:ascii="Arial" w:hAnsi="Arial" w:cs="Arial"/>
                <w:sz w:val="20"/>
                <w:szCs w:val="20"/>
              </w:rPr>
              <w:t xml:space="preserve"> to offer a more detailed discussion regarding the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5C2CF1">
              <w:rPr>
                <w:rFonts w:ascii="Arial" w:hAnsi="Arial" w:cs="Arial"/>
                <w:sz w:val="20"/>
                <w:szCs w:val="20"/>
              </w:rPr>
              <w:t>least-change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5C2CF1">
              <w:rPr>
                <w:rFonts w:ascii="Arial" w:hAnsi="Arial" w:cs="Arial"/>
                <w:sz w:val="20"/>
                <w:szCs w:val="20"/>
              </w:rPr>
              <w:t xml:space="preserve"> approach, the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5C2CF1">
              <w:rPr>
                <w:rFonts w:ascii="Arial" w:hAnsi="Arial" w:cs="Arial"/>
                <w:sz w:val="20"/>
                <w:szCs w:val="20"/>
              </w:rPr>
              <w:t>subordinate historical consideration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5C2CF1">
              <w:rPr>
                <w:rFonts w:ascii="Arial" w:hAnsi="Arial" w:cs="Arial"/>
                <w:sz w:val="20"/>
                <w:szCs w:val="20"/>
              </w:rPr>
              <w:t xml:space="preserve"> that tipped the scales in favor of the Carter Plan.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59194987" w14:textId="1AD1BE09" w:rsidR="0096129B" w:rsidRDefault="0096129B" w:rsidP="0096129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96129B">
              <w:rPr>
                <w:rFonts w:ascii="Arial" w:hAnsi="Arial" w:cs="Arial"/>
                <w:sz w:val="20"/>
                <w:szCs w:val="20"/>
              </w:rPr>
              <w:t xml:space="preserve">Although I would not declare that least-change should be the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 w:rsidRPr="0096129B">
              <w:rPr>
                <w:rFonts w:ascii="Arial" w:hAnsi="Arial" w:cs="Arial"/>
                <w:sz w:val="20"/>
                <w:szCs w:val="20"/>
              </w:rPr>
              <w:t>tie-breaker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96129B">
              <w:rPr>
                <w:rFonts w:ascii="Arial" w:hAnsi="Arial" w:cs="Arial"/>
                <w:sz w:val="20"/>
                <w:szCs w:val="20"/>
              </w:rPr>
              <w:t xml:space="preserve"> for all court-selected plans, my views on this subject align more closely with Justice Dougherty’s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</w:p>
          <w:p w14:paraId="2BC37DDB" w14:textId="26497DFB" w:rsidR="0096129B" w:rsidRPr="008D467C" w:rsidRDefault="0096129B" w:rsidP="0096129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“[W]</w:t>
            </w:r>
            <w:r w:rsidRPr="0096129B">
              <w:rPr>
                <w:rFonts w:ascii="Arial" w:hAnsi="Arial" w:cs="Arial"/>
                <w:sz w:val="20"/>
                <w:szCs w:val="20"/>
              </w:rPr>
              <w:t xml:space="preserve">e should endeavor to resolve redistricting disputes by elevating as many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96129B">
              <w:rPr>
                <w:rFonts w:ascii="Arial" w:hAnsi="Arial" w:cs="Arial"/>
                <w:sz w:val="20"/>
                <w:szCs w:val="20"/>
              </w:rPr>
              <w:t>objective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96129B">
              <w:rPr>
                <w:rFonts w:ascii="Arial" w:hAnsi="Arial" w:cs="Arial"/>
                <w:sz w:val="20"/>
                <w:szCs w:val="20"/>
              </w:rPr>
              <w:t xml:space="preserve"> criteria above </w:t>
            </w: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96129B">
              <w:rPr>
                <w:rFonts w:ascii="Arial" w:hAnsi="Arial" w:cs="Arial"/>
                <w:sz w:val="20"/>
                <w:szCs w:val="20"/>
              </w:rPr>
              <w:t>subjective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96129B">
              <w:rPr>
                <w:rFonts w:ascii="Arial" w:hAnsi="Arial" w:cs="Arial"/>
                <w:sz w:val="20"/>
                <w:szCs w:val="20"/>
              </w:rPr>
              <w:t xml:space="preserve"> considerations as possible. To that end, I consider a plan’s least-change score to be a weighty plus-factor</w:t>
            </w:r>
            <w:r>
              <w:rPr>
                <w:rFonts w:ascii="Arial" w:hAnsi="Arial" w:cs="Arial"/>
                <w:sz w:val="20"/>
                <w:szCs w:val="20"/>
              </w:rPr>
              <w:t>. . . .”</w:t>
            </w:r>
          </w:p>
        </w:tc>
      </w:tr>
      <w:tr w:rsidR="008B2E42" w:rsidRPr="008D467C" w14:paraId="483C3A52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28CD3DFB" w14:textId="77777777" w:rsidR="008B2E42" w:rsidRDefault="00C96F8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Dissenting: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Brobson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J.</w:t>
            </w:r>
          </w:p>
          <w:p w14:paraId="2DA3FBA8" w14:textId="088671ED" w:rsidR="00C96F8C" w:rsidRDefault="00C96F8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3EA84476" w14:textId="10CF54E0" w:rsidR="008B2E42" w:rsidRPr="00C8011A" w:rsidRDefault="00AD7797" w:rsidP="00C8011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D7797">
              <w:rPr>
                <w:rFonts w:ascii="Arial" w:hAnsi="Arial" w:cs="Arial"/>
                <w:sz w:val="20"/>
                <w:szCs w:val="20"/>
              </w:rPr>
              <w:t>The Carter Plan</w:t>
            </w:r>
            <w:r w:rsidR="00500C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7797">
              <w:rPr>
                <w:rFonts w:ascii="Arial" w:hAnsi="Arial" w:cs="Arial"/>
                <w:sz w:val="20"/>
                <w:szCs w:val="20"/>
              </w:rPr>
              <w:t xml:space="preserve">fails the </w:t>
            </w:r>
            <w:proofErr w:type="spellStart"/>
            <w:r w:rsidRPr="00AD7797">
              <w:rPr>
                <w:rFonts w:ascii="Arial" w:hAnsi="Arial" w:cs="Arial"/>
                <w:i/>
                <w:iCs/>
                <w:sz w:val="20"/>
                <w:szCs w:val="20"/>
              </w:rPr>
              <w:t>Karcher</w:t>
            </w:r>
            <w:proofErr w:type="spellEnd"/>
            <w:r w:rsidRPr="00AD7797">
              <w:rPr>
                <w:rFonts w:ascii="Arial" w:hAnsi="Arial" w:cs="Arial"/>
                <w:sz w:val="20"/>
                <w:szCs w:val="20"/>
              </w:rPr>
              <w:t xml:space="preserve"> test</w:t>
            </w:r>
            <w:r w:rsidR="00225797" w:rsidRPr="00225797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  <w:r w:rsidR="00C8011A">
              <w:rPr>
                <w:rFonts w:ascii="Arial" w:hAnsi="Arial" w:cs="Arial"/>
                <w:sz w:val="20"/>
                <w:szCs w:val="20"/>
              </w:rPr>
              <w:t xml:space="preserve"> by providing</w:t>
            </w:r>
            <w:r w:rsidR="00C8011A" w:rsidRPr="00C8011A">
              <w:rPr>
                <w:rFonts w:ascii="Arial" w:hAnsi="Arial" w:cs="Arial"/>
                <w:sz w:val="20"/>
                <w:szCs w:val="20"/>
              </w:rPr>
              <w:t xml:space="preserve"> for a two-person population deviation between the largest and smallest</w:t>
            </w:r>
            <w:r w:rsidR="00C801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011A" w:rsidRPr="00C8011A">
              <w:rPr>
                <w:rFonts w:ascii="Arial" w:hAnsi="Arial" w:cs="Arial"/>
                <w:sz w:val="20"/>
                <w:szCs w:val="20"/>
              </w:rPr>
              <w:t>congressional districts.</w:t>
            </w:r>
          </w:p>
          <w:p w14:paraId="2E0B43D8" w14:textId="77777777" w:rsidR="00500CB5" w:rsidRDefault="00330FC5" w:rsidP="00330FC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330FC5">
              <w:rPr>
                <w:rFonts w:ascii="Arial" w:hAnsi="Arial" w:cs="Arial"/>
                <w:sz w:val="20"/>
                <w:szCs w:val="20"/>
              </w:rPr>
              <w:t>While I acknowledge that it is mathematically impossible to create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0FC5">
              <w:rPr>
                <w:rFonts w:ascii="Arial" w:hAnsi="Arial" w:cs="Arial"/>
                <w:sz w:val="20"/>
                <w:szCs w:val="20"/>
              </w:rPr>
              <w:t>17 districts of precisely equal population, it is possible, with good faith, to craft a plan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0FC5">
              <w:rPr>
                <w:rFonts w:ascii="Arial" w:hAnsi="Arial" w:cs="Arial"/>
                <w:sz w:val="20"/>
                <w:szCs w:val="20"/>
              </w:rPr>
              <w:t>less than a two-person deviatio</w:t>
            </w:r>
            <w:r>
              <w:rPr>
                <w:rFonts w:ascii="Arial" w:hAnsi="Arial" w:cs="Arial"/>
                <w:sz w:val="20"/>
                <w:szCs w:val="20"/>
              </w:rPr>
              <w:t>n”</w:t>
            </w:r>
          </w:p>
          <w:p w14:paraId="4F5B0EF9" w14:textId="77777777" w:rsidR="00330FC5" w:rsidRDefault="00330FC5" w:rsidP="00330FC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2 out of the 13 maps proposed a deviation of more than one person</w:t>
            </w:r>
            <w:r w:rsidR="00081EDF">
              <w:rPr>
                <w:rFonts w:ascii="Arial" w:hAnsi="Arial" w:cs="Arial"/>
                <w:sz w:val="20"/>
                <w:szCs w:val="20"/>
              </w:rPr>
              <w:t>; the Carter petitioners also noted in their brief that they could have created a plan with a one-person deviation.</w:t>
            </w:r>
          </w:p>
          <w:p w14:paraId="7666C0E3" w14:textId="77777777" w:rsidR="00F979C4" w:rsidRDefault="00F979C4" w:rsidP="00F979C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F979C4">
              <w:rPr>
                <w:rFonts w:ascii="Arial" w:hAnsi="Arial" w:cs="Arial"/>
                <w:sz w:val="20"/>
                <w:szCs w:val="20"/>
              </w:rPr>
              <w:t>nlike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79C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979C4">
              <w:rPr>
                <w:rFonts w:ascii="Arial" w:hAnsi="Arial" w:cs="Arial"/>
                <w:i/>
                <w:iCs/>
                <w:sz w:val="20"/>
                <w:szCs w:val="20"/>
              </w:rPr>
              <w:t>Mellow</w:t>
            </w:r>
            <w:r w:rsidRPr="00F979C4">
              <w:rPr>
                <w:rFonts w:ascii="Arial" w:hAnsi="Arial" w:cs="Arial"/>
                <w:sz w:val="20"/>
                <w:szCs w:val="20"/>
              </w:rPr>
              <w:t xml:space="preserve"> Court, the majority has made no attempt to evaluate whether the Carter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79C4">
              <w:rPr>
                <w:rFonts w:ascii="Arial" w:hAnsi="Arial" w:cs="Arial"/>
                <w:sz w:val="20"/>
                <w:szCs w:val="20"/>
              </w:rPr>
              <w:t>performs superiorly with respect to splits of VTDs when compared to the 11 other plans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79C4">
              <w:rPr>
                <w:rFonts w:ascii="Arial" w:hAnsi="Arial" w:cs="Arial"/>
                <w:sz w:val="20"/>
                <w:szCs w:val="20"/>
              </w:rPr>
              <w:t>that achieved only a one-person deviation</w:t>
            </w:r>
            <w:r w:rsidR="005B36CA">
              <w:rPr>
                <w:rFonts w:ascii="Arial" w:hAnsi="Arial" w:cs="Arial"/>
                <w:sz w:val="20"/>
                <w:szCs w:val="20"/>
              </w:rPr>
              <w:t xml:space="preserve">, but simply accepts that </w:t>
            </w:r>
            <w:r w:rsidR="005B36CA" w:rsidRPr="005B36CA">
              <w:rPr>
                <w:rFonts w:ascii="Arial" w:hAnsi="Arial" w:cs="Arial"/>
                <w:sz w:val="20"/>
                <w:szCs w:val="20"/>
              </w:rPr>
              <w:t>avoiding the split of just one additional VT</w:t>
            </w:r>
            <w:r w:rsidR="005B36CA">
              <w:rPr>
                <w:rFonts w:ascii="Arial" w:hAnsi="Arial" w:cs="Arial"/>
                <w:sz w:val="20"/>
                <w:szCs w:val="20"/>
              </w:rPr>
              <w:t>D constitutes a legitimate state interest.</w:t>
            </w:r>
          </w:p>
          <w:p w14:paraId="069BDA9C" w14:textId="77777777" w:rsidR="003718D9" w:rsidRDefault="005B1F69" w:rsidP="00B94452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Conversely, t</w:t>
            </w:r>
            <w:r w:rsidR="003718D9">
              <w:rPr>
                <w:rFonts w:ascii="Arial" w:hAnsi="Arial" w:cs="Arial"/>
                <w:sz w:val="20"/>
                <w:szCs w:val="20"/>
              </w:rPr>
              <w:t>he Carter Plan also is the only plan that splits the City of Williamsport</w:t>
            </w:r>
            <w:r w:rsidR="00B94452">
              <w:rPr>
                <w:rFonts w:ascii="Arial" w:hAnsi="Arial" w:cs="Arial"/>
                <w:sz w:val="20"/>
                <w:szCs w:val="20"/>
              </w:rPr>
              <w:t>--n</w:t>
            </w:r>
            <w:r w:rsidR="00B94452" w:rsidRPr="00B94452">
              <w:rPr>
                <w:rFonts w:ascii="Arial" w:hAnsi="Arial" w:cs="Arial"/>
                <w:sz w:val="20"/>
                <w:szCs w:val="20"/>
              </w:rPr>
              <w:t>o legitimate state interest can be found in</w:t>
            </w:r>
            <w:r w:rsidR="00B944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4452" w:rsidRPr="00B94452">
              <w:rPr>
                <w:rFonts w:ascii="Arial" w:hAnsi="Arial" w:cs="Arial"/>
                <w:sz w:val="20"/>
                <w:szCs w:val="20"/>
              </w:rPr>
              <w:t>this tradeoff.</w:t>
            </w:r>
          </w:p>
          <w:p w14:paraId="1F1CBB54" w14:textId="77777777" w:rsidR="001008F5" w:rsidRDefault="001008F5" w:rsidP="001008F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Separately, t</w:t>
            </w:r>
            <w:r w:rsidRPr="001008F5">
              <w:rPr>
                <w:rFonts w:ascii="Arial" w:hAnsi="Arial" w:cs="Arial"/>
                <w:sz w:val="20"/>
                <w:szCs w:val="20"/>
              </w:rPr>
              <w:t>he current matter before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008F5">
              <w:rPr>
                <w:rFonts w:ascii="Arial" w:hAnsi="Arial" w:cs="Arial"/>
                <w:sz w:val="20"/>
                <w:szCs w:val="20"/>
              </w:rPr>
              <w:t xml:space="preserve">Court, however, is not a partisan gerrymandering case. </w:t>
            </w:r>
          </w:p>
          <w:p w14:paraId="10941DA3" w14:textId="71AC671B" w:rsidR="001008F5" w:rsidRDefault="005B7739" w:rsidP="001008F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="001008F5" w:rsidRPr="001008F5">
              <w:rPr>
                <w:rFonts w:ascii="Arial" w:hAnsi="Arial" w:cs="Arial"/>
                <w:sz w:val="20"/>
                <w:szCs w:val="20"/>
              </w:rPr>
              <w:t xml:space="preserve"> one in this litigation</w:t>
            </w:r>
            <w:r w:rsidR="001008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8F5" w:rsidRPr="001008F5">
              <w:rPr>
                <w:rFonts w:ascii="Arial" w:hAnsi="Arial" w:cs="Arial"/>
                <w:sz w:val="20"/>
                <w:szCs w:val="20"/>
              </w:rPr>
              <w:t>has challenged any of the proposed plans as an unconstitutional partisan gerrymander</w:t>
            </w:r>
            <w:r w:rsidR="001008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8F5" w:rsidRPr="001008F5">
              <w:rPr>
                <w:rFonts w:ascii="Arial" w:hAnsi="Arial" w:cs="Arial"/>
                <w:sz w:val="20"/>
                <w:szCs w:val="20"/>
              </w:rPr>
              <w:t xml:space="preserve">under </w:t>
            </w:r>
            <w:r w:rsidR="001008F5" w:rsidRPr="001008F5">
              <w:rPr>
                <w:rFonts w:ascii="Arial" w:hAnsi="Arial" w:cs="Arial"/>
                <w:i/>
                <w:iCs/>
                <w:sz w:val="20"/>
                <w:szCs w:val="20"/>
              </w:rPr>
              <w:t>LWV II</w:t>
            </w:r>
            <w:r w:rsidR="001008F5" w:rsidRPr="001008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D37FA" w14:textId="77777777" w:rsidR="006738A2" w:rsidRDefault="006738A2" w:rsidP="006738A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Thus, wading into the political thicket is “</w:t>
            </w:r>
            <w:r w:rsidRPr="006738A2">
              <w:rPr>
                <w:rFonts w:ascii="Arial" w:hAnsi="Arial" w:cs="Arial"/>
                <w:sz w:val="20"/>
                <w:szCs w:val="20"/>
              </w:rPr>
              <w:t>subjective, partisan, and quintessentially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38A2">
              <w:rPr>
                <w:rFonts w:ascii="Arial" w:hAnsi="Arial" w:cs="Arial"/>
                <w:sz w:val="20"/>
                <w:szCs w:val="20"/>
              </w:rPr>
              <w:t>political inquiry that belongs in the political branches of our government, not in the courts.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EBD23B5" w14:textId="77777777" w:rsidR="00077F1A" w:rsidRDefault="00077F1A" w:rsidP="00077F1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LWV II </w:t>
            </w:r>
            <w:r>
              <w:rPr>
                <w:rFonts w:ascii="Arial" w:hAnsi="Arial" w:cs="Arial"/>
                <w:sz w:val="20"/>
                <w:szCs w:val="20"/>
              </w:rPr>
              <w:t>should not embolden the court to choose the “fairest map of them all.”</w:t>
            </w:r>
          </w:p>
          <w:p w14:paraId="6A5BE4A8" w14:textId="77777777" w:rsidR="009705C7" w:rsidRDefault="009705C7" w:rsidP="00077F1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would have been preferable to adopt the least-change approach “instead of using </w:t>
            </w:r>
            <w:r w:rsidRPr="009705C7">
              <w:rPr>
                <w:rFonts w:ascii="Arial" w:hAnsi="Arial" w:cs="Arial"/>
                <w:sz w:val="20"/>
                <w:szCs w:val="20"/>
              </w:rPr>
              <w:t>unquestionably partisan constructs to justify its selection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6D6EFA5" w14:textId="77777777" w:rsidR="003A04DD" w:rsidRDefault="00CD23A3" w:rsidP="003A04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3A04DD">
              <w:rPr>
                <w:rFonts w:ascii="Arial" w:hAnsi="Arial" w:cs="Arial"/>
                <w:sz w:val="20"/>
                <w:szCs w:val="20"/>
              </w:rPr>
              <w:t>W</w:t>
            </w:r>
            <w:r w:rsidR="003A04DD" w:rsidRPr="003A04DD">
              <w:rPr>
                <w:rFonts w:ascii="Arial" w:hAnsi="Arial" w:cs="Arial"/>
                <w:sz w:val="20"/>
                <w:szCs w:val="20"/>
              </w:rPr>
              <w:t>here the judiciary is forced to adopt a legislative reapportionment plan, the</w:t>
            </w:r>
            <w:r w:rsidR="003A04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4DD" w:rsidRPr="003A04DD">
              <w:rPr>
                <w:rFonts w:ascii="Arial" w:hAnsi="Arial" w:cs="Arial"/>
                <w:sz w:val="20"/>
                <w:szCs w:val="20"/>
              </w:rPr>
              <w:t>court should hew closely to nonpartisan standards (e.g., compactness, contiguity,</w:t>
            </w:r>
            <w:r w:rsidR="003A04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4DD" w:rsidRPr="003A04DD">
              <w:rPr>
                <w:rFonts w:ascii="Arial" w:hAnsi="Arial" w:cs="Arial"/>
                <w:sz w:val="20"/>
                <w:szCs w:val="20"/>
              </w:rPr>
              <w:t>minimizing splits, etc.) or nonpartisan methods (e.g., the “least-change” approach),</w:t>
            </w:r>
            <w:r w:rsidR="003A04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4DD" w:rsidRPr="003A04DD">
              <w:rPr>
                <w:rFonts w:ascii="Arial" w:hAnsi="Arial" w:cs="Arial"/>
                <w:sz w:val="20"/>
                <w:szCs w:val="20"/>
              </w:rPr>
              <w:t>eschewing partisan considerations or partisan approaches.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06FA37D2" w14:textId="1AC586F4" w:rsidR="00CF533D" w:rsidRPr="003A04DD" w:rsidRDefault="00CF533D" w:rsidP="00CF533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E42" w:rsidRPr="008D467C" w14:paraId="56FDFF0A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6B3D9C1E" w14:textId="77777777" w:rsidR="008B2E42" w:rsidRDefault="00602AC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Dissenting: Mundy, J.</w:t>
            </w:r>
          </w:p>
          <w:p w14:paraId="3DFCE25A" w14:textId="64BABEFB" w:rsidR="00602ACC" w:rsidRDefault="00602AC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38B361B9" w14:textId="4F73BC36" w:rsidR="008B2E42" w:rsidRDefault="00CF533D" w:rsidP="00CF533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to the </w:t>
            </w:r>
            <w:r w:rsidRPr="00CF533D">
              <w:rPr>
                <w:rFonts w:ascii="Arial" w:hAnsi="Arial" w:cs="Arial"/>
                <w:sz w:val="20"/>
                <w:szCs w:val="20"/>
              </w:rPr>
              <w:t>question of how to determine which of the proffered maps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best complies with the Constitution’s neutral factors after eliminating any maps that fail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meet the constitutional floor</w:t>
            </w:r>
            <w:r>
              <w:rPr>
                <w:rFonts w:ascii="Arial" w:hAnsi="Arial" w:cs="Arial"/>
                <w:sz w:val="20"/>
                <w:szCs w:val="20"/>
              </w:rPr>
              <w:t xml:space="preserve">, he suggests </w:t>
            </w:r>
            <w:r w:rsidR="00A31371">
              <w:rPr>
                <w:rFonts w:ascii="Arial" w:hAnsi="Arial" w:cs="Arial"/>
                <w:sz w:val="20"/>
                <w:szCs w:val="20"/>
              </w:rPr>
              <w:t xml:space="preserve">considering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two </w:t>
            </w:r>
            <w:r w:rsidR="00A31371">
              <w:rPr>
                <w:rFonts w:ascii="Arial" w:hAnsi="Arial" w:cs="Arial"/>
                <w:sz w:val="20"/>
                <w:szCs w:val="20"/>
              </w:rPr>
              <w:t>observations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E37228" w14:textId="4A98DBC3" w:rsidR="00CF533D" w:rsidRPr="00CF533D" w:rsidRDefault="00CF533D" w:rsidP="00CF533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the maps can be analogized to candidates in an election where each criterion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by which they are judged is the equivalent of an individual voter taking part in a ranked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CF533D">
              <w:rPr>
                <w:rFonts w:ascii="Arial" w:hAnsi="Arial" w:cs="Arial"/>
                <w:sz w:val="20"/>
                <w:szCs w:val="20"/>
              </w:rPr>
              <w:t>choice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voting exercise</w:t>
            </w:r>
            <w:r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4AEEC679" w14:textId="4DBEE490" w:rsidR="00CF533D" w:rsidRPr="00CF533D" w:rsidRDefault="00CF533D" w:rsidP="00CF533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ranked-choice voting can be accomplished through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533D">
              <w:rPr>
                <w:rFonts w:ascii="Arial" w:hAnsi="Arial" w:cs="Arial"/>
                <w:sz w:val="20"/>
                <w:szCs w:val="20"/>
              </w:rPr>
              <w:t>pairwise comparisons of the candidates, in this case, the candidate maps.</w:t>
            </w:r>
          </w:p>
          <w:p w14:paraId="115C25B0" w14:textId="77777777" w:rsidR="00ED7DDD" w:rsidRDefault="00ED7DDD" w:rsidP="00ED7DD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Pr="00ED7DDD">
              <w:rPr>
                <w:rFonts w:ascii="Arial" w:hAnsi="Arial" w:cs="Arial"/>
                <w:sz w:val="20"/>
                <w:szCs w:val="20"/>
              </w:rPr>
              <w:t>would hold that this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>Court should rank and score all proposed maps according to each of the individual quality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metrics and select the map with the highest total weighted score.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>The process entails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five steps: </w:t>
            </w:r>
          </w:p>
          <w:p w14:paraId="660CE46A" w14:textId="77777777" w:rsidR="00ED7DDD" w:rsidRDefault="00ED7DDD" w:rsidP="00ED7D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D7DDD">
              <w:rPr>
                <w:rFonts w:ascii="Arial" w:hAnsi="Arial" w:cs="Arial"/>
                <w:sz w:val="20"/>
                <w:szCs w:val="20"/>
              </w:rPr>
              <w:t>(1) eliminate any map which fails to meet the constitutional “floor</w:t>
            </w:r>
            <w:proofErr w:type="gramStart"/>
            <w:r w:rsidRPr="00ED7DDD"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  <w:r w:rsidRPr="00ED7DDD">
              <w:rPr>
                <w:rFonts w:ascii="Arial" w:hAnsi="Arial" w:cs="Arial"/>
                <w:sz w:val="20"/>
                <w:szCs w:val="20"/>
              </w:rPr>
              <w:t xml:space="preserve"> or which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violates federal law; then as to each of the remaining maps: </w:t>
            </w:r>
          </w:p>
          <w:p w14:paraId="60EDA038" w14:textId="04E87CEB" w:rsidR="00ED7DDD" w:rsidRPr="00ED7DDD" w:rsidRDefault="00ED7DDD" w:rsidP="00ED7D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D7DDD">
              <w:rPr>
                <w:rFonts w:ascii="Arial" w:hAnsi="Arial" w:cs="Arial"/>
                <w:sz w:val="20"/>
                <w:szCs w:val="20"/>
              </w:rPr>
              <w:t>(2) compute raw scores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each map for each individual quality metric using pairwise comparisons and </w:t>
            </w:r>
            <w:proofErr w:type="spellStart"/>
            <w:r w:rsidRPr="00ED7DDD">
              <w:rPr>
                <w:rFonts w:ascii="Arial" w:hAnsi="Arial" w:cs="Arial"/>
                <w:sz w:val="20"/>
                <w:szCs w:val="20"/>
              </w:rPr>
              <w:t>Borda</w:t>
            </w:r>
            <w:proofErr w:type="spellEnd"/>
            <w:r w:rsidRPr="00ED7DD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ED7DDD">
              <w:rPr>
                <w:rFonts w:ascii="Arial" w:hAnsi="Arial" w:cs="Arial"/>
                <w:sz w:val="20"/>
                <w:szCs w:val="20"/>
              </w:rPr>
              <w:t>count;</w:t>
            </w:r>
            <w:proofErr w:type="gramEnd"/>
          </w:p>
          <w:p w14:paraId="665074BB" w14:textId="77777777" w:rsidR="00ED7DDD" w:rsidRDefault="00ED7DDD" w:rsidP="00ED7D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D7DDD">
              <w:rPr>
                <w:rFonts w:ascii="Arial" w:hAnsi="Arial" w:cs="Arial"/>
                <w:sz w:val="20"/>
                <w:szCs w:val="20"/>
              </w:rPr>
              <w:lastRenderedPageBreak/>
              <w:t>(3) compute weighted scores for each map for each individual quality metric by multiplying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the raw scores by the weight for that individual quality </w:t>
            </w:r>
            <w:proofErr w:type="gramStart"/>
            <w:r w:rsidRPr="00ED7DDD">
              <w:rPr>
                <w:rFonts w:ascii="Arial" w:hAnsi="Arial" w:cs="Arial"/>
                <w:sz w:val="20"/>
                <w:szCs w:val="20"/>
              </w:rPr>
              <w:t>metric;</w:t>
            </w:r>
            <w:proofErr w:type="gramEnd"/>
            <w:r w:rsidRPr="00ED7DD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6CF4380" w14:textId="77777777" w:rsidR="00ED7DDD" w:rsidRDefault="00ED7DDD" w:rsidP="00ED7D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D7DDD">
              <w:rPr>
                <w:rFonts w:ascii="Arial" w:hAnsi="Arial" w:cs="Arial"/>
                <w:sz w:val="20"/>
                <w:szCs w:val="20"/>
              </w:rPr>
              <w:t>(4) compute the total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 xml:space="preserve">weighted score for each map by summing all weighted scores for that map; and </w:t>
            </w:r>
          </w:p>
          <w:p w14:paraId="75DF4941" w14:textId="77777777" w:rsidR="00CF533D" w:rsidRDefault="00ED7DDD" w:rsidP="00ED7DD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D7DDD">
              <w:rPr>
                <w:rFonts w:ascii="Arial" w:hAnsi="Arial" w:cs="Arial"/>
                <w:sz w:val="20"/>
                <w:szCs w:val="20"/>
              </w:rPr>
              <w:t>(5) 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DDD">
              <w:rPr>
                <w:rFonts w:ascii="Arial" w:hAnsi="Arial" w:cs="Arial"/>
                <w:sz w:val="20"/>
                <w:szCs w:val="20"/>
              </w:rPr>
              <w:t>the map with the highest overall weighted score.</w:t>
            </w:r>
          </w:p>
          <w:p w14:paraId="394B6DA2" w14:textId="77777777" w:rsidR="00E734C8" w:rsidRDefault="00E734C8" w:rsidP="00E734C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734C8">
              <w:rPr>
                <w:rFonts w:ascii="Arial" w:hAnsi="Arial" w:cs="Arial"/>
                <w:sz w:val="20"/>
                <w:szCs w:val="20"/>
              </w:rPr>
              <w:t xml:space="preserve">Thus, with Dr. </w:t>
            </w:r>
            <w:proofErr w:type="spellStart"/>
            <w:r w:rsidRPr="00E734C8">
              <w:rPr>
                <w:rFonts w:ascii="Arial" w:hAnsi="Arial" w:cs="Arial"/>
                <w:sz w:val="20"/>
                <w:szCs w:val="20"/>
              </w:rPr>
              <w:t>Duchin’s</w:t>
            </w:r>
            <w:proofErr w:type="spellEnd"/>
            <w:r w:rsidRPr="00E734C8">
              <w:rPr>
                <w:rFonts w:ascii="Arial" w:hAnsi="Arial" w:cs="Arial"/>
                <w:sz w:val="20"/>
                <w:szCs w:val="20"/>
              </w:rPr>
              <w:t xml:space="preserve"> data the DRAW-LINES map was the top scorer,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4C8">
              <w:rPr>
                <w:rFonts w:ascii="Arial" w:hAnsi="Arial" w:cs="Arial"/>
                <w:sz w:val="20"/>
                <w:szCs w:val="20"/>
              </w:rPr>
              <w:t xml:space="preserve">RESCH-1 as the runner-up. </w:t>
            </w:r>
          </w:p>
          <w:p w14:paraId="16217D03" w14:textId="77777777" w:rsidR="003B5323" w:rsidRDefault="00E734C8" w:rsidP="00E734C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734C8">
              <w:rPr>
                <w:rFonts w:ascii="Arial" w:hAnsi="Arial" w:cs="Arial"/>
                <w:sz w:val="20"/>
                <w:szCs w:val="20"/>
              </w:rPr>
              <w:t>As between those two maps, however, only RESCH-1 keeps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4C8">
              <w:rPr>
                <w:rFonts w:ascii="Arial" w:hAnsi="Arial" w:cs="Arial"/>
                <w:sz w:val="20"/>
                <w:szCs w:val="20"/>
              </w:rPr>
              <w:t>Pittsburgh whole, whereas DRAW-LINES splits it in two.</w:t>
            </w:r>
          </w:p>
          <w:p w14:paraId="648E297F" w14:textId="77777777" w:rsidR="00E734C8" w:rsidRDefault="00E734C8" w:rsidP="00E734C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E734C8">
              <w:rPr>
                <w:rFonts w:ascii="Arial" w:hAnsi="Arial" w:cs="Arial"/>
                <w:sz w:val="20"/>
                <w:szCs w:val="20"/>
              </w:rPr>
              <w:t>I would conclude that the RESCH-1 map should be chosen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4C8">
              <w:rPr>
                <w:rFonts w:ascii="Arial" w:hAnsi="Arial" w:cs="Arial"/>
                <w:sz w:val="20"/>
                <w:szCs w:val="20"/>
              </w:rPr>
              <w:t>regardless of which data set is used.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703871C0" w14:textId="77777777" w:rsidR="00E734C8" w:rsidRDefault="00E734C8" w:rsidP="00E734C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E734C8">
              <w:rPr>
                <w:rFonts w:ascii="Arial" w:hAnsi="Arial" w:cs="Arial"/>
                <w:sz w:val="20"/>
                <w:szCs w:val="20"/>
              </w:rPr>
              <w:t>In all events, the CARTER map does not come close to rising to the top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34C8">
              <w:rPr>
                <w:rFonts w:ascii="Arial" w:hAnsi="Arial" w:cs="Arial"/>
                <w:sz w:val="20"/>
                <w:szCs w:val="20"/>
              </w:rPr>
              <w:t>pack.</w:t>
            </w:r>
            <w:r w:rsidRPr="00E734C8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9846406" w14:textId="142F28AF" w:rsidR="008B7981" w:rsidRPr="00E734C8" w:rsidRDefault="008B7981" w:rsidP="008B798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7ADCBFF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42F094F8" w14:textId="77777777" w:rsidR="00096943" w:rsidRDefault="00602AC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Dissenting: Todd, J.</w:t>
            </w:r>
          </w:p>
          <w:p w14:paraId="4DC58A65" w14:textId="6531CF74" w:rsidR="00602ACC" w:rsidRPr="008D467C" w:rsidRDefault="00602ACC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0E8F6B92" w14:textId="77777777" w:rsidR="00096943" w:rsidRDefault="00F1291C" w:rsidP="00F1291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“[B]</w:t>
            </w:r>
            <w:proofErr w:type="spellStart"/>
            <w:r w:rsidRPr="00F1291C">
              <w:rPr>
                <w:rFonts w:ascii="Arial" w:hAnsi="Arial" w:cs="Arial"/>
                <w:sz w:val="20"/>
                <w:szCs w:val="20"/>
              </w:rPr>
              <w:t>ased</w:t>
            </w:r>
            <w:proofErr w:type="spellEnd"/>
            <w:r w:rsidRPr="00F1291C">
              <w:rPr>
                <w:rFonts w:ascii="Arial" w:hAnsi="Arial" w:cs="Arial"/>
                <w:sz w:val="20"/>
                <w:szCs w:val="20"/>
              </w:rPr>
              <w:t xml:space="preserve"> on my analysis of the neutral constitutional criteria we set forth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291C">
              <w:rPr>
                <w:rFonts w:ascii="Arial" w:hAnsi="Arial" w:cs="Arial"/>
                <w:i/>
                <w:iCs/>
                <w:sz w:val="20"/>
                <w:szCs w:val="20"/>
              </w:rPr>
              <w:t>LWV II</w:t>
            </w:r>
            <w:r w:rsidRPr="00F1291C">
              <w:rPr>
                <w:rFonts w:ascii="Arial" w:hAnsi="Arial" w:cs="Arial"/>
                <w:sz w:val="20"/>
                <w:szCs w:val="20"/>
              </w:rPr>
              <w:t>, I would select the plan developed by the “</w:t>
            </w:r>
            <w:proofErr w:type="spellStart"/>
            <w:r w:rsidRPr="00F1291C">
              <w:rPr>
                <w:rFonts w:ascii="Arial" w:hAnsi="Arial" w:cs="Arial"/>
                <w:sz w:val="20"/>
                <w:szCs w:val="20"/>
              </w:rPr>
              <w:t>Gressman</w:t>
            </w:r>
            <w:proofErr w:type="spellEnd"/>
            <w:r w:rsidRPr="00F1291C">
              <w:rPr>
                <w:rFonts w:ascii="Arial" w:hAnsi="Arial" w:cs="Arial"/>
                <w:sz w:val="20"/>
                <w:szCs w:val="20"/>
              </w:rPr>
              <w:t xml:space="preserve"> Math/Science” Petitioners</w:t>
            </w:r>
            <w:r>
              <w:rPr>
                <w:rFonts w:ascii="Arial" w:hAnsi="Arial" w:cs="Arial"/>
                <w:sz w:val="20"/>
                <w:szCs w:val="20"/>
              </w:rPr>
              <w:t>—t</w:t>
            </w:r>
            <w:r w:rsidRPr="00F1291C">
              <w:rPr>
                <w:rFonts w:ascii="Arial" w:hAnsi="Arial" w:cs="Arial"/>
                <w:sz w:val="20"/>
                <w:szCs w:val="20"/>
              </w:rPr>
              <w:t>he “</w:t>
            </w:r>
            <w:proofErr w:type="spellStart"/>
            <w:r w:rsidRPr="00F1291C">
              <w:rPr>
                <w:rFonts w:ascii="Arial" w:hAnsi="Arial" w:cs="Arial"/>
                <w:sz w:val="20"/>
                <w:szCs w:val="20"/>
              </w:rPr>
              <w:t>Gressman</w:t>
            </w:r>
            <w:proofErr w:type="spellEnd"/>
            <w:r w:rsidRPr="00F1291C">
              <w:rPr>
                <w:rFonts w:ascii="Arial" w:hAnsi="Arial" w:cs="Arial"/>
                <w:sz w:val="20"/>
                <w:szCs w:val="20"/>
              </w:rPr>
              <w:t xml:space="preserve"> Plan”</w:t>
            </w:r>
            <w:r>
              <w:rPr>
                <w:rFonts w:ascii="Arial" w:hAnsi="Arial" w:cs="Arial"/>
                <w:sz w:val="20"/>
                <w:szCs w:val="20"/>
              </w:rPr>
              <w:t>—</w:t>
            </w:r>
            <w:proofErr w:type="spellStart"/>
            <w:r w:rsidRPr="00F1291C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spellEnd"/>
            <w:r w:rsidRPr="00F1291C">
              <w:rPr>
                <w:rFonts w:ascii="Arial" w:hAnsi="Arial" w:cs="Arial"/>
                <w:sz w:val="20"/>
                <w:szCs w:val="20"/>
              </w:rPr>
              <w:t xml:space="preserve">I consider it to </w:t>
            </w:r>
            <w:proofErr w:type="gramStart"/>
            <w:r w:rsidRPr="00F1291C">
              <w:rPr>
                <w:rFonts w:ascii="Arial" w:hAnsi="Arial" w:cs="Arial"/>
                <w:sz w:val="20"/>
                <w:szCs w:val="20"/>
              </w:rPr>
              <w:t>most closely adhere to those neutral standards</w:t>
            </w:r>
            <w:proofErr w:type="gramEnd"/>
            <w:r w:rsidRPr="00F1291C">
              <w:rPr>
                <w:rFonts w:ascii="Arial" w:hAnsi="Arial" w:cs="Arial"/>
                <w:sz w:val="20"/>
                <w:szCs w:val="20"/>
              </w:rPr>
              <w:t>.</w:t>
            </w:r>
            <w:r w:rsidR="00973E98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17AF971D" w14:textId="0D18843B" w:rsidR="00BC26FF" w:rsidRDefault="00BC26FF" w:rsidP="00F07F8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court need rarely to “</w:t>
            </w:r>
            <w:r w:rsidRPr="00BC26FF">
              <w:rPr>
                <w:rFonts w:ascii="Arial" w:hAnsi="Arial" w:cs="Arial"/>
                <w:sz w:val="20"/>
                <w:szCs w:val="20"/>
              </w:rPr>
              <w:t>look beyond the constitutionally-specified neutral criteria</w:t>
            </w:r>
            <w:r>
              <w:rPr>
                <w:rFonts w:ascii="Arial" w:hAnsi="Arial" w:cs="Arial"/>
                <w:sz w:val="20"/>
                <w:szCs w:val="20"/>
              </w:rPr>
              <w:t xml:space="preserve">” to assess the subordinate </w:t>
            </w:r>
            <w:r w:rsidR="00F44915">
              <w:rPr>
                <w:rFonts w:ascii="Arial" w:hAnsi="Arial" w:cs="Arial"/>
                <w:sz w:val="20"/>
                <w:szCs w:val="20"/>
              </w:rPr>
              <w:t>considerations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F5A5E8" w14:textId="77777777" w:rsidR="00F07F88" w:rsidRDefault="00F07F88" w:rsidP="00F07F8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F07F88">
              <w:rPr>
                <w:rFonts w:ascii="Arial" w:hAnsi="Arial" w:cs="Arial"/>
                <w:sz w:val="20"/>
                <w:szCs w:val="20"/>
              </w:rPr>
              <w:t>In my view, assessment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>subordinate or secondary considerations such as partisan fairness, or whether a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 xml:space="preserve">represents the least change from a prior congressional districting plan, is necessary </w:t>
            </w:r>
            <w:r w:rsidRPr="00F07F88">
              <w:rPr>
                <w:rFonts w:ascii="Arial" w:hAnsi="Arial" w:cs="Arial"/>
                <w:i/>
                <w:iCs/>
                <w:sz w:val="20"/>
                <w:szCs w:val="20"/>
              </w:rPr>
              <w:t>only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>when a court must choose among various plans that are equal with respect to 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 xml:space="preserve">compliance with the core criteria.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>Where, however, one plan is superior to all others,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>measured by the closeness of its adherence to these criteria, I find it unnecessary for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7F88">
              <w:rPr>
                <w:rFonts w:ascii="Arial" w:hAnsi="Arial" w:cs="Arial"/>
                <w:sz w:val="20"/>
                <w:szCs w:val="20"/>
              </w:rPr>
              <w:t>court to consider the subordinate considerations.</w:t>
            </w:r>
            <w:r w:rsidRPr="00F07F88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2E5B2D11" w14:textId="15BB7148" w:rsidR="00FA03C0" w:rsidRPr="00F07F88" w:rsidRDefault="00FA03C0" w:rsidP="00FA03C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6943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Notes/ </w:t>
            </w:r>
          </w:p>
          <w:p w14:paraId="58605F49" w14:textId="32AC2F7E" w:rsidR="00096943" w:rsidRPr="008D467C" w:rsidRDefault="00096943" w:rsidP="00096943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6783E545" w:rsidR="00096943" w:rsidRPr="008D467C" w:rsidRDefault="00FA03C0" w:rsidP="0009694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3A95" w14:textId="77777777" w:rsidR="00F51F9D" w:rsidRDefault="00F51F9D" w:rsidP="008141F3">
      <w:pPr>
        <w:spacing w:line="240" w:lineRule="auto"/>
      </w:pPr>
      <w:r>
        <w:separator/>
      </w:r>
    </w:p>
  </w:endnote>
  <w:endnote w:type="continuationSeparator" w:id="0">
    <w:p w14:paraId="005A3BFF" w14:textId="77777777" w:rsidR="00F51F9D" w:rsidRDefault="00F51F9D" w:rsidP="00814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E442" w14:textId="77777777" w:rsidR="00F51F9D" w:rsidRDefault="00F51F9D" w:rsidP="008141F3">
      <w:pPr>
        <w:spacing w:line="240" w:lineRule="auto"/>
      </w:pPr>
      <w:r>
        <w:separator/>
      </w:r>
    </w:p>
  </w:footnote>
  <w:footnote w:type="continuationSeparator" w:id="0">
    <w:p w14:paraId="613ABAC2" w14:textId="77777777" w:rsidR="00F51F9D" w:rsidRDefault="00F51F9D" w:rsidP="008141F3">
      <w:pPr>
        <w:spacing w:line="240" w:lineRule="auto"/>
      </w:pPr>
      <w:r>
        <w:continuationSeparator/>
      </w:r>
    </w:p>
  </w:footnote>
  <w:footnote w:id="1">
    <w:p w14:paraId="169C5DE3" w14:textId="3DAC82BE" w:rsidR="002C50E2" w:rsidRDefault="002C50E2">
      <w:pPr>
        <w:pStyle w:val="FootnoteText"/>
      </w:pPr>
      <w:r>
        <w:rPr>
          <w:rStyle w:val="FootnoteReference"/>
        </w:rPr>
        <w:footnoteRef/>
      </w:r>
      <w:r>
        <w:t xml:space="preserve"> The political party designations of the judges </w:t>
      </w:r>
      <w:r w:rsidR="00887CE3">
        <w:t>were</w:t>
      </w:r>
      <w:r>
        <w:t xml:space="preserve"> obtained </w:t>
      </w:r>
      <w:r w:rsidR="00887CE3">
        <w:t>via</w:t>
      </w:r>
      <w:r>
        <w:t xml:space="preserve"> Google desktop searches, which may not be </w:t>
      </w:r>
      <w:r w:rsidR="00152B60">
        <w:t xml:space="preserve">entirely </w:t>
      </w:r>
      <w:r>
        <w:t>accurate.</w:t>
      </w:r>
    </w:p>
  </w:footnote>
  <w:footnote w:id="2">
    <w:p w14:paraId="3938E31D" w14:textId="77777777" w:rsidR="00225797" w:rsidRDefault="00225797" w:rsidP="00225797">
      <w:pPr>
        <w:pStyle w:val="FootnoteText"/>
      </w:pPr>
      <w:r>
        <w:rPr>
          <w:rStyle w:val="FootnoteReference"/>
        </w:rPr>
        <w:footnoteRef/>
      </w:r>
      <w:r>
        <w:t xml:space="preserve"> The first question asks whether the population differences could practicably have been avoided through good-faith effort.  </w:t>
      </w:r>
      <w:proofErr w:type="spellStart"/>
      <w:r w:rsidRPr="00AD7797">
        <w:rPr>
          <w:i/>
          <w:iCs/>
        </w:rPr>
        <w:t>Karcher</w:t>
      </w:r>
      <w:proofErr w:type="spellEnd"/>
      <w:r>
        <w:t xml:space="preserve">, 462 U.S. at 730. If so, the second question asks whether the differences were nonetheless necessary to achieve a legitimate state objective. Tennant, 567 U.S. at 760 (citing </w:t>
      </w:r>
      <w:proofErr w:type="spellStart"/>
      <w:r w:rsidRPr="00AD7797">
        <w:rPr>
          <w:i/>
          <w:iCs/>
        </w:rPr>
        <w:t>Karcher</w:t>
      </w:r>
      <w:proofErr w:type="spellEnd"/>
      <w:r>
        <w:t>, 462 U.S. at 740-41).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15837"/>
    <w:rsid w:val="00015A2C"/>
    <w:rsid w:val="0002287E"/>
    <w:rsid w:val="00023862"/>
    <w:rsid w:val="00031BFF"/>
    <w:rsid w:val="0003271E"/>
    <w:rsid w:val="00036DBC"/>
    <w:rsid w:val="000423F8"/>
    <w:rsid w:val="00053734"/>
    <w:rsid w:val="00053DC6"/>
    <w:rsid w:val="000612B8"/>
    <w:rsid w:val="00065C4F"/>
    <w:rsid w:val="0006709A"/>
    <w:rsid w:val="000700E5"/>
    <w:rsid w:val="00072376"/>
    <w:rsid w:val="00077F1A"/>
    <w:rsid w:val="00081EDF"/>
    <w:rsid w:val="00096943"/>
    <w:rsid w:val="000C62F3"/>
    <w:rsid w:val="000C6405"/>
    <w:rsid w:val="000D6927"/>
    <w:rsid w:val="000E07F2"/>
    <w:rsid w:val="000E1185"/>
    <w:rsid w:val="000E1701"/>
    <w:rsid w:val="000E2B5F"/>
    <w:rsid w:val="000F06B0"/>
    <w:rsid w:val="000F7680"/>
    <w:rsid w:val="000F7880"/>
    <w:rsid w:val="000F7881"/>
    <w:rsid w:val="001008F5"/>
    <w:rsid w:val="001220ED"/>
    <w:rsid w:val="00126FC6"/>
    <w:rsid w:val="00134B9C"/>
    <w:rsid w:val="001423EE"/>
    <w:rsid w:val="0015052D"/>
    <w:rsid w:val="00151DCA"/>
    <w:rsid w:val="00152B60"/>
    <w:rsid w:val="0015386E"/>
    <w:rsid w:val="00156FAE"/>
    <w:rsid w:val="00166C13"/>
    <w:rsid w:val="00174C5F"/>
    <w:rsid w:val="0017583A"/>
    <w:rsid w:val="00181207"/>
    <w:rsid w:val="001872D6"/>
    <w:rsid w:val="00191BE3"/>
    <w:rsid w:val="0019254A"/>
    <w:rsid w:val="001B45BC"/>
    <w:rsid w:val="001C3E3E"/>
    <w:rsid w:val="001C59EC"/>
    <w:rsid w:val="001E5752"/>
    <w:rsid w:val="001E6844"/>
    <w:rsid w:val="001F32D6"/>
    <w:rsid w:val="001F4E60"/>
    <w:rsid w:val="001F7992"/>
    <w:rsid w:val="00202D94"/>
    <w:rsid w:val="00207D95"/>
    <w:rsid w:val="00211E23"/>
    <w:rsid w:val="00212664"/>
    <w:rsid w:val="00215EC7"/>
    <w:rsid w:val="00217A6B"/>
    <w:rsid w:val="0022426A"/>
    <w:rsid w:val="00225797"/>
    <w:rsid w:val="00225810"/>
    <w:rsid w:val="002277B0"/>
    <w:rsid w:val="00227AA3"/>
    <w:rsid w:val="00227CB8"/>
    <w:rsid w:val="00227FB8"/>
    <w:rsid w:val="00236E89"/>
    <w:rsid w:val="002379BA"/>
    <w:rsid w:val="00264C5A"/>
    <w:rsid w:val="00267920"/>
    <w:rsid w:val="00271211"/>
    <w:rsid w:val="00274E03"/>
    <w:rsid w:val="00281D9D"/>
    <w:rsid w:val="002856A4"/>
    <w:rsid w:val="00290BB0"/>
    <w:rsid w:val="002C2AAC"/>
    <w:rsid w:val="002C50E2"/>
    <w:rsid w:val="002C7F9A"/>
    <w:rsid w:val="002D6F29"/>
    <w:rsid w:val="002E0856"/>
    <w:rsid w:val="002E1F56"/>
    <w:rsid w:val="002F086B"/>
    <w:rsid w:val="002F5F22"/>
    <w:rsid w:val="0032595F"/>
    <w:rsid w:val="003265DE"/>
    <w:rsid w:val="00330EC1"/>
    <w:rsid w:val="00330FC5"/>
    <w:rsid w:val="00334C92"/>
    <w:rsid w:val="003422FB"/>
    <w:rsid w:val="0034242C"/>
    <w:rsid w:val="003427AD"/>
    <w:rsid w:val="0034558D"/>
    <w:rsid w:val="003543FB"/>
    <w:rsid w:val="00362FC3"/>
    <w:rsid w:val="00367B64"/>
    <w:rsid w:val="003718D9"/>
    <w:rsid w:val="00372F65"/>
    <w:rsid w:val="003814FC"/>
    <w:rsid w:val="003942F0"/>
    <w:rsid w:val="003A04DD"/>
    <w:rsid w:val="003A4C67"/>
    <w:rsid w:val="003A7EA5"/>
    <w:rsid w:val="003B0E44"/>
    <w:rsid w:val="003B5323"/>
    <w:rsid w:val="003B7601"/>
    <w:rsid w:val="003B7FD8"/>
    <w:rsid w:val="003C1DED"/>
    <w:rsid w:val="003C5CCC"/>
    <w:rsid w:val="003D336C"/>
    <w:rsid w:val="003D415C"/>
    <w:rsid w:val="003D65B4"/>
    <w:rsid w:val="003E26B7"/>
    <w:rsid w:val="003E282F"/>
    <w:rsid w:val="003E4172"/>
    <w:rsid w:val="00415C5B"/>
    <w:rsid w:val="0041780A"/>
    <w:rsid w:val="0042093C"/>
    <w:rsid w:val="00421A19"/>
    <w:rsid w:val="00431B19"/>
    <w:rsid w:val="004437CD"/>
    <w:rsid w:val="00443FB9"/>
    <w:rsid w:val="004508EA"/>
    <w:rsid w:val="0045618C"/>
    <w:rsid w:val="00470889"/>
    <w:rsid w:val="0047192B"/>
    <w:rsid w:val="00471CFA"/>
    <w:rsid w:val="00476206"/>
    <w:rsid w:val="0047710B"/>
    <w:rsid w:val="00484653"/>
    <w:rsid w:val="004A1DB2"/>
    <w:rsid w:val="004A2C87"/>
    <w:rsid w:val="004B0981"/>
    <w:rsid w:val="004B493D"/>
    <w:rsid w:val="004C137C"/>
    <w:rsid w:val="004C5B3D"/>
    <w:rsid w:val="004C5C91"/>
    <w:rsid w:val="004D193D"/>
    <w:rsid w:val="004D4174"/>
    <w:rsid w:val="00500CB5"/>
    <w:rsid w:val="00515521"/>
    <w:rsid w:val="0052532C"/>
    <w:rsid w:val="00537B72"/>
    <w:rsid w:val="00556E2D"/>
    <w:rsid w:val="00557028"/>
    <w:rsid w:val="00563D63"/>
    <w:rsid w:val="005704EE"/>
    <w:rsid w:val="00570BD6"/>
    <w:rsid w:val="0057220E"/>
    <w:rsid w:val="00585B77"/>
    <w:rsid w:val="005A0373"/>
    <w:rsid w:val="005A13C9"/>
    <w:rsid w:val="005A4170"/>
    <w:rsid w:val="005B1F69"/>
    <w:rsid w:val="005B2017"/>
    <w:rsid w:val="005B2DE7"/>
    <w:rsid w:val="005B36CA"/>
    <w:rsid w:val="005B421F"/>
    <w:rsid w:val="005B7739"/>
    <w:rsid w:val="005B7FFE"/>
    <w:rsid w:val="005C2CF1"/>
    <w:rsid w:val="005D746D"/>
    <w:rsid w:val="005F29F1"/>
    <w:rsid w:val="005F52E2"/>
    <w:rsid w:val="005F539F"/>
    <w:rsid w:val="005F7580"/>
    <w:rsid w:val="005F7C1D"/>
    <w:rsid w:val="00602ACC"/>
    <w:rsid w:val="00615943"/>
    <w:rsid w:val="00631814"/>
    <w:rsid w:val="006379AD"/>
    <w:rsid w:val="00643A05"/>
    <w:rsid w:val="006502FF"/>
    <w:rsid w:val="00650E13"/>
    <w:rsid w:val="00671155"/>
    <w:rsid w:val="0067223B"/>
    <w:rsid w:val="006738A2"/>
    <w:rsid w:val="006811F0"/>
    <w:rsid w:val="00681F61"/>
    <w:rsid w:val="00690BEA"/>
    <w:rsid w:val="0069717A"/>
    <w:rsid w:val="00697197"/>
    <w:rsid w:val="006A08C1"/>
    <w:rsid w:val="006B1C61"/>
    <w:rsid w:val="006B2D20"/>
    <w:rsid w:val="006C0DC8"/>
    <w:rsid w:val="006C7F2E"/>
    <w:rsid w:val="006F2C19"/>
    <w:rsid w:val="007009F8"/>
    <w:rsid w:val="00703EAB"/>
    <w:rsid w:val="00713481"/>
    <w:rsid w:val="007220AF"/>
    <w:rsid w:val="00730202"/>
    <w:rsid w:val="007310E0"/>
    <w:rsid w:val="00732ABB"/>
    <w:rsid w:val="00733E66"/>
    <w:rsid w:val="007356E6"/>
    <w:rsid w:val="00750AC1"/>
    <w:rsid w:val="00756599"/>
    <w:rsid w:val="00765D3C"/>
    <w:rsid w:val="0077533F"/>
    <w:rsid w:val="0079288A"/>
    <w:rsid w:val="007951B7"/>
    <w:rsid w:val="007B3265"/>
    <w:rsid w:val="007B3ECB"/>
    <w:rsid w:val="007C0670"/>
    <w:rsid w:val="007C0F38"/>
    <w:rsid w:val="007D467C"/>
    <w:rsid w:val="007D63B1"/>
    <w:rsid w:val="007E2E81"/>
    <w:rsid w:val="008023D0"/>
    <w:rsid w:val="008026FA"/>
    <w:rsid w:val="008042C7"/>
    <w:rsid w:val="00804DC1"/>
    <w:rsid w:val="008141F3"/>
    <w:rsid w:val="0082403E"/>
    <w:rsid w:val="00825E45"/>
    <w:rsid w:val="00827E8C"/>
    <w:rsid w:val="0084773C"/>
    <w:rsid w:val="008527AE"/>
    <w:rsid w:val="00852A5A"/>
    <w:rsid w:val="00852EA3"/>
    <w:rsid w:val="00856149"/>
    <w:rsid w:val="0085735A"/>
    <w:rsid w:val="0087202D"/>
    <w:rsid w:val="00874984"/>
    <w:rsid w:val="00875A23"/>
    <w:rsid w:val="008775BD"/>
    <w:rsid w:val="00887CE3"/>
    <w:rsid w:val="008930C1"/>
    <w:rsid w:val="0089629B"/>
    <w:rsid w:val="008B2E42"/>
    <w:rsid w:val="008B41FC"/>
    <w:rsid w:val="008B7981"/>
    <w:rsid w:val="008B7B99"/>
    <w:rsid w:val="008C22F9"/>
    <w:rsid w:val="008D467C"/>
    <w:rsid w:val="008D66FD"/>
    <w:rsid w:val="008E01C2"/>
    <w:rsid w:val="008E1661"/>
    <w:rsid w:val="008E628A"/>
    <w:rsid w:val="008E6D44"/>
    <w:rsid w:val="0090372C"/>
    <w:rsid w:val="00905D1D"/>
    <w:rsid w:val="00906592"/>
    <w:rsid w:val="00907AC2"/>
    <w:rsid w:val="00910831"/>
    <w:rsid w:val="009108BB"/>
    <w:rsid w:val="00914F9F"/>
    <w:rsid w:val="00942673"/>
    <w:rsid w:val="0095611E"/>
    <w:rsid w:val="0096129B"/>
    <w:rsid w:val="009705C7"/>
    <w:rsid w:val="00973E98"/>
    <w:rsid w:val="00981678"/>
    <w:rsid w:val="0099185A"/>
    <w:rsid w:val="00992B19"/>
    <w:rsid w:val="009A2E6B"/>
    <w:rsid w:val="009A6F30"/>
    <w:rsid w:val="009A72E8"/>
    <w:rsid w:val="009B1A73"/>
    <w:rsid w:val="009C6C77"/>
    <w:rsid w:val="009E0842"/>
    <w:rsid w:val="009F33C9"/>
    <w:rsid w:val="009F3901"/>
    <w:rsid w:val="009F7767"/>
    <w:rsid w:val="00A06623"/>
    <w:rsid w:val="00A10326"/>
    <w:rsid w:val="00A175AC"/>
    <w:rsid w:val="00A22730"/>
    <w:rsid w:val="00A22BD7"/>
    <w:rsid w:val="00A252C1"/>
    <w:rsid w:val="00A31371"/>
    <w:rsid w:val="00A32E61"/>
    <w:rsid w:val="00A522D6"/>
    <w:rsid w:val="00A56902"/>
    <w:rsid w:val="00A61043"/>
    <w:rsid w:val="00A625A2"/>
    <w:rsid w:val="00A64C3F"/>
    <w:rsid w:val="00A7027B"/>
    <w:rsid w:val="00A71C57"/>
    <w:rsid w:val="00A76485"/>
    <w:rsid w:val="00A82385"/>
    <w:rsid w:val="00A90B0E"/>
    <w:rsid w:val="00A965D3"/>
    <w:rsid w:val="00A96AEB"/>
    <w:rsid w:val="00AA72DA"/>
    <w:rsid w:val="00AB174E"/>
    <w:rsid w:val="00AB7083"/>
    <w:rsid w:val="00AC1E63"/>
    <w:rsid w:val="00AC57A6"/>
    <w:rsid w:val="00AD083C"/>
    <w:rsid w:val="00AD7797"/>
    <w:rsid w:val="00AE1FFA"/>
    <w:rsid w:val="00AE419A"/>
    <w:rsid w:val="00AF080C"/>
    <w:rsid w:val="00AF20C5"/>
    <w:rsid w:val="00B01256"/>
    <w:rsid w:val="00B07787"/>
    <w:rsid w:val="00B11B08"/>
    <w:rsid w:val="00B16695"/>
    <w:rsid w:val="00B17476"/>
    <w:rsid w:val="00B20FD7"/>
    <w:rsid w:val="00B374BD"/>
    <w:rsid w:val="00B401E4"/>
    <w:rsid w:val="00B44B83"/>
    <w:rsid w:val="00B47047"/>
    <w:rsid w:val="00B53D6A"/>
    <w:rsid w:val="00B61360"/>
    <w:rsid w:val="00B63316"/>
    <w:rsid w:val="00B665A3"/>
    <w:rsid w:val="00B6761D"/>
    <w:rsid w:val="00B85DAF"/>
    <w:rsid w:val="00B85E40"/>
    <w:rsid w:val="00B8711F"/>
    <w:rsid w:val="00B932D8"/>
    <w:rsid w:val="00B94452"/>
    <w:rsid w:val="00B94C81"/>
    <w:rsid w:val="00BA4FAC"/>
    <w:rsid w:val="00BC26FF"/>
    <w:rsid w:val="00BC5FB8"/>
    <w:rsid w:val="00BD5F8B"/>
    <w:rsid w:val="00BE4512"/>
    <w:rsid w:val="00BF28A1"/>
    <w:rsid w:val="00C0459A"/>
    <w:rsid w:val="00C141A6"/>
    <w:rsid w:val="00C16C8D"/>
    <w:rsid w:val="00C552C0"/>
    <w:rsid w:val="00C65501"/>
    <w:rsid w:val="00C70E9F"/>
    <w:rsid w:val="00C72343"/>
    <w:rsid w:val="00C751FE"/>
    <w:rsid w:val="00C774CC"/>
    <w:rsid w:val="00C77F6D"/>
    <w:rsid w:val="00C8011A"/>
    <w:rsid w:val="00C810B7"/>
    <w:rsid w:val="00C842DB"/>
    <w:rsid w:val="00C96F8C"/>
    <w:rsid w:val="00C97601"/>
    <w:rsid w:val="00C97974"/>
    <w:rsid w:val="00CA1CBF"/>
    <w:rsid w:val="00CA7970"/>
    <w:rsid w:val="00CB0695"/>
    <w:rsid w:val="00CB0E1D"/>
    <w:rsid w:val="00CB51AA"/>
    <w:rsid w:val="00CB6C1D"/>
    <w:rsid w:val="00CC35F5"/>
    <w:rsid w:val="00CC527C"/>
    <w:rsid w:val="00CD0405"/>
    <w:rsid w:val="00CD0BFF"/>
    <w:rsid w:val="00CD23A3"/>
    <w:rsid w:val="00CE2D63"/>
    <w:rsid w:val="00CF533D"/>
    <w:rsid w:val="00D07DF7"/>
    <w:rsid w:val="00D136BC"/>
    <w:rsid w:val="00D17059"/>
    <w:rsid w:val="00D33184"/>
    <w:rsid w:val="00D33636"/>
    <w:rsid w:val="00D40A68"/>
    <w:rsid w:val="00D41361"/>
    <w:rsid w:val="00D43CAE"/>
    <w:rsid w:val="00D470CC"/>
    <w:rsid w:val="00D576CB"/>
    <w:rsid w:val="00D61314"/>
    <w:rsid w:val="00D632BA"/>
    <w:rsid w:val="00D63D1B"/>
    <w:rsid w:val="00D67E4B"/>
    <w:rsid w:val="00D73B91"/>
    <w:rsid w:val="00D866BD"/>
    <w:rsid w:val="00D90943"/>
    <w:rsid w:val="00DB1948"/>
    <w:rsid w:val="00DC318D"/>
    <w:rsid w:val="00DC6F51"/>
    <w:rsid w:val="00DD196D"/>
    <w:rsid w:val="00DD66C7"/>
    <w:rsid w:val="00DD6768"/>
    <w:rsid w:val="00DD758F"/>
    <w:rsid w:val="00DD7F5E"/>
    <w:rsid w:val="00DE1886"/>
    <w:rsid w:val="00DF0032"/>
    <w:rsid w:val="00DF0717"/>
    <w:rsid w:val="00DF430C"/>
    <w:rsid w:val="00DF450D"/>
    <w:rsid w:val="00E124D6"/>
    <w:rsid w:val="00E21002"/>
    <w:rsid w:val="00E2275E"/>
    <w:rsid w:val="00E22B20"/>
    <w:rsid w:val="00E36A1E"/>
    <w:rsid w:val="00E44D86"/>
    <w:rsid w:val="00E52E3F"/>
    <w:rsid w:val="00E72929"/>
    <w:rsid w:val="00E734C8"/>
    <w:rsid w:val="00E7723D"/>
    <w:rsid w:val="00E87021"/>
    <w:rsid w:val="00ED32B3"/>
    <w:rsid w:val="00ED7DDD"/>
    <w:rsid w:val="00EE2D91"/>
    <w:rsid w:val="00EE4689"/>
    <w:rsid w:val="00EF6ECA"/>
    <w:rsid w:val="00EF7CAB"/>
    <w:rsid w:val="00F07F88"/>
    <w:rsid w:val="00F1291C"/>
    <w:rsid w:val="00F1414C"/>
    <w:rsid w:val="00F21D79"/>
    <w:rsid w:val="00F24EE1"/>
    <w:rsid w:val="00F30828"/>
    <w:rsid w:val="00F36DBB"/>
    <w:rsid w:val="00F37460"/>
    <w:rsid w:val="00F407AC"/>
    <w:rsid w:val="00F412FB"/>
    <w:rsid w:val="00F42071"/>
    <w:rsid w:val="00F44915"/>
    <w:rsid w:val="00F47A0B"/>
    <w:rsid w:val="00F51F9D"/>
    <w:rsid w:val="00F73E82"/>
    <w:rsid w:val="00F7482E"/>
    <w:rsid w:val="00F779BA"/>
    <w:rsid w:val="00F979C4"/>
    <w:rsid w:val="00FA03C0"/>
    <w:rsid w:val="00FC1FCB"/>
    <w:rsid w:val="00FD0BC0"/>
    <w:rsid w:val="00FD4C3F"/>
    <w:rsid w:val="00FE0DD8"/>
    <w:rsid w:val="00FE2E32"/>
    <w:rsid w:val="00FE2F6B"/>
    <w:rsid w:val="00FE4207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1F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1F3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1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264</cp:revision>
  <dcterms:created xsi:type="dcterms:W3CDTF">2022-09-23T03:48:00Z</dcterms:created>
  <dcterms:modified xsi:type="dcterms:W3CDTF">2022-09-23T22:36:00Z</dcterms:modified>
</cp:coreProperties>
</file>