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EEBC" w14:textId="0C4C55F5" w:rsidR="006F2C19" w:rsidRPr="00D73B91" w:rsidRDefault="00CA7970">
      <w:pPr>
        <w:rPr>
          <w:szCs w:val="20"/>
        </w:rPr>
      </w:pPr>
      <w:r w:rsidRPr="00D73B91">
        <w:rPr>
          <w:szCs w:val="20"/>
        </w:rPr>
        <w:t xml:space="preserve">To: </w:t>
      </w:r>
      <w:r w:rsidRPr="00D73B91">
        <w:rPr>
          <w:szCs w:val="20"/>
        </w:rPr>
        <w:tab/>
      </w:r>
      <w:r w:rsidR="005F7C1D">
        <w:rPr>
          <w:szCs w:val="20"/>
        </w:rPr>
        <w:t xml:space="preserve">Jonathan </w:t>
      </w:r>
      <w:proofErr w:type="spellStart"/>
      <w:r w:rsidR="005F7C1D">
        <w:rPr>
          <w:szCs w:val="20"/>
        </w:rPr>
        <w:t>Cervas</w:t>
      </w:r>
      <w:proofErr w:type="spellEnd"/>
      <w:r w:rsidR="0082403E">
        <w:rPr>
          <w:szCs w:val="20"/>
        </w:rPr>
        <w:t>, Ph.</w:t>
      </w:r>
      <w:r w:rsidR="00472FED">
        <w:rPr>
          <w:szCs w:val="20"/>
        </w:rPr>
        <w:t xml:space="preserve">D. &amp; Bernard </w:t>
      </w:r>
      <w:proofErr w:type="spellStart"/>
      <w:r w:rsidR="00472FED">
        <w:rPr>
          <w:szCs w:val="20"/>
        </w:rPr>
        <w:t>Grofman</w:t>
      </w:r>
      <w:proofErr w:type="spellEnd"/>
      <w:r w:rsidR="00472FED">
        <w:rPr>
          <w:szCs w:val="20"/>
        </w:rPr>
        <w:t>, Ph.D.</w:t>
      </w:r>
    </w:p>
    <w:p w14:paraId="3C1F65CF" w14:textId="77777777" w:rsidR="00CA7970" w:rsidRPr="00D73B91" w:rsidRDefault="00CA7970">
      <w:pPr>
        <w:rPr>
          <w:szCs w:val="20"/>
        </w:rPr>
      </w:pPr>
      <w:r w:rsidRPr="00D73B91">
        <w:rPr>
          <w:szCs w:val="20"/>
        </w:rPr>
        <w:t>From:</w:t>
      </w:r>
      <w:r w:rsidRPr="00D73B91">
        <w:rPr>
          <w:szCs w:val="20"/>
        </w:rPr>
        <w:tab/>
        <w:t>Scott Matsuda</w:t>
      </w:r>
    </w:p>
    <w:p w14:paraId="1B9182EE" w14:textId="4F525F11" w:rsidR="00CA7970" w:rsidRPr="00D73B91" w:rsidRDefault="00CA7970">
      <w:pPr>
        <w:rPr>
          <w:szCs w:val="20"/>
        </w:rPr>
      </w:pPr>
      <w:r w:rsidRPr="00D73B91">
        <w:rPr>
          <w:szCs w:val="20"/>
        </w:rPr>
        <w:t>Date:</w:t>
      </w:r>
      <w:r w:rsidRPr="00D73B91">
        <w:rPr>
          <w:szCs w:val="20"/>
        </w:rPr>
        <w:tab/>
      </w:r>
      <w:r w:rsidR="004C3C47">
        <w:rPr>
          <w:szCs w:val="20"/>
        </w:rPr>
        <w:t>10/3/2022</w:t>
      </w:r>
    </w:p>
    <w:p w14:paraId="0BD5E032" w14:textId="77777777" w:rsidR="00F72527" w:rsidRDefault="00CA7970" w:rsidP="00CA7970">
      <w:pPr>
        <w:jc w:val="center"/>
        <w:rPr>
          <w:szCs w:val="20"/>
          <w:u w:val="single"/>
        </w:rPr>
      </w:pPr>
      <w:r w:rsidRPr="00852EA3">
        <w:rPr>
          <w:szCs w:val="20"/>
          <w:u w:val="single"/>
        </w:rPr>
        <w:t>Case Briefing</w:t>
      </w:r>
    </w:p>
    <w:p w14:paraId="092ADAF3" w14:textId="4F6395DB" w:rsidR="00F72527" w:rsidRPr="008A462C" w:rsidRDefault="00061BAC" w:rsidP="008A462C">
      <w:pPr>
        <w:jc w:val="center"/>
        <w:rPr>
          <w:b/>
          <w:bCs/>
          <w:szCs w:val="20"/>
          <w:u w:val="single"/>
        </w:rPr>
      </w:pPr>
      <w:r>
        <w:rPr>
          <w:b/>
          <w:bCs/>
          <w:szCs w:val="20"/>
          <w:u w:val="single"/>
        </w:rPr>
        <w:t>[</w:t>
      </w:r>
      <w:r w:rsidR="00922B6D">
        <w:rPr>
          <w:b/>
          <w:bCs/>
          <w:szCs w:val="20"/>
          <w:u w:val="single"/>
        </w:rPr>
        <w:t>Mis</w:t>
      </w:r>
      <w:r w:rsidR="004302E9">
        <w:rPr>
          <w:b/>
          <w:bCs/>
          <w:szCs w:val="20"/>
          <w:u w:val="single"/>
        </w:rPr>
        <w:t>cellaneous Pending Cases</w:t>
      </w:r>
      <w:r w:rsidR="007F17DF">
        <w:rPr>
          <w:b/>
          <w:bCs/>
          <w:szCs w:val="20"/>
          <w:u w:val="single"/>
        </w:rPr>
        <w:t>: AR, FL, KY, NM, OH, UT</w:t>
      </w:r>
      <w:r>
        <w:rPr>
          <w:b/>
          <w:bCs/>
          <w:szCs w:val="20"/>
          <w:u w:val="single"/>
        </w:rPr>
        <w:t>]</w:t>
      </w:r>
    </w:p>
    <w:p w14:paraId="47621ED4" w14:textId="77777777" w:rsidR="00F72527" w:rsidRDefault="00F72527">
      <w:pPr>
        <w:rPr>
          <w:szCs w:val="20"/>
        </w:rPr>
      </w:pPr>
    </w:p>
    <w:p w14:paraId="4E1B18D3" w14:textId="79AB8B8B" w:rsidR="00AA10B4" w:rsidRDefault="00B9468D">
      <w:pPr>
        <w:rPr>
          <w:b/>
          <w:bCs/>
          <w:szCs w:val="20"/>
        </w:rPr>
      </w:pPr>
      <w:r>
        <w:rPr>
          <w:b/>
          <w:bCs/>
          <w:szCs w:val="20"/>
        </w:rPr>
        <w:t>ARKANSAS</w:t>
      </w:r>
    </w:p>
    <w:p w14:paraId="7F499616" w14:textId="77777777" w:rsidR="000B0357" w:rsidRPr="00EE2738" w:rsidRDefault="000B0357">
      <w:pPr>
        <w:rPr>
          <w:color w:val="FF0000"/>
          <w:szCs w:val="20"/>
        </w:rPr>
      </w:pPr>
    </w:p>
    <w:p w14:paraId="3F611DD2" w14:textId="5557277C" w:rsidR="00F72527" w:rsidRPr="00EE2738" w:rsidRDefault="0069126D">
      <w:pPr>
        <w:rPr>
          <w:color w:val="FF0000"/>
        </w:rPr>
      </w:pPr>
      <w:r w:rsidRPr="00EE2738">
        <w:rPr>
          <w:color w:val="FF0000"/>
          <w:szCs w:val="20"/>
        </w:rPr>
        <w:t xml:space="preserve">(Note: </w:t>
      </w:r>
      <w:proofErr w:type="spellStart"/>
      <w:r w:rsidRPr="00EE2738">
        <w:rPr>
          <w:i/>
          <w:iCs/>
          <w:color w:val="FF0000"/>
          <w:szCs w:val="20"/>
        </w:rPr>
        <w:t>Suttlar</w:t>
      </w:r>
      <w:proofErr w:type="spellEnd"/>
      <w:r w:rsidRPr="00EE2738">
        <w:rPr>
          <w:i/>
          <w:iCs/>
          <w:color w:val="FF0000"/>
          <w:szCs w:val="20"/>
        </w:rPr>
        <w:t xml:space="preserve"> v. Thurston</w:t>
      </w:r>
      <w:r w:rsidR="000936C5" w:rsidRPr="00EE2738">
        <w:rPr>
          <w:color w:val="FF0000"/>
          <w:szCs w:val="20"/>
        </w:rPr>
        <w:t xml:space="preserve"> </w:t>
      </w:r>
      <w:r w:rsidRPr="00EE2738">
        <w:rPr>
          <w:color w:val="FF0000"/>
          <w:szCs w:val="20"/>
        </w:rPr>
        <w:t>was</w:t>
      </w:r>
      <w:r w:rsidR="00435739">
        <w:rPr>
          <w:color w:val="FF0000"/>
          <w:szCs w:val="20"/>
        </w:rPr>
        <w:t>, in fact,</w:t>
      </w:r>
      <w:r w:rsidRPr="00EE2738">
        <w:rPr>
          <w:color w:val="FF0000"/>
          <w:szCs w:val="20"/>
        </w:rPr>
        <w:t xml:space="preserve"> about </w:t>
      </w:r>
      <w:r w:rsidRPr="00EE2738">
        <w:rPr>
          <w:color w:val="FF0000"/>
          <w:u w:val="single"/>
        </w:rPr>
        <w:t>racial gerrymandering</w:t>
      </w:r>
      <w:r w:rsidR="00680555">
        <w:rPr>
          <w:color w:val="FF0000"/>
        </w:rPr>
        <w:t>,</w:t>
      </w:r>
      <w:r w:rsidRPr="00EE2738">
        <w:rPr>
          <w:color w:val="FF0000"/>
        </w:rPr>
        <w:t xml:space="preserve"> and not partisan gerrymandering.  </w:t>
      </w:r>
      <w:r w:rsidR="00F87D15">
        <w:rPr>
          <w:color w:val="FF0000"/>
        </w:rPr>
        <w:t xml:space="preserve">As to </w:t>
      </w:r>
      <w:r w:rsidR="00094F4E">
        <w:rPr>
          <w:color w:val="FF0000"/>
        </w:rPr>
        <w:t>the</w:t>
      </w:r>
      <w:r w:rsidR="00F87D15">
        <w:rPr>
          <w:color w:val="FF0000"/>
        </w:rPr>
        <w:t xml:space="preserve"> categorization</w:t>
      </w:r>
      <w:r w:rsidR="00094F4E">
        <w:rPr>
          <w:color w:val="FF0000"/>
        </w:rPr>
        <w:t xml:space="preserve"> of Arkansas</w:t>
      </w:r>
      <w:r w:rsidR="00F87D15">
        <w:rPr>
          <w:color w:val="FF0000"/>
        </w:rPr>
        <w:t xml:space="preserve"> as a partisan gerrymandering</w:t>
      </w:r>
      <w:r w:rsidR="00EC266E">
        <w:rPr>
          <w:color w:val="FF0000"/>
        </w:rPr>
        <w:t>-</w:t>
      </w:r>
      <w:r w:rsidR="00E274DC">
        <w:rPr>
          <w:color w:val="FF0000"/>
        </w:rPr>
        <w:t xml:space="preserve">litigation </w:t>
      </w:r>
      <w:r w:rsidR="00094F4E">
        <w:rPr>
          <w:color w:val="FF0000"/>
        </w:rPr>
        <w:t>state</w:t>
      </w:r>
      <w:r w:rsidR="00F87D15">
        <w:rPr>
          <w:color w:val="FF0000"/>
        </w:rPr>
        <w:t>,</w:t>
      </w:r>
      <w:r w:rsidRPr="00EE2738">
        <w:rPr>
          <w:color w:val="FF0000"/>
        </w:rPr>
        <w:t xml:space="preserve"> </w:t>
      </w:r>
      <w:r w:rsidR="002F256E">
        <w:rPr>
          <w:color w:val="FF0000"/>
        </w:rPr>
        <w:t xml:space="preserve">the </w:t>
      </w:r>
      <w:r w:rsidRPr="00EE2738">
        <w:rPr>
          <w:color w:val="FF0000"/>
        </w:rPr>
        <w:t xml:space="preserve">Brennan Center’s </w:t>
      </w:r>
      <w:r w:rsidRPr="00EE2738">
        <w:rPr>
          <w:i/>
          <w:iCs/>
          <w:color w:val="FF0000"/>
        </w:rPr>
        <w:t xml:space="preserve">Redistricting Litigation Roundup </w:t>
      </w:r>
      <w:r w:rsidRPr="00EE2738">
        <w:rPr>
          <w:color w:val="FF0000"/>
        </w:rPr>
        <w:t xml:space="preserve">noted </w:t>
      </w:r>
      <w:r w:rsidR="008273BC">
        <w:rPr>
          <w:color w:val="FF0000"/>
        </w:rPr>
        <w:t>a separate</w:t>
      </w:r>
      <w:r w:rsidRPr="00EE2738">
        <w:rPr>
          <w:color w:val="FF0000"/>
        </w:rPr>
        <w:t xml:space="preserve"> </w:t>
      </w:r>
      <w:r w:rsidRPr="00EE2738">
        <w:rPr>
          <w:color w:val="FF0000"/>
          <w:u w:val="single"/>
        </w:rPr>
        <w:t>federal case</w:t>
      </w:r>
      <w:r w:rsidRPr="00EE2738">
        <w:rPr>
          <w:color w:val="FF0000"/>
        </w:rPr>
        <w:t xml:space="preserve">, </w:t>
      </w:r>
      <w:r w:rsidRPr="00EE2738">
        <w:rPr>
          <w:i/>
          <w:iCs/>
          <w:color w:val="FF0000"/>
        </w:rPr>
        <w:t>Simpson v. Hutchinson</w:t>
      </w:r>
      <w:r w:rsidRPr="00EE2738">
        <w:rPr>
          <w:color w:val="FF0000"/>
        </w:rPr>
        <w:t>, No. 4:22-CV-213 (E.D. Ark. Mar. 7</w:t>
      </w:r>
      <w:proofErr w:type="gramStart"/>
      <w:r w:rsidRPr="00EE2738">
        <w:rPr>
          <w:color w:val="FF0000"/>
        </w:rPr>
        <w:t xml:space="preserve"> 2022</w:t>
      </w:r>
      <w:proofErr w:type="gramEnd"/>
      <w:r w:rsidR="00D33951" w:rsidRPr="00EE2738">
        <w:rPr>
          <w:color w:val="FF0000"/>
        </w:rPr>
        <w:t xml:space="preserve">), </w:t>
      </w:r>
      <w:r w:rsidRPr="00EE2738">
        <w:rPr>
          <w:color w:val="FF0000"/>
        </w:rPr>
        <w:t>which alleged partisan gerrymandering in violation of the First Amendment of the U.S. Constitution.)</w:t>
      </w:r>
    </w:p>
    <w:p w14:paraId="71AF38A6" w14:textId="77777777" w:rsidR="000B0357" w:rsidRPr="0069126D" w:rsidRDefault="000B0357">
      <w:pPr>
        <w:rPr>
          <w:szCs w:val="20"/>
        </w:rPr>
      </w:pPr>
    </w:p>
    <w:p w14:paraId="6CA57E28" w14:textId="6B95F46C" w:rsidR="00F72527" w:rsidRDefault="005808B7" w:rsidP="005E1710">
      <w:pPr>
        <w:pStyle w:val="ListParagraph"/>
        <w:numPr>
          <w:ilvl w:val="0"/>
          <w:numId w:val="2"/>
        </w:numPr>
        <w:rPr>
          <w:szCs w:val="20"/>
        </w:rPr>
      </w:pPr>
      <w:proofErr w:type="spellStart"/>
      <w:r>
        <w:rPr>
          <w:i/>
          <w:iCs/>
          <w:szCs w:val="20"/>
        </w:rPr>
        <w:t>Sutt</w:t>
      </w:r>
      <w:r w:rsidR="003077F8">
        <w:rPr>
          <w:i/>
          <w:iCs/>
          <w:szCs w:val="20"/>
        </w:rPr>
        <w:t>lar</w:t>
      </w:r>
      <w:proofErr w:type="spellEnd"/>
      <w:r w:rsidR="007D0FE2" w:rsidRPr="00356123">
        <w:rPr>
          <w:i/>
          <w:iCs/>
          <w:szCs w:val="20"/>
        </w:rPr>
        <w:t xml:space="preserve"> v. Thurston</w:t>
      </w:r>
      <w:r w:rsidR="007D0FE2">
        <w:rPr>
          <w:szCs w:val="20"/>
        </w:rPr>
        <w:t>, No. 60CV-22-1849 (</w:t>
      </w:r>
      <w:r w:rsidR="00443B00">
        <w:rPr>
          <w:szCs w:val="20"/>
        </w:rPr>
        <w:t xml:space="preserve">Ark. Cir. Ct. </w:t>
      </w:r>
      <w:r w:rsidR="00FD1E46">
        <w:rPr>
          <w:szCs w:val="20"/>
        </w:rPr>
        <w:t xml:space="preserve">Pulaski </w:t>
      </w:r>
      <w:proofErr w:type="spellStart"/>
      <w:r w:rsidR="00FD1E46">
        <w:rPr>
          <w:szCs w:val="20"/>
        </w:rPr>
        <w:t>Cty</w:t>
      </w:r>
      <w:proofErr w:type="spellEnd"/>
      <w:r w:rsidR="00FD1E46">
        <w:rPr>
          <w:szCs w:val="20"/>
        </w:rPr>
        <w:t xml:space="preserve">. </w:t>
      </w:r>
      <w:r w:rsidR="007D0FE2">
        <w:rPr>
          <w:szCs w:val="20"/>
        </w:rPr>
        <w:t>Mar. 21, 2022)</w:t>
      </w:r>
      <w:r w:rsidR="00CC59A0">
        <w:rPr>
          <w:szCs w:val="20"/>
        </w:rPr>
        <w:t>.</w:t>
      </w:r>
    </w:p>
    <w:p w14:paraId="1B82874E" w14:textId="235BCCEA" w:rsidR="00114728" w:rsidRDefault="00DA2EB8" w:rsidP="00DA2EB8">
      <w:pPr>
        <w:pStyle w:val="ListParagraph"/>
        <w:numPr>
          <w:ilvl w:val="1"/>
          <w:numId w:val="2"/>
        </w:numPr>
        <w:rPr>
          <w:szCs w:val="20"/>
        </w:rPr>
      </w:pPr>
      <w:r>
        <w:rPr>
          <w:szCs w:val="20"/>
        </w:rPr>
        <w:t xml:space="preserve">Plaintiffs Springer et al. filed a complaint </w:t>
      </w:r>
      <w:r w:rsidR="00114728">
        <w:rPr>
          <w:szCs w:val="20"/>
        </w:rPr>
        <w:t>alleging that t</w:t>
      </w:r>
      <w:r w:rsidR="00114728" w:rsidRPr="006B5496">
        <w:rPr>
          <w:szCs w:val="20"/>
        </w:rPr>
        <w:t>he</w:t>
      </w:r>
      <w:r w:rsidR="00114728">
        <w:rPr>
          <w:szCs w:val="20"/>
        </w:rPr>
        <w:t xml:space="preserve"> splitting of Pulaski County</w:t>
      </w:r>
      <w:r w:rsidR="00114728" w:rsidRPr="006B5496">
        <w:rPr>
          <w:szCs w:val="20"/>
        </w:rPr>
        <w:t xml:space="preserve"> </w:t>
      </w:r>
      <w:r w:rsidR="00114728">
        <w:rPr>
          <w:szCs w:val="20"/>
        </w:rPr>
        <w:t>“</w:t>
      </w:r>
      <w:r w:rsidR="00114728" w:rsidRPr="006B5496">
        <w:rPr>
          <w:szCs w:val="20"/>
        </w:rPr>
        <w:t>interferes with and impairs the free exercise of suffrage by Black voters in Arkansas</w:t>
      </w:r>
      <w:r w:rsidR="00114728">
        <w:rPr>
          <w:szCs w:val="20"/>
        </w:rPr>
        <w:t xml:space="preserve"> . . .</w:t>
      </w:r>
      <w:r w:rsidR="00114728" w:rsidRPr="006B5496">
        <w:rPr>
          <w:szCs w:val="20"/>
        </w:rPr>
        <w:t xml:space="preserve"> by diluting, impairing, and undermining their ability to elect their candidates of choice.</w:t>
      </w:r>
      <w:r w:rsidR="00114728">
        <w:rPr>
          <w:szCs w:val="20"/>
        </w:rPr>
        <w:t>”</w:t>
      </w:r>
    </w:p>
    <w:p w14:paraId="37A4F086" w14:textId="27FAECA2" w:rsidR="007D0FE2" w:rsidRDefault="00C13CC1" w:rsidP="00DA2EB8">
      <w:pPr>
        <w:pStyle w:val="ListParagraph"/>
        <w:numPr>
          <w:ilvl w:val="1"/>
          <w:numId w:val="2"/>
        </w:numPr>
        <w:rPr>
          <w:szCs w:val="20"/>
        </w:rPr>
      </w:pPr>
      <w:r>
        <w:rPr>
          <w:szCs w:val="20"/>
        </w:rPr>
        <w:t>Plaintiffs r</w:t>
      </w:r>
      <w:r w:rsidR="00DA2EB8">
        <w:rPr>
          <w:szCs w:val="20"/>
        </w:rPr>
        <w:t>equest</w:t>
      </w:r>
      <w:r>
        <w:rPr>
          <w:szCs w:val="20"/>
        </w:rPr>
        <w:t xml:space="preserve">ed </w:t>
      </w:r>
      <w:r w:rsidR="00DA2EB8">
        <w:rPr>
          <w:szCs w:val="20"/>
        </w:rPr>
        <w:t>that the court “</w:t>
      </w:r>
      <w:r w:rsidR="00DA2EB8" w:rsidRPr="00DA2EB8">
        <w:rPr>
          <w:szCs w:val="20"/>
        </w:rPr>
        <w:t>enter an Order declaring the 2021 Map unconstitutional; enjoining Defendants from any implementation of the 2021 Map; and compelling the adoption of a valid congressional map that does not unconstitutionally dilute Black voting power or target Black voters in deprivation of their rights guaranteed by the Arkansas Constitution.</w:t>
      </w:r>
      <w:r w:rsidR="00DA2EB8">
        <w:rPr>
          <w:szCs w:val="20"/>
        </w:rPr>
        <w:t>”</w:t>
      </w:r>
    </w:p>
    <w:p w14:paraId="51A081BD" w14:textId="28428EEC" w:rsidR="00914284" w:rsidRDefault="00914284" w:rsidP="00DA2EB8">
      <w:pPr>
        <w:pStyle w:val="ListParagraph"/>
        <w:numPr>
          <w:ilvl w:val="1"/>
          <w:numId w:val="2"/>
        </w:numPr>
        <w:rPr>
          <w:szCs w:val="20"/>
        </w:rPr>
      </w:pPr>
      <w:r>
        <w:rPr>
          <w:szCs w:val="20"/>
        </w:rPr>
        <w:t>Plaintiffs argue that the “</w:t>
      </w:r>
      <w:r w:rsidRPr="00914284">
        <w:rPr>
          <w:szCs w:val="20"/>
        </w:rPr>
        <w:t xml:space="preserve">2021 Map violates the Free and Equal Elections Clause of the Arkansas Constitution, which guarantees that </w:t>
      </w:r>
      <w:r>
        <w:rPr>
          <w:szCs w:val="20"/>
        </w:rPr>
        <w:t>‘</w:t>
      </w:r>
      <w:r w:rsidRPr="00914284">
        <w:rPr>
          <w:szCs w:val="20"/>
        </w:rPr>
        <w:t>[e]lections shall be free and equal,</w:t>
      </w:r>
      <w:r>
        <w:rPr>
          <w:szCs w:val="20"/>
        </w:rPr>
        <w:t>’</w:t>
      </w:r>
      <w:r w:rsidRPr="00914284">
        <w:rPr>
          <w:szCs w:val="20"/>
        </w:rPr>
        <w:t xml:space="preserve"> and that </w:t>
      </w:r>
      <w:r>
        <w:rPr>
          <w:szCs w:val="20"/>
        </w:rPr>
        <w:t>‘</w:t>
      </w:r>
      <w:r w:rsidRPr="00914284">
        <w:rPr>
          <w:szCs w:val="20"/>
        </w:rPr>
        <w:t>[n]o power, civil or military, shall ever interfere to prevent the free exercise of the right of suffrage; nor shall any law be enacted whereby such right shall be impaired or forfeited,</w:t>
      </w:r>
      <w:r>
        <w:rPr>
          <w:szCs w:val="20"/>
        </w:rPr>
        <w:t>’</w:t>
      </w:r>
      <w:r w:rsidRPr="00914284">
        <w:rPr>
          <w:szCs w:val="20"/>
        </w:rPr>
        <w:t xml:space="preserve"> Ark. Const. art. 3, § 2, as well as the Equal Protection Clause, which further guarantees that </w:t>
      </w:r>
      <w:r>
        <w:rPr>
          <w:szCs w:val="20"/>
        </w:rPr>
        <w:t>‘</w:t>
      </w:r>
      <w:r w:rsidRPr="00914284">
        <w:rPr>
          <w:szCs w:val="20"/>
        </w:rPr>
        <w:t>[t]he equality of all persons before the law</w:t>
      </w:r>
      <w:r>
        <w:rPr>
          <w:szCs w:val="20"/>
        </w:rPr>
        <w:t>’</w:t>
      </w:r>
      <w:r w:rsidRPr="00914284">
        <w:rPr>
          <w:szCs w:val="20"/>
        </w:rPr>
        <w:t xml:space="preserve"> and </w:t>
      </w:r>
      <w:r>
        <w:rPr>
          <w:szCs w:val="20"/>
        </w:rPr>
        <w:t>‘</w:t>
      </w:r>
      <w:r w:rsidRPr="00914284">
        <w:rPr>
          <w:szCs w:val="20"/>
        </w:rPr>
        <w:t>shall ever remain inviolate,</w:t>
      </w:r>
      <w:r>
        <w:rPr>
          <w:szCs w:val="20"/>
        </w:rPr>
        <w:t>’</w:t>
      </w:r>
      <w:r w:rsidRPr="00914284">
        <w:rPr>
          <w:szCs w:val="20"/>
        </w:rPr>
        <w:t xml:space="preserve"> id. art. 2, § 3.</w:t>
      </w:r>
      <w:r>
        <w:rPr>
          <w:szCs w:val="20"/>
        </w:rPr>
        <w:t>”</w:t>
      </w:r>
    </w:p>
    <w:p w14:paraId="33547596" w14:textId="4A2FBF60" w:rsidR="00F72527" w:rsidRDefault="00F72527">
      <w:pPr>
        <w:rPr>
          <w:szCs w:val="20"/>
        </w:rPr>
      </w:pPr>
    </w:p>
    <w:p w14:paraId="24CDB572" w14:textId="4A13D703" w:rsidR="00F72527" w:rsidRPr="005E1710" w:rsidRDefault="00B9468D">
      <w:pPr>
        <w:rPr>
          <w:b/>
          <w:bCs/>
          <w:szCs w:val="20"/>
        </w:rPr>
      </w:pPr>
      <w:r>
        <w:rPr>
          <w:b/>
          <w:bCs/>
          <w:szCs w:val="20"/>
        </w:rPr>
        <w:t>FLORIDA</w:t>
      </w:r>
    </w:p>
    <w:p w14:paraId="70A3AB1B" w14:textId="199E5A54" w:rsidR="00F72527" w:rsidRDefault="0081758A" w:rsidP="005E1710">
      <w:pPr>
        <w:pStyle w:val="ListParagraph"/>
        <w:numPr>
          <w:ilvl w:val="0"/>
          <w:numId w:val="2"/>
        </w:numPr>
        <w:rPr>
          <w:szCs w:val="20"/>
        </w:rPr>
      </w:pPr>
      <w:r w:rsidRPr="00D851C6">
        <w:rPr>
          <w:i/>
          <w:iCs/>
          <w:szCs w:val="20"/>
        </w:rPr>
        <w:t xml:space="preserve">Black Voters Matter Capacity </w:t>
      </w:r>
      <w:r w:rsidR="00E448F4" w:rsidRPr="00D851C6">
        <w:rPr>
          <w:i/>
          <w:iCs/>
          <w:szCs w:val="20"/>
        </w:rPr>
        <w:t>Building</w:t>
      </w:r>
      <w:r w:rsidRPr="00D851C6">
        <w:rPr>
          <w:i/>
          <w:iCs/>
          <w:szCs w:val="20"/>
        </w:rPr>
        <w:t xml:space="preserve"> Inst., </w:t>
      </w:r>
      <w:r w:rsidRPr="00296285">
        <w:rPr>
          <w:i/>
          <w:iCs/>
          <w:szCs w:val="20"/>
        </w:rPr>
        <w:t>Inc. v. Lee</w:t>
      </w:r>
      <w:r w:rsidR="00C427FA">
        <w:rPr>
          <w:szCs w:val="20"/>
        </w:rPr>
        <w:t>, No. 2022-ca-000666 (Fla. Cir. Ct. Apr. 22, 2022).</w:t>
      </w:r>
    </w:p>
    <w:p w14:paraId="106374C8" w14:textId="638D2DE8" w:rsidR="00C427FA" w:rsidRDefault="00D851C6" w:rsidP="00E448F4">
      <w:pPr>
        <w:pStyle w:val="ListParagraph"/>
        <w:numPr>
          <w:ilvl w:val="1"/>
          <w:numId w:val="2"/>
        </w:numPr>
        <w:rPr>
          <w:szCs w:val="20"/>
        </w:rPr>
      </w:pPr>
      <w:r>
        <w:rPr>
          <w:szCs w:val="20"/>
        </w:rPr>
        <w:t xml:space="preserve">Plaintiffs BVM et al. filed a complaint alleging that </w:t>
      </w:r>
      <w:r w:rsidR="00867309">
        <w:rPr>
          <w:szCs w:val="20"/>
        </w:rPr>
        <w:t>Governor Ron DeSantis “hijacked” the redistricting process, by “</w:t>
      </w:r>
      <w:r w:rsidR="00867309" w:rsidRPr="00867309">
        <w:rPr>
          <w:szCs w:val="20"/>
        </w:rPr>
        <w:t xml:space="preserve">unilaterally </w:t>
      </w:r>
      <w:proofErr w:type="spellStart"/>
      <w:r w:rsidR="00867309" w:rsidRPr="00867309">
        <w:rPr>
          <w:szCs w:val="20"/>
        </w:rPr>
        <w:t>declar</w:t>
      </w:r>
      <w:proofErr w:type="spellEnd"/>
      <w:r w:rsidR="00867309">
        <w:rPr>
          <w:szCs w:val="20"/>
        </w:rPr>
        <w:t>[</w:t>
      </w:r>
      <w:proofErr w:type="spellStart"/>
      <w:r w:rsidR="00867309">
        <w:rPr>
          <w:szCs w:val="20"/>
        </w:rPr>
        <w:t>ing</w:t>
      </w:r>
      <w:proofErr w:type="spellEnd"/>
      <w:r w:rsidR="00867309">
        <w:rPr>
          <w:szCs w:val="20"/>
        </w:rPr>
        <w:t>]</w:t>
      </w:r>
      <w:r w:rsidR="00867309" w:rsidRPr="00867309">
        <w:rPr>
          <w:szCs w:val="20"/>
        </w:rPr>
        <w:t xml:space="preserve"> the Fair Districts Amendment unconstitutional</w:t>
      </w:r>
      <w:r w:rsidR="005545C2">
        <w:rPr>
          <w:szCs w:val="20"/>
        </w:rPr>
        <w:t xml:space="preserve">” and by </w:t>
      </w:r>
      <w:r w:rsidR="00867309">
        <w:rPr>
          <w:szCs w:val="20"/>
        </w:rPr>
        <w:t>vetoing</w:t>
      </w:r>
      <w:r w:rsidR="00867309" w:rsidRPr="00867309">
        <w:rPr>
          <w:szCs w:val="20"/>
        </w:rPr>
        <w:t xml:space="preserve"> the Legislature’s congressional plan and </w:t>
      </w:r>
      <w:r w:rsidR="003D038B">
        <w:rPr>
          <w:szCs w:val="20"/>
        </w:rPr>
        <w:t>“</w:t>
      </w:r>
      <w:proofErr w:type="spellStart"/>
      <w:r w:rsidR="00867309" w:rsidRPr="00867309">
        <w:rPr>
          <w:szCs w:val="20"/>
        </w:rPr>
        <w:t>conven</w:t>
      </w:r>
      <w:proofErr w:type="spellEnd"/>
      <w:r w:rsidR="003D038B">
        <w:rPr>
          <w:szCs w:val="20"/>
        </w:rPr>
        <w:t>[</w:t>
      </w:r>
      <w:proofErr w:type="spellStart"/>
      <w:r w:rsidR="003D038B">
        <w:rPr>
          <w:szCs w:val="20"/>
        </w:rPr>
        <w:t>ing</w:t>
      </w:r>
      <w:proofErr w:type="spellEnd"/>
      <w:r w:rsidR="003D038B">
        <w:rPr>
          <w:szCs w:val="20"/>
        </w:rPr>
        <w:t>]</w:t>
      </w:r>
      <w:r w:rsidR="00867309" w:rsidRPr="00867309">
        <w:rPr>
          <w:szCs w:val="20"/>
        </w:rPr>
        <w:t xml:space="preserve"> a special legislative session, leaving the Legislature little choice but to consider and pass his own redistricting scheme</w:t>
      </w:r>
      <w:r w:rsidR="003B48DE">
        <w:rPr>
          <w:szCs w:val="20"/>
        </w:rPr>
        <w:t>.”</w:t>
      </w:r>
      <w:r w:rsidR="001526BF">
        <w:rPr>
          <w:szCs w:val="20"/>
        </w:rPr>
        <w:t xml:space="preserve">  </w:t>
      </w:r>
    </w:p>
    <w:p w14:paraId="3A271398" w14:textId="0C16981D" w:rsidR="001526BF" w:rsidRDefault="001526BF" w:rsidP="001526BF">
      <w:pPr>
        <w:pStyle w:val="ListParagraph"/>
        <w:numPr>
          <w:ilvl w:val="2"/>
          <w:numId w:val="2"/>
        </w:numPr>
        <w:rPr>
          <w:szCs w:val="20"/>
        </w:rPr>
      </w:pPr>
      <w:r>
        <w:rPr>
          <w:szCs w:val="20"/>
        </w:rPr>
        <w:t>Plaintiffs also allege that the DeSantis Plan “</w:t>
      </w:r>
      <w:r w:rsidRPr="001526BF">
        <w:rPr>
          <w:szCs w:val="20"/>
        </w:rPr>
        <w:t xml:space="preserve">intentionally favors the Republican Party at nearly every turn, eliminating three Democratic seats and transforming competitive seats into Republican-leaning ones. </w:t>
      </w:r>
      <w:r>
        <w:rPr>
          <w:szCs w:val="20"/>
        </w:rPr>
        <w:t xml:space="preserve"> </w:t>
      </w:r>
      <w:r w:rsidRPr="001526BF">
        <w:rPr>
          <w:szCs w:val="20"/>
        </w:rPr>
        <w:t>And in so doing, it needlessly produces noncompact districts that split geographic and political boundaries.</w:t>
      </w:r>
      <w:r>
        <w:rPr>
          <w:szCs w:val="20"/>
        </w:rPr>
        <w:t>”</w:t>
      </w:r>
    </w:p>
    <w:p w14:paraId="0BB61DE3" w14:textId="3424C5C0" w:rsidR="00350CFF" w:rsidRDefault="005F082C" w:rsidP="00FB5E3F">
      <w:pPr>
        <w:pStyle w:val="ListParagraph"/>
        <w:numPr>
          <w:ilvl w:val="1"/>
          <w:numId w:val="2"/>
        </w:numPr>
        <w:rPr>
          <w:szCs w:val="20"/>
        </w:rPr>
      </w:pPr>
      <w:r>
        <w:rPr>
          <w:szCs w:val="20"/>
        </w:rPr>
        <w:t>Plaintiffs requested that the court, among other things</w:t>
      </w:r>
      <w:r w:rsidR="00767B11">
        <w:rPr>
          <w:szCs w:val="20"/>
        </w:rPr>
        <w:t>,</w:t>
      </w:r>
      <w:r>
        <w:rPr>
          <w:szCs w:val="20"/>
        </w:rPr>
        <w:t xml:space="preserve"> </w:t>
      </w:r>
      <w:r w:rsidR="0084070D">
        <w:rPr>
          <w:szCs w:val="20"/>
        </w:rPr>
        <w:t xml:space="preserve">declare </w:t>
      </w:r>
      <w:r w:rsidR="004A68CE">
        <w:rPr>
          <w:szCs w:val="20"/>
        </w:rPr>
        <w:t xml:space="preserve">that </w:t>
      </w:r>
      <w:r>
        <w:rPr>
          <w:szCs w:val="20"/>
        </w:rPr>
        <w:t>“</w:t>
      </w:r>
      <w:r w:rsidRPr="005F082C">
        <w:rPr>
          <w:szCs w:val="20"/>
        </w:rPr>
        <w:t>the DeSantis Plan and/or individual districts in the DeSantis Plan violate Article III, Section 20 of the Florida Constitution</w:t>
      </w:r>
      <w:r w:rsidR="00A8532E">
        <w:rPr>
          <w:szCs w:val="20"/>
        </w:rPr>
        <w:t>,</w:t>
      </w:r>
      <w:r>
        <w:rPr>
          <w:szCs w:val="20"/>
        </w:rPr>
        <w:t>”</w:t>
      </w:r>
      <w:r w:rsidR="00A8532E">
        <w:rPr>
          <w:szCs w:val="20"/>
        </w:rPr>
        <w:t xml:space="preserve"> </w:t>
      </w:r>
      <w:r w:rsidR="000A56D7">
        <w:rPr>
          <w:szCs w:val="20"/>
        </w:rPr>
        <w:t>enjoinment of</w:t>
      </w:r>
      <w:r w:rsidR="00A8532E">
        <w:rPr>
          <w:szCs w:val="20"/>
        </w:rPr>
        <w:t xml:space="preserve"> the </w:t>
      </w:r>
      <w:r w:rsidRPr="00A8532E">
        <w:rPr>
          <w:szCs w:val="20"/>
        </w:rPr>
        <w:t>Defendants</w:t>
      </w:r>
      <w:r w:rsidR="00A8532E">
        <w:rPr>
          <w:szCs w:val="20"/>
        </w:rPr>
        <w:t xml:space="preserve"> “</w:t>
      </w:r>
      <w:r w:rsidRPr="00A8532E">
        <w:rPr>
          <w:szCs w:val="20"/>
        </w:rPr>
        <w:t>from implementing enforcing, or giving any effect to the DeSantis Plan,</w:t>
      </w:r>
      <w:r w:rsidR="00A8532E">
        <w:rPr>
          <w:szCs w:val="20"/>
        </w:rPr>
        <w:t>”</w:t>
      </w:r>
      <w:r w:rsidRPr="00A8532E">
        <w:rPr>
          <w:szCs w:val="20"/>
        </w:rPr>
        <w:t xml:space="preserve"> </w:t>
      </w:r>
      <w:r w:rsidR="00FB5E3F">
        <w:rPr>
          <w:szCs w:val="20"/>
        </w:rPr>
        <w:t xml:space="preserve">and </w:t>
      </w:r>
      <w:r w:rsidR="00A7567F">
        <w:rPr>
          <w:szCs w:val="20"/>
        </w:rPr>
        <w:t xml:space="preserve">an </w:t>
      </w:r>
      <w:r w:rsidR="003C66D0">
        <w:rPr>
          <w:szCs w:val="20"/>
        </w:rPr>
        <w:t>order or adopt</w:t>
      </w:r>
      <w:r w:rsidR="009476A5">
        <w:rPr>
          <w:szCs w:val="20"/>
        </w:rPr>
        <w:t>ion</w:t>
      </w:r>
      <w:r w:rsidR="006E70CB">
        <w:rPr>
          <w:szCs w:val="20"/>
        </w:rPr>
        <w:t xml:space="preserve"> of</w:t>
      </w:r>
      <w:r w:rsidRPr="00FB5E3F">
        <w:rPr>
          <w:szCs w:val="20"/>
        </w:rPr>
        <w:t xml:space="preserve"> </w:t>
      </w:r>
      <w:r w:rsidR="003C66D0">
        <w:rPr>
          <w:szCs w:val="20"/>
        </w:rPr>
        <w:t>“</w:t>
      </w:r>
      <w:r w:rsidRPr="00FB5E3F">
        <w:rPr>
          <w:szCs w:val="20"/>
        </w:rPr>
        <w:t>a new congressional districting plan that complies with Article III, Section 20 of the Florida Constitution</w:t>
      </w:r>
      <w:r w:rsidR="00FB5E3F">
        <w:rPr>
          <w:szCs w:val="20"/>
        </w:rPr>
        <w:t>.”</w:t>
      </w:r>
    </w:p>
    <w:p w14:paraId="2CE0B7C0" w14:textId="0AFA093B" w:rsidR="00FB5E3F" w:rsidRPr="00FB5E3F" w:rsidRDefault="00516FB4" w:rsidP="006D1610">
      <w:pPr>
        <w:pStyle w:val="ListParagraph"/>
        <w:numPr>
          <w:ilvl w:val="1"/>
          <w:numId w:val="2"/>
        </w:numPr>
        <w:rPr>
          <w:szCs w:val="20"/>
        </w:rPr>
      </w:pPr>
      <w:r>
        <w:rPr>
          <w:szCs w:val="20"/>
        </w:rPr>
        <w:t xml:space="preserve">Plaintiffs </w:t>
      </w:r>
      <w:r w:rsidR="00BE26B0">
        <w:rPr>
          <w:szCs w:val="20"/>
        </w:rPr>
        <w:t>argue</w:t>
      </w:r>
      <w:r>
        <w:rPr>
          <w:szCs w:val="20"/>
        </w:rPr>
        <w:t xml:space="preserve"> that the DeSantis Plan violates Article III, § 20 of the Fla. Constitution by diminishing minorities’ ability to elect, intentionally </w:t>
      </w:r>
      <w:proofErr w:type="gramStart"/>
      <w:r>
        <w:rPr>
          <w:szCs w:val="20"/>
        </w:rPr>
        <w:t>abridging</w:t>
      </w:r>
      <w:proofErr w:type="gramEnd"/>
      <w:r>
        <w:rPr>
          <w:szCs w:val="20"/>
        </w:rPr>
        <w:t xml:space="preserve"> and diminishing minority voting strength, intentionally favoring/disfavoring a political party, and violating traditional </w:t>
      </w:r>
      <w:r>
        <w:rPr>
          <w:szCs w:val="20"/>
        </w:rPr>
        <w:lastRenderedPageBreak/>
        <w:t>districting principles such as compactness, and political and geographical boundary splits.</w:t>
      </w:r>
    </w:p>
    <w:p w14:paraId="12CB1825" w14:textId="77777777" w:rsidR="007D1B01" w:rsidRPr="007D1B01" w:rsidRDefault="007D1B01" w:rsidP="007D1B01">
      <w:pPr>
        <w:rPr>
          <w:szCs w:val="20"/>
        </w:rPr>
      </w:pPr>
    </w:p>
    <w:p w14:paraId="4D746973" w14:textId="0AB2E724" w:rsidR="00F32494" w:rsidRPr="005E1710" w:rsidRDefault="00CA37AF" w:rsidP="00F32494">
      <w:pPr>
        <w:rPr>
          <w:b/>
          <w:bCs/>
          <w:szCs w:val="20"/>
        </w:rPr>
      </w:pPr>
      <w:r>
        <w:rPr>
          <w:b/>
          <w:bCs/>
          <w:szCs w:val="20"/>
        </w:rPr>
        <w:t>KENTUCKY</w:t>
      </w:r>
    </w:p>
    <w:p w14:paraId="05FE4BDB" w14:textId="278AA325" w:rsidR="00F32494" w:rsidRDefault="00EE25A9" w:rsidP="00F32494">
      <w:pPr>
        <w:pStyle w:val="ListParagraph"/>
        <w:numPr>
          <w:ilvl w:val="0"/>
          <w:numId w:val="2"/>
        </w:numPr>
        <w:rPr>
          <w:szCs w:val="20"/>
        </w:rPr>
      </w:pPr>
      <w:r w:rsidRPr="00D215B3">
        <w:rPr>
          <w:i/>
          <w:iCs/>
          <w:szCs w:val="20"/>
        </w:rPr>
        <w:t>Graham v. Adams</w:t>
      </w:r>
      <w:r>
        <w:rPr>
          <w:szCs w:val="20"/>
        </w:rPr>
        <w:t>, No. 22-CI-00047 (</w:t>
      </w:r>
      <w:r w:rsidR="00775270">
        <w:rPr>
          <w:szCs w:val="20"/>
        </w:rPr>
        <w:t xml:space="preserve">Ky. </w:t>
      </w:r>
      <w:r>
        <w:rPr>
          <w:szCs w:val="20"/>
        </w:rPr>
        <w:t>Cir. Ct. Jan. 20, 2022)</w:t>
      </w:r>
      <w:r w:rsidR="00775270">
        <w:rPr>
          <w:szCs w:val="20"/>
        </w:rPr>
        <w:t>.</w:t>
      </w:r>
    </w:p>
    <w:p w14:paraId="77F9A6AC" w14:textId="5F05F8BD" w:rsidR="00396F41" w:rsidRDefault="00EA377F" w:rsidP="00396F41">
      <w:pPr>
        <w:pStyle w:val="ListParagraph"/>
        <w:numPr>
          <w:ilvl w:val="1"/>
          <w:numId w:val="2"/>
        </w:numPr>
        <w:rPr>
          <w:szCs w:val="20"/>
        </w:rPr>
      </w:pPr>
      <w:r w:rsidRPr="00926A10">
        <w:rPr>
          <w:szCs w:val="20"/>
        </w:rPr>
        <w:t xml:space="preserve">Plaintiffs Graham et al. filed a complaint </w:t>
      </w:r>
      <w:r w:rsidR="00D8310F">
        <w:rPr>
          <w:szCs w:val="20"/>
        </w:rPr>
        <w:t xml:space="preserve">alleging that </w:t>
      </w:r>
      <w:r w:rsidR="00F50810">
        <w:rPr>
          <w:szCs w:val="20"/>
        </w:rPr>
        <w:t xml:space="preserve">the Ky. General Assembly engaged in </w:t>
      </w:r>
      <w:r w:rsidR="00225A5F">
        <w:rPr>
          <w:szCs w:val="20"/>
        </w:rPr>
        <w:t>excessive</w:t>
      </w:r>
      <w:r w:rsidR="00F92AC3">
        <w:rPr>
          <w:szCs w:val="20"/>
        </w:rPr>
        <w:t xml:space="preserve"> county</w:t>
      </w:r>
      <w:r w:rsidR="00225A5F">
        <w:rPr>
          <w:szCs w:val="20"/>
        </w:rPr>
        <w:t xml:space="preserve"> splitting and partisan gerrymandering.</w:t>
      </w:r>
    </w:p>
    <w:p w14:paraId="04F04441" w14:textId="2034D2AC" w:rsidR="008751ED" w:rsidRPr="008751ED" w:rsidRDefault="00074D4E" w:rsidP="008751ED">
      <w:pPr>
        <w:pStyle w:val="ListParagraph"/>
        <w:numPr>
          <w:ilvl w:val="1"/>
          <w:numId w:val="2"/>
        </w:numPr>
        <w:rPr>
          <w:szCs w:val="20"/>
        </w:rPr>
      </w:pPr>
      <w:r>
        <w:rPr>
          <w:szCs w:val="20"/>
        </w:rPr>
        <w:t xml:space="preserve">Plaintiffs requested that </w:t>
      </w:r>
      <w:r w:rsidR="008751ED">
        <w:rPr>
          <w:szCs w:val="20"/>
        </w:rPr>
        <w:t>the court declare the maps unconstitutional in violation of Section 33 of the Ky. Constitution and sought “</w:t>
      </w:r>
      <w:r w:rsidR="008751ED">
        <w:t>immediate injunctive relief to prevent the conduct of the May 2022 primary election based on the House districts created by HB 2 and Congressional districts created by SB 3, including any additional relief necessary to make such relief meaningful, such as the extension of filing deadlines for candidates seeking election in those districts.”</w:t>
      </w:r>
    </w:p>
    <w:p w14:paraId="03C9C539" w14:textId="6145251F" w:rsidR="00130EEE" w:rsidRDefault="00074D4E" w:rsidP="00130EEE">
      <w:pPr>
        <w:pStyle w:val="ListParagraph"/>
        <w:numPr>
          <w:ilvl w:val="1"/>
          <w:numId w:val="2"/>
        </w:numPr>
        <w:rPr>
          <w:szCs w:val="20"/>
        </w:rPr>
      </w:pPr>
      <w:r>
        <w:rPr>
          <w:szCs w:val="20"/>
        </w:rPr>
        <w:t xml:space="preserve">Plaintiffs argued that </w:t>
      </w:r>
      <w:r w:rsidR="00130EEE">
        <w:rPr>
          <w:szCs w:val="20"/>
        </w:rPr>
        <w:t xml:space="preserve">(1) </w:t>
      </w:r>
      <w:r w:rsidR="00130EEE" w:rsidRPr="00926A10">
        <w:rPr>
          <w:szCs w:val="20"/>
        </w:rPr>
        <w:t xml:space="preserve">the </w:t>
      </w:r>
      <w:r w:rsidR="00130EEE">
        <w:rPr>
          <w:szCs w:val="20"/>
        </w:rPr>
        <w:t>“</w:t>
      </w:r>
      <w:r w:rsidR="00130EEE" w:rsidRPr="00926A10">
        <w:rPr>
          <w:szCs w:val="20"/>
        </w:rPr>
        <w:t>extreme partisan gerrymandering</w:t>
      </w:r>
      <w:r w:rsidR="00130EEE">
        <w:rPr>
          <w:szCs w:val="20"/>
        </w:rPr>
        <w:t>”</w:t>
      </w:r>
      <w:r w:rsidR="00130EEE" w:rsidRPr="00926A10">
        <w:rPr>
          <w:szCs w:val="20"/>
        </w:rPr>
        <w:t xml:space="preserve"> of the maps,</w:t>
      </w:r>
      <w:r w:rsidR="00130EEE">
        <w:rPr>
          <w:szCs w:val="20"/>
        </w:rPr>
        <w:t xml:space="preserve"> “</w:t>
      </w:r>
      <w:r w:rsidR="00130EEE" w:rsidRPr="00926A10">
        <w:rPr>
          <w:szCs w:val="20"/>
        </w:rPr>
        <w:t>violates Sections 1, 2, 3, and 6 of the Kentucky Constitution by arbitrarily denying the</w:t>
      </w:r>
      <w:r w:rsidR="00130EEE">
        <w:rPr>
          <w:szCs w:val="20"/>
        </w:rPr>
        <w:t xml:space="preserve"> </w:t>
      </w:r>
      <w:r w:rsidR="00130EEE" w:rsidRPr="00926A10">
        <w:rPr>
          <w:szCs w:val="20"/>
        </w:rPr>
        <w:t>citizens of the Commonwealth the rights to a free and equal election, free expression, and free</w:t>
      </w:r>
      <w:r w:rsidR="00130EEE">
        <w:rPr>
          <w:szCs w:val="20"/>
        </w:rPr>
        <w:t xml:space="preserve"> </w:t>
      </w:r>
      <w:r w:rsidR="00130EEE" w:rsidRPr="00926A10">
        <w:rPr>
          <w:szCs w:val="20"/>
        </w:rPr>
        <w:t>association</w:t>
      </w:r>
      <w:r w:rsidR="00130EEE">
        <w:rPr>
          <w:szCs w:val="20"/>
        </w:rPr>
        <w:t xml:space="preserve">”; and </w:t>
      </w:r>
      <w:r w:rsidR="00130EEE" w:rsidRPr="00396F41">
        <w:rPr>
          <w:szCs w:val="20"/>
        </w:rPr>
        <w:t xml:space="preserve">(2) </w:t>
      </w:r>
      <w:r w:rsidR="00130EEE">
        <w:rPr>
          <w:szCs w:val="20"/>
        </w:rPr>
        <w:t xml:space="preserve">that </w:t>
      </w:r>
      <w:r w:rsidR="00130EEE" w:rsidRPr="00396F41">
        <w:rPr>
          <w:szCs w:val="20"/>
        </w:rPr>
        <w:t xml:space="preserve">the </w:t>
      </w:r>
      <w:r w:rsidR="00130EEE">
        <w:rPr>
          <w:szCs w:val="20"/>
        </w:rPr>
        <w:t>“</w:t>
      </w:r>
      <w:r w:rsidR="00130EEE" w:rsidRPr="00396F41">
        <w:rPr>
          <w:szCs w:val="20"/>
        </w:rPr>
        <w:t xml:space="preserve">mapmakers’ </w:t>
      </w:r>
      <w:proofErr w:type="spellStart"/>
      <w:r w:rsidR="00130EEE" w:rsidRPr="00396F41">
        <w:rPr>
          <w:szCs w:val="20"/>
        </w:rPr>
        <w:t>violat</w:t>
      </w:r>
      <w:proofErr w:type="spellEnd"/>
      <w:r w:rsidR="00130EEE">
        <w:rPr>
          <w:szCs w:val="20"/>
        </w:rPr>
        <w:t>[ed]</w:t>
      </w:r>
      <w:r w:rsidR="00130EEE" w:rsidRPr="00396F41">
        <w:rPr>
          <w:szCs w:val="20"/>
        </w:rPr>
        <w:t xml:space="preserve"> </w:t>
      </w:r>
      <w:r w:rsidR="00130EEE">
        <w:rPr>
          <w:szCs w:val="20"/>
        </w:rPr>
        <w:t>. . .</w:t>
      </w:r>
      <w:r w:rsidR="00130EEE" w:rsidRPr="00396F41">
        <w:rPr>
          <w:szCs w:val="20"/>
        </w:rPr>
        <w:t xml:space="preserve"> Section 33 of the Kentucky</w:t>
      </w:r>
      <w:r w:rsidR="00130EEE">
        <w:rPr>
          <w:szCs w:val="20"/>
        </w:rPr>
        <w:t xml:space="preserve"> </w:t>
      </w:r>
      <w:r w:rsidR="00130EEE" w:rsidRPr="00396F41">
        <w:rPr>
          <w:szCs w:val="20"/>
        </w:rPr>
        <w:t>Constitution by excessively and unnecessarily splitting counties into multiple districts without a legitimate purpose, and impermissibly attaching portions of split counties to others more times than is necessary to achieve districts of roughly equal size.”</w:t>
      </w:r>
    </w:p>
    <w:p w14:paraId="34ADF892" w14:textId="19595D3B" w:rsidR="002F4D83" w:rsidRDefault="002F4D83" w:rsidP="00130EEE">
      <w:pPr>
        <w:pStyle w:val="ListParagraph"/>
        <w:numPr>
          <w:ilvl w:val="1"/>
          <w:numId w:val="2"/>
        </w:numPr>
        <w:rPr>
          <w:szCs w:val="20"/>
        </w:rPr>
      </w:pPr>
      <w:r>
        <w:rPr>
          <w:szCs w:val="20"/>
        </w:rPr>
        <w:t>On 2/17/2022, the Franklin Cir. Ct. denied the Plaintiffs’ motion for temporary injunction, citing that (1) the equities did not favor awarding a temporary injunction, (2) the status quo is the districts created by HB</w:t>
      </w:r>
      <w:r w:rsidR="00EC2635">
        <w:rPr>
          <w:szCs w:val="20"/>
        </w:rPr>
        <w:t xml:space="preserve"> </w:t>
      </w:r>
      <w:r>
        <w:rPr>
          <w:szCs w:val="20"/>
        </w:rPr>
        <w:t>2 and SB</w:t>
      </w:r>
      <w:r w:rsidR="00EC2635">
        <w:rPr>
          <w:szCs w:val="20"/>
        </w:rPr>
        <w:t xml:space="preserve"> </w:t>
      </w:r>
      <w:r>
        <w:rPr>
          <w:szCs w:val="20"/>
        </w:rPr>
        <w:t xml:space="preserve">3, (3) a temporary injunction will unjustly harm Secretary Adams and election officials, (4) a temporary injunction is not in the public’s interest, and (5) </w:t>
      </w:r>
      <w:r w:rsidR="00EA34DD">
        <w:rPr>
          <w:szCs w:val="20"/>
        </w:rPr>
        <w:t xml:space="preserve">the Plaintiffs’ late filing of their injunction makes it irrelevant to consider whether Plaintiffs’ presented a substantial question on the merits or whether they will suffer </w:t>
      </w:r>
      <w:r w:rsidR="001734D8">
        <w:rPr>
          <w:szCs w:val="20"/>
        </w:rPr>
        <w:t>irreparable</w:t>
      </w:r>
      <w:r w:rsidR="00EA34DD">
        <w:rPr>
          <w:szCs w:val="20"/>
        </w:rPr>
        <w:t xml:space="preserve"> injury.</w:t>
      </w:r>
    </w:p>
    <w:p w14:paraId="59FD0921" w14:textId="77777777" w:rsidR="00011B7B" w:rsidRPr="00011B7B" w:rsidRDefault="00011B7B" w:rsidP="00011B7B">
      <w:pPr>
        <w:rPr>
          <w:szCs w:val="20"/>
        </w:rPr>
      </w:pPr>
    </w:p>
    <w:p w14:paraId="14291538" w14:textId="27220948" w:rsidR="00F32494" w:rsidRPr="005E1710" w:rsidRDefault="00CA37AF" w:rsidP="00F32494">
      <w:pPr>
        <w:rPr>
          <w:b/>
          <w:bCs/>
          <w:szCs w:val="20"/>
        </w:rPr>
      </w:pPr>
      <w:r>
        <w:rPr>
          <w:b/>
          <w:bCs/>
          <w:szCs w:val="20"/>
        </w:rPr>
        <w:t>NEW MEXICO</w:t>
      </w:r>
    </w:p>
    <w:p w14:paraId="6405E775" w14:textId="02DCA76D" w:rsidR="000D5DDD" w:rsidRDefault="000D5DDD" w:rsidP="00F32494">
      <w:pPr>
        <w:pStyle w:val="ListParagraph"/>
        <w:numPr>
          <w:ilvl w:val="0"/>
          <w:numId w:val="2"/>
        </w:numPr>
        <w:rPr>
          <w:szCs w:val="20"/>
        </w:rPr>
      </w:pPr>
      <w:r w:rsidRPr="00345F9D">
        <w:rPr>
          <w:i/>
          <w:iCs/>
          <w:szCs w:val="20"/>
        </w:rPr>
        <w:t>Republican Party of New Mexico</w:t>
      </w:r>
      <w:r>
        <w:rPr>
          <w:szCs w:val="20"/>
        </w:rPr>
        <w:t xml:space="preserve"> v. Oliver, No. </w:t>
      </w:r>
      <w:r w:rsidRPr="000D5DDD">
        <w:rPr>
          <w:szCs w:val="20"/>
        </w:rPr>
        <w:t>D-506-CV-202200041 (N.M. D. Ct. Jan. 21, 2022)</w:t>
      </w:r>
      <w:r>
        <w:rPr>
          <w:szCs w:val="20"/>
        </w:rPr>
        <w:t>.</w:t>
      </w:r>
    </w:p>
    <w:p w14:paraId="071FC1E4" w14:textId="7FAB2E44" w:rsidR="00F32494" w:rsidRPr="009B129D" w:rsidRDefault="000D5DDD" w:rsidP="009B129D">
      <w:pPr>
        <w:pStyle w:val="ListParagraph"/>
        <w:numPr>
          <w:ilvl w:val="1"/>
          <w:numId w:val="2"/>
        </w:numPr>
        <w:rPr>
          <w:szCs w:val="20"/>
        </w:rPr>
      </w:pPr>
      <w:r>
        <w:rPr>
          <w:szCs w:val="20"/>
        </w:rPr>
        <w:t xml:space="preserve">Plaintiffs </w:t>
      </w:r>
      <w:r w:rsidR="00345F9D">
        <w:rPr>
          <w:szCs w:val="20"/>
        </w:rPr>
        <w:t xml:space="preserve">RPNM et al. filed a complaint alleging </w:t>
      </w:r>
      <w:r w:rsidR="009B129D">
        <w:rPr>
          <w:szCs w:val="20"/>
        </w:rPr>
        <w:t>that “</w:t>
      </w:r>
      <w:r w:rsidR="009B129D" w:rsidRPr="009B129D">
        <w:rPr>
          <w:szCs w:val="20"/>
        </w:rPr>
        <w:t>Senate Bill 1</w:t>
      </w:r>
      <w:r w:rsidR="001D4703">
        <w:rPr>
          <w:szCs w:val="20"/>
        </w:rPr>
        <w:t xml:space="preserve"> . . . </w:t>
      </w:r>
      <w:r w:rsidR="009B129D" w:rsidRPr="009B129D">
        <w:rPr>
          <w:szCs w:val="20"/>
        </w:rPr>
        <w:t>redraws New Mexico’s three</w:t>
      </w:r>
      <w:r w:rsidR="009B129D">
        <w:rPr>
          <w:szCs w:val="20"/>
        </w:rPr>
        <w:t xml:space="preserve"> </w:t>
      </w:r>
      <w:r w:rsidR="009B129D" w:rsidRPr="009B129D">
        <w:rPr>
          <w:szCs w:val="20"/>
        </w:rPr>
        <w:t>congressional districts in contravention of traditional redistricting principles endorsed by the</w:t>
      </w:r>
      <w:r w:rsidR="009B129D">
        <w:rPr>
          <w:szCs w:val="20"/>
        </w:rPr>
        <w:t xml:space="preserve"> </w:t>
      </w:r>
      <w:r w:rsidR="009B129D" w:rsidRPr="009B129D">
        <w:rPr>
          <w:szCs w:val="20"/>
        </w:rPr>
        <w:t>State Legislature and the New Mexico Supreme Court in order to accomplish a political</w:t>
      </w:r>
      <w:r w:rsidR="009B129D">
        <w:rPr>
          <w:szCs w:val="20"/>
        </w:rPr>
        <w:t xml:space="preserve"> </w:t>
      </w:r>
      <w:r w:rsidR="009B129D" w:rsidRPr="009B129D">
        <w:rPr>
          <w:szCs w:val="20"/>
        </w:rPr>
        <w:t>gerrymander that unconstitutionally dilutes the votes of residents of southeastern New Mexico in</w:t>
      </w:r>
      <w:r w:rsidR="009B129D">
        <w:rPr>
          <w:szCs w:val="20"/>
        </w:rPr>
        <w:t xml:space="preserve"> </w:t>
      </w:r>
      <w:r w:rsidR="009B129D" w:rsidRPr="009B129D">
        <w:rPr>
          <w:szCs w:val="20"/>
        </w:rPr>
        <w:t>order to achieve partisan advantage.</w:t>
      </w:r>
      <w:r w:rsidR="000A5F35">
        <w:rPr>
          <w:szCs w:val="20"/>
        </w:rPr>
        <w:t>”</w:t>
      </w:r>
    </w:p>
    <w:p w14:paraId="23E831D9" w14:textId="30F0112C" w:rsidR="00345F9D" w:rsidRPr="000A5F35" w:rsidRDefault="00345F9D" w:rsidP="000A5F35">
      <w:pPr>
        <w:pStyle w:val="ListParagraph"/>
        <w:numPr>
          <w:ilvl w:val="1"/>
          <w:numId w:val="2"/>
        </w:numPr>
        <w:rPr>
          <w:szCs w:val="20"/>
        </w:rPr>
      </w:pPr>
      <w:r>
        <w:rPr>
          <w:szCs w:val="20"/>
        </w:rPr>
        <w:t>Plaintiffs requested</w:t>
      </w:r>
      <w:r w:rsidR="000A5F35">
        <w:rPr>
          <w:szCs w:val="20"/>
        </w:rPr>
        <w:t>, among other things, for f</w:t>
      </w:r>
      <w:r w:rsidR="000A5F35" w:rsidRPr="000A5F35">
        <w:rPr>
          <w:szCs w:val="20"/>
        </w:rPr>
        <w:t>inal Judgment against Defendants</w:t>
      </w:r>
      <w:r w:rsidR="005634BE">
        <w:rPr>
          <w:szCs w:val="20"/>
        </w:rPr>
        <w:t>,</w:t>
      </w:r>
      <w:r w:rsidR="000A5F35">
        <w:rPr>
          <w:szCs w:val="20"/>
        </w:rPr>
        <w:t xml:space="preserve"> a d</w:t>
      </w:r>
      <w:r w:rsidR="000A5F35" w:rsidRPr="000A5F35">
        <w:rPr>
          <w:szCs w:val="20"/>
        </w:rPr>
        <w:t>eclaration that Senate Bill 1 violates the New Mexico Constitution</w:t>
      </w:r>
      <w:r w:rsidR="005634BE">
        <w:rPr>
          <w:szCs w:val="20"/>
        </w:rPr>
        <w:t>,</w:t>
      </w:r>
      <w:r w:rsidR="000A5F35">
        <w:rPr>
          <w:szCs w:val="20"/>
        </w:rPr>
        <w:t xml:space="preserve"> and the a</w:t>
      </w:r>
      <w:r w:rsidR="000A5F35" w:rsidRPr="000A5F35">
        <w:rPr>
          <w:szCs w:val="20"/>
        </w:rPr>
        <w:t>doption of a partisan-neutral congressional map consistent with</w:t>
      </w:r>
      <w:r w:rsidR="000A5F35">
        <w:rPr>
          <w:szCs w:val="20"/>
        </w:rPr>
        <w:t xml:space="preserve"> </w:t>
      </w:r>
      <w:r w:rsidR="000A5F35" w:rsidRPr="000A5F35">
        <w:rPr>
          <w:szCs w:val="20"/>
        </w:rPr>
        <w:t>Congressional Concept E (Justice Chávez’s map)</w:t>
      </w:r>
      <w:r w:rsidR="000A5F35">
        <w:rPr>
          <w:szCs w:val="20"/>
        </w:rPr>
        <w:t>.</w:t>
      </w:r>
    </w:p>
    <w:p w14:paraId="24BC5A10" w14:textId="6B072122" w:rsidR="00345F9D" w:rsidRDefault="00345F9D" w:rsidP="000D5DDD">
      <w:pPr>
        <w:pStyle w:val="ListParagraph"/>
        <w:numPr>
          <w:ilvl w:val="1"/>
          <w:numId w:val="2"/>
        </w:numPr>
        <w:rPr>
          <w:szCs w:val="20"/>
        </w:rPr>
      </w:pPr>
      <w:r>
        <w:rPr>
          <w:szCs w:val="20"/>
        </w:rPr>
        <w:t xml:space="preserve">Plaintiffs argued that </w:t>
      </w:r>
      <w:r w:rsidR="00083D0F">
        <w:rPr>
          <w:szCs w:val="20"/>
        </w:rPr>
        <w:t xml:space="preserve">SB1 is a political gerrymander in violation of </w:t>
      </w:r>
      <w:r w:rsidR="00083D0F" w:rsidRPr="00083D0F">
        <w:rPr>
          <w:szCs w:val="20"/>
        </w:rPr>
        <w:t>Equal Protection, N.M. Const. art. II, § 18</w:t>
      </w:r>
      <w:r w:rsidR="001329D0">
        <w:rPr>
          <w:szCs w:val="20"/>
        </w:rPr>
        <w:t>.</w:t>
      </w:r>
    </w:p>
    <w:p w14:paraId="2E4E4B15" w14:textId="77777777" w:rsidR="003155EE" w:rsidRPr="003155EE" w:rsidRDefault="003155EE" w:rsidP="003155EE">
      <w:pPr>
        <w:rPr>
          <w:szCs w:val="20"/>
        </w:rPr>
      </w:pPr>
    </w:p>
    <w:p w14:paraId="685DF24F" w14:textId="28269DCD" w:rsidR="00F32494" w:rsidRPr="005E1710" w:rsidRDefault="009315A1" w:rsidP="00F32494">
      <w:pPr>
        <w:rPr>
          <w:b/>
          <w:bCs/>
          <w:szCs w:val="20"/>
        </w:rPr>
      </w:pPr>
      <w:r>
        <w:rPr>
          <w:b/>
          <w:bCs/>
          <w:szCs w:val="20"/>
        </w:rPr>
        <w:t>O</w:t>
      </w:r>
      <w:r w:rsidR="00CA37AF">
        <w:rPr>
          <w:b/>
          <w:bCs/>
          <w:szCs w:val="20"/>
        </w:rPr>
        <w:t>HIO</w:t>
      </w:r>
    </w:p>
    <w:p w14:paraId="7725C086" w14:textId="1F6B4DE0" w:rsidR="00F32494" w:rsidRDefault="000817F9" w:rsidP="00F32494">
      <w:pPr>
        <w:pStyle w:val="ListParagraph"/>
        <w:numPr>
          <w:ilvl w:val="0"/>
          <w:numId w:val="2"/>
        </w:numPr>
        <w:rPr>
          <w:szCs w:val="20"/>
        </w:rPr>
      </w:pPr>
      <w:r w:rsidRPr="000817F9">
        <w:rPr>
          <w:i/>
          <w:iCs/>
          <w:szCs w:val="20"/>
        </w:rPr>
        <w:t>Adams v. DeWine</w:t>
      </w:r>
      <w:r>
        <w:rPr>
          <w:szCs w:val="20"/>
        </w:rPr>
        <w:t xml:space="preserve">, </w:t>
      </w:r>
      <w:r w:rsidRPr="000817F9">
        <w:rPr>
          <w:szCs w:val="20"/>
        </w:rPr>
        <w:t>No. 2021–1428 (Ohio Dec. 2, 2021)</w:t>
      </w:r>
      <w:r w:rsidR="00F256C8">
        <w:rPr>
          <w:szCs w:val="20"/>
        </w:rPr>
        <w:t>.</w:t>
      </w:r>
    </w:p>
    <w:p w14:paraId="72975F44" w14:textId="35763101" w:rsidR="00F256C8" w:rsidRDefault="006A2E00" w:rsidP="00CA0FB3">
      <w:pPr>
        <w:pStyle w:val="ListParagraph"/>
        <w:numPr>
          <w:ilvl w:val="1"/>
          <w:numId w:val="2"/>
        </w:numPr>
        <w:rPr>
          <w:szCs w:val="20"/>
        </w:rPr>
      </w:pPr>
      <w:r>
        <w:rPr>
          <w:szCs w:val="20"/>
        </w:rPr>
        <w:t>Plaintiffs Adams et al. filed a complaint alleging that the “</w:t>
      </w:r>
      <w:r w:rsidRPr="006A2E00">
        <w:rPr>
          <w:szCs w:val="20"/>
        </w:rPr>
        <w:t>General Assembly and the Governor blatantly disregarded that, in 2018,</w:t>
      </w:r>
      <w:r w:rsidR="00A62C08">
        <w:rPr>
          <w:szCs w:val="20"/>
        </w:rPr>
        <w:t xml:space="preserve"> </w:t>
      </w:r>
      <w:r w:rsidRPr="00A62C08">
        <w:rPr>
          <w:szCs w:val="20"/>
        </w:rPr>
        <w:t>Ohioans voted three to one to amend the Ohio Constitution to eliminate the pernicious</w:t>
      </w:r>
      <w:r w:rsidR="00A62C08">
        <w:rPr>
          <w:szCs w:val="20"/>
        </w:rPr>
        <w:t xml:space="preserve"> </w:t>
      </w:r>
      <w:r w:rsidRPr="00A62C08">
        <w:rPr>
          <w:szCs w:val="20"/>
        </w:rPr>
        <w:t>gerrymandering of Ohio’s congressional districts</w:t>
      </w:r>
      <w:r w:rsidR="00CA0FB3">
        <w:rPr>
          <w:szCs w:val="20"/>
        </w:rPr>
        <w:t>” by once again enacting “</w:t>
      </w:r>
      <w:r w:rsidR="00CA0FB3" w:rsidRPr="00CA0FB3">
        <w:rPr>
          <w:szCs w:val="20"/>
        </w:rPr>
        <w:t>a rank partisan</w:t>
      </w:r>
      <w:r w:rsidR="00CA0FB3">
        <w:rPr>
          <w:szCs w:val="20"/>
        </w:rPr>
        <w:t xml:space="preserve"> </w:t>
      </w:r>
      <w:r w:rsidR="00CA0FB3" w:rsidRPr="00CA0FB3">
        <w:rPr>
          <w:szCs w:val="20"/>
        </w:rPr>
        <w:t>gerrymander—one that violates both the letter and the spirit of the 2018 reforms.</w:t>
      </w:r>
      <w:r w:rsidR="00CA0FB3">
        <w:rPr>
          <w:szCs w:val="20"/>
        </w:rPr>
        <w:t>”</w:t>
      </w:r>
    </w:p>
    <w:p w14:paraId="1242B4A1" w14:textId="50312098" w:rsidR="00C85C17" w:rsidRPr="00E05990" w:rsidRDefault="00C85C17" w:rsidP="00E05990">
      <w:pPr>
        <w:pStyle w:val="ListParagraph"/>
        <w:numPr>
          <w:ilvl w:val="1"/>
          <w:numId w:val="2"/>
        </w:numPr>
        <w:rPr>
          <w:szCs w:val="20"/>
        </w:rPr>
      </w:pPr>
      <w:r>
        <w:rPr>
          <w:szCs w:val="20"/>
        </w:rPr>
        <w:t xml:space="preserve">Plaintiffs requested that </w:t>
      </w:r>
      <w:r w:rsidR="00EC5663">
        <w:rPr>
          <w:szCs w:val="20"/>
        </w:rPr>
        <w:t>the court</w:t>
      </w:r>
      <w:r w:rsidR="00E05990">
        <w:rPr>
          <w:szCs w:val="20"/>
        </w:rPr>
        <w:t xml:space="preserve"> “d</w:t>
      </w:r>
      <w:r w:rsidR="00EC5663" w:rsidRPr="00EC5663">
        <w:rPr>
          <w:szCs w:val="20"/>
        </w:rPr>
        <w:t xml:space="preserve">eclare that the apportionment plan adopted by Respondents </w:t>
      </w:r>
      <w:r w:rsidR="002201C0">
        <w:rPr>
          <w:szCs w:val="20"/>
        </w:rPr>
        <w:t>. . .</w:t>
      </w:r>
      <w:r w:rsidR="00EC5663" w:rsidRPr="00EC5663">
        <w:rPr>
          <w:szCs w:val="20"/>
        </w:rPr>
        <w:t xml:space="preserve"> invalid for failure</w:t>
      </w:r>
      <w:r w:rsidR="00E05990">
        <w:rPr>
          <w:szCs w:val="20"/>
        </w:rPr>
        <w:t xml:space="preserve"> </w:t>
      </w:r>
      <w:r w:rsidR="00EC5663" w:rsidRPr="00E05990">
        <w:rPr>
          <w:szCs w:val="20"/>
        </w:rPr>
        <w:t>to comply with Article XIX of the Ohio Constitution</w:t>
      </w:r>
      <w:r w:rsidR="00E05990">
        <w:rPr>
          <w:szCs w:val="20"/>
        </w:rPr>
        <w:t xml:space="preserve">”; </w:t>
      </w:r>
      <w:r w:rsidR="00E05990">
        <w:rPr>
          <w:szCs w:val="20"/>
        </w:rPr>
        <w:lastRenderedPageBreak/>
        <w:t>i</w:t>
      </w:r>
      <w:r w:rsidR="00EC5663" w:rsidRPr="00E05990">
        <w:rPr>
          <w:szCs w:val="20"/>
        </w:rPr>
        <w:t>ssue a permanent injunction and judgment</w:t>
      </w:r>
      <w:r w:rsidR="00E05990">
        <w:rPr>
          <w:szCs w:val="20"/>
        </w:rPr>
        <w:t>; hold</w:t>
      </w:r>
      <w:r w:rsidR="00EC5663" w:rsidRPr="00E05990">
        <w:rPr>
          <w:szCs w:val="20"/>
        </w:rPr>
        <w:t xml:space="preserve"> hearings, consider briefing and evidence;</w:t>
      </w:r>
      <w:r w:rsidR="00E05990">
        <w:rPr>
          <w:szCs w:val="20"/>
        </w:rPr>
        <w:t xml:space="preserve"> and to r</w:t>
      </w:r>
      <w:r w:rsidR="00EC5663" w:rsidRPr="00E05990">
        <w:rPr>
          <w:szCs w:val="20"/>
        </w:rPr>
        <w:t xml:space="preserve">etain jurisdiction of </w:t>
      </w:r>
      <w:r w:rsidR="001F50C5">
        <w:rPr>
          <w:szCs w:val="20"/>
        </w:rPr>
        <w:t>the</w:t>
      </w:r>
      <w:r w:rsidR="00EC5663" w:rsidRPr="00E05990">
        <w:rPr>
          <w:szCs w:val="20"/>
        </w:rPr>
        <w:t xml:space="preserve"> action</w:t>
      </w:r>
      <w:r w:rsidR="001F50C5">
        <w:rPr>
          <w:szCs w:val="20"/>
        </w:rPr>
        <w:t>.</w:t>
      </w:r>
    </w:p>
    <w:p w14:paraId="725E5CA9" w14:textId="2A85FCC4" w:rsidR="00C85C17" w:rsidRPr="007000F5" w:rsidRDefault="00C85C17" w:rsidP="007000F5">
      <w:pPr>
        <w:pStyle w:val="ListParagraph"/>
        <w:numPr>
          <w:ilvl w:val="1"/>
          <w:numId w:val="2"/>
        </w:numPr>
        <w:rPr>
          <w:szCs w:val="20"/>
        </w:rPr>
      </w:pPr>
      <w:r>
        <w:rPr>
          <w:szCs w:val="20"/>
        </w:rPr>
        <w:t xml:space="preserve">Plaintiffs argued that </w:t>
      </w:r>
      <w:r w:rsidR="00E32BF4">
        <w:rPr>
          <w:szCs w:val="20"/>
        </w:rPr>
        <w:t>2021 Congressional Plan violated</w:t>
      </w:r>
      <w:r w:rsidR="00E32BF4" w:rsidRPr="00E32BF4">
        <w:rPr>
          <w:szCs w:val="20"/>
        </w:rPr>
        <w:t xml:space="preserve"> of Article XIX, Section 1(C)(3)(a) of the Ohio</w:t>
      </w:r>
      <w:r w:rsidR="007347C6">
        <w:rPr>
          <w:szCs w:val="20"/>
        </w:rPr>
        <w:t xml:space="preserve"> </w:t>
      </w:r>
      <w:r w:rsidR="00E32BF4" w:rsidRPr="007347C6">
        <w:rPr>
          <w:szCs w:val="20"/>
        </w:rPr>
        <w:t>Constitutio</w:t>
      </w:r>
      <w:r w:rsidR="007347C6">
        <w:rPr>
          <w:szCs w:val="20"/>
        </w:rPr>
        <w:t xml:space="preserve">n, which prohibits </w:t>
      </w:r>
      <w:r w:rsidR="007347C6" w:rsidRPr="007347C6">
        <w:rPr>
          <w:szCs w:val="20"/>
        </w:rPr>
        <w:t>a</w:t>
      </w:r>
      <w:r w:rsidR="007347C6">
        <w:rPr>
          <w:szCs w:val="20"/>
        </w:rPr>
        <w:t>ny</w:t>
      </w:r>
      <w:r w:rsidR="007347C6" w:rsidRPr="007347C6">
        <w:rPr>
          <w:szCs w:val="20"/>
        </w:rPr>
        <w:t xml:space="preserve"> plan “that unduly favors or disfavors a political party or its</w:t>
      </w:r>
      <w:r w:rsidR="007347C6">
        <w:rPr>
          <w:szCs w:val="20"/>
        </w:rPr>
        <w:t xml:space="preserve"> </w:t>
      </w:r>
      <w:r w:rsidR="007347C6" w:rsidRPr="007347C6">
        <w:rPr>
          <w:szCs w:val="20"/>
        </w:rPr>
        <w:t>incumbents</w:t>
      </w:r>
      <w:r w:rsidR="007347C6">
        <w:rPr>
          <w:szCs w:val="20"/>
        </w:rPr>
        <w:t xml:space="preserve">” and that the 2021 Congressional Plan violated </w:t>
      </w:r>
      <w:r w:rsidR="007347C6" w:rsidRPr="007347C6">
        <w:rPr>
          <w:szCs w:val="20"/>
        </w:rPr>
        <w:t>Article XIX, Section 1(C)(3)(b) of the Ohio</w:t>
      </w:r>
      <w:r w:rsidR="007347C6">
        <w:rPr>
          <w:szCs w:val="20"/>
        </w:rPr>
        <w:t xml:space="preserve"> </w:t>
      </w:r>
      <w:r w:rsidR="007347C6" w:rsidRPr="007347C6">
        <w:rPr>
          <w:szCs w:val="20"/>
        </w:rPr>
        <w:t>Constitution</w:t>
      </w:r>
      <w:r w:rsidR="007000F5">
        <w:rPr>
          <w:szCs w:val="20"/>
        </w:rPr>
        <w:t xml:space="preserve">, which states that </w:t>
      </w:r>
      <w:r w:rsidR="007000F5" w:rsidRPr="007000F5">
        <w:rPr>
          <w:szCs w:val="20"/>
        </w:rPr>
        <w:t>the “general</w:t>
      </w:r>
      <w:r w:rsidR="007000F5">
        <w:rPr>
          <w:szCs w:val="20"/>
        </w:rPr>
        <w:t xml:space="preserve"> </w:t>
      </w:r>
      <w:r w:rsidR="007000F5" w:rsidRPr="007000F5">
        <w:rPr>
          <w:szCs w:val="20"/>
        </w:rPr>
        <w:t>assembly shall not unduly split governmental units, giving preference to keeping whole, in the</w:t>
      </w:r>
      <w:r w:rsidR="007000F5">
        <w:rPr>
          <w:szCs w:val="20"/>
        </w:rPr>
        <w:t xml:space="preserve"> </w:t>
      </w:r>
      <w:r w:rsidR="007000F5" w:rsidRPr="007000F5">
        <w:rPr>
          <w:szCs w:val="20"/>
        </w:rPr>
        <w:t>order named, counties, then townships and municipal corporations.”</w:t>
      </w:r>
    </w:p>
    <w:p w14:paraId="18C4260C" w14:textId="77777777" w:rsidR="003155EE" w:rsidRPr="003155EE" w:rsidRDefault="003155EE" w:rsidP="003155EE">
      <w:pPr>
        <w:rPr>
          <w:szCs w:val="20"/>
        </w:rPr>
      </w:pPr>
    </w:p>
    <w:p w14:paraId="7E57D03C" w14:textId="7666460C" w:rsidR="00F32494" w:rsidRPr="005E1710" w:rsidRDefault="00CA37AF" w:rsidP="00F32494">
      <w:pPr>
        <w:rPr>
          <w:b/>
          <w:bCs/>
          <w:szCs w:val="20"/>
        </w:rPr>
      </w:pPr>
      <w:r>
        <w:rPr>
          <w:b/>
          <w:bCs/>
          <w:szCs w:val="20"/>
        </w:rPr>
        <w:t>UTAH</w:t>
      </w:r>
    </w:p>
    <w:p w14:paraId="09DC7BDF" w14:textId="60BC2795" w:rsidR="00F32494" w:rsidRDefault="00DB6848" w:rsidP="00F32494">
      <w:pPr>
        <w:pStyle w:val="ListParagraph"/>
        <w:numPr>
          <w:ilvl w:val="0"/>
          <w:numId w:val="2"/>
        </w:numPr>
        <w:rPr>
          <w:szCs w:val="20"/>
        </w:rPr>
      </w:pPr>
      <w:r w:rsidRPr="00940B4B">
        <w:rPr>
          <w:i/>
          <w:iCs/>
          <w:szCs w:val="20"/>
        </w:rPr>
        <w:t>League of Women Voters of Utah v. Utah State Legislature</w:t>
      </w:r>
      <w:r>
        <w:rPr>
          <w:szCs w:val="20"/>
        </w:rPr>
        <w:t>, No.</w:t>
      </w:r>
      <w:r w:rsidRPr="00DB6848">
        <w:t xml:space="preserve"> </w:t>
      </w:r>
      <w:r w:rsidRPr="00DB6848">
        <w:rPr>
          <w:szCs w:val="20"/>
        </w:rPr>
        <w:t>220901712 (Utah D. Ct. Mar. 17, 2022)</w:t>
      </w:r>
      <w:r>
        <w:rPr>
          <w:szCs w:val="20"/>
        </w:rPr>
        <w:t>.</w:t>
      </w:r>
    </w:p>
    <w:p w14:paraId="2D475765" w14:textId="11FCF1D7" w:rsidR="00940B4B" w:rsidRDefault="00575DA7" w:rsidP="00575DA7">
      <w:pPr>
        <w:pStyle w:val="ListParagraph"/>
        <w:numPr>
          <w:ilvl w:val="1"/>
          <w:numId w:val="2"/>
        </w:numPr>
        <w:rPr>
          <w:szCs w:val="20"/>
        </w:rPr>
      </w:pPr>
      <w:r>
        <w:rPr>
          <w:szCs w:val="20"/>
        </w:rPr>
        <w:t>LWVU Plaintiffs et al. filed a complaint alleging that (1) the Utah Legislature’s 2021 Congressional Plan “</w:t>
      </w:r>
      <w:r w:rsidRPr="00575DA7">
        <w:rPr>
          <w:szCs w:val="20"/>
        </w:rPr>
        <w:t>violates multiple provisions of the Utah Constitution,</w:t>
      </w:r>
      <w:r>
        <w:rPr>
          <w:szCs w:val="20"/>
        </w:rPr>
        <w:t xml:space="preserve"> </w:t>
      </w:r>
      <w:r w:rsidRPr="00575DA7">
        <w:rPr>
          <w:szCs w:val="20"/>
        </w:rPr>
        <w:t>including the Free Elections Clause, the Uniform Operation of Laws Clause, protections of free</w:t>
      </w:r>
      <w:r>
        <w:rPr>
          <w:szCs w:val="20"/>
        </w:rPr>
        <w:t xml:space="preserve"> </w:t>
      </w:r>
      <w:r w:rsidRPr="00575DA7">
        <w:rPr>
          <w:szCs w:val="20"/>
        </w:rPr>
        <w:t>speech and association, and the right to vote</w:t>
      </w:r>
      <w:r>
        <w:rPr>
          <w:szCs w:val="20"/>
        </w:rPr>
        <w:t>; and (2)</w:t>
      </w:r>
      <w:r w:rsidRPr="00575DA7">
        <w:rPr>
          <w:szCs w:val="20"/>
        </w:rPr>
        <w:t xml:space="preserve"> that </w:t>
      </w:r>
      <w:r w:rsidR="00947EE0">
        <w:rPr>
          <w:szCs w:val="20"/>
        </w:rPr>
        <w:t>“</w:t>
      </w:r>
      <w:r w:rsidRPr="00575DA7">
        <w:rPr>
          <w:szCs w:val="20"/>
        </w:rPr>
        <w:t xml:space="preserve">the Legislature’s repeal of Proposition 4 </w:t>
      </w:r>
      <w:r w:rsidR="00D415D2">
        <w:rPr>
          <w:szCs w:val="20"/>
        </w:rPr>
        <w:t>[</w:t>
      </w:r>
      <w:r w:rsidR="00D415D2" w:rsidRPr="00D415D2">
        <w:rPr>
          <w:szCs w:val="20"/>
        </w:rPr>
        <w:t>a bipartisan citizen initiative that</w:t>
      </w:r>
      <w:r w:rsidR="00D415D2">
        <w:rPr>
          <w:szCs w:val="20"/>
        </w:rPr>
        <w:t xml:space="preserve"> prohibited partisan gerrymandering] </w:t>
      </w:r>
      <w:r w:rsidRPr="00575DA7">
        <w:rPr>
          <w:szCs w:val="20"/>
        </w:rPr>
        <w:t>violated the people’s constitutionally</w:t>
      </w:r>
      <w:r>
        <w:rPr>
          <w:szCs w:val="20"/>
        </w:rPr>
        <w:t xml:space="preserve"> </w:t>
      </w:r>
      <w:r w:rsidRPr="00575DA7">
        <w:rPr>
          <w:szCs w:val="20"/>
        </w:rPr>
        <w:t>guaranteed lawmaking power and right to alter and reform their government</w:t>
      </w:r>
      <w:r w:rsidR="00947EE0">
        <w:rPr>
          <w:szCs w:val="20"/>
        </w:rPr>
        <w:t>.”</w:t>
      </w:r>
    </w:p>
    <w:p w14:paraId="687C59CE" w14:textId="3AC6D357" w:rsidR="00684510" w:rsidRPr="001D46F3" w:rsidRDefault="00D347DD" w:rsidP="001D46F3">
      <w:pPr>
        <w:pStyle w:val="ListParagraph"/>
        <w:numPr>
          <w:ilvl w:val="1"/>
          <w:numId w:val="2"/>
        </w:numPr>
        <w:rPr>
          <w:szCs w:val="20"/>
        </w:rPr>
      </w:pPr>
      <w:r>
        <w:rPr>
          <w:szCs w:val="20"/>
        </w:rPr>
        <w:t>Plaintiffs requested that</w:t>
      </w:r>
      <w:r w:rsidR="001D46F3">
        <w:rPr>
          <w:szCs w:val="20"/>
        </w:rPr>
        <w:t xml:space="preserve"> the 2021 Congressional Plan be declared unconstitutional in violation of the Utah Constitution, to enjoin the Defendants from using the Plan, to compel Defendants to perform their redistricting duties in a manner that comports with the UT Constitution, to set a new deadline by which new maps would be due, to declare the 2020 repeal of Proposition 4 of the </w:t>
      </w:r>
      <w:r w:rsidR="001D46F3" w:rsidRPr="001D46F3">
        <w:rPr>
          <w:szCs w:val="20"/>
        </w:rPr>
        <w:t>Utah Independent Redistricting</w:t>
      </w:r>
      <w:r w:rsidR="001D46F3">
        <w:rPr>
          <w:szCs w:val="20"/>
        </w:rPr>
        <w:t xml:space="preserve"> </w:t>
      </w:r>
      <w:r w:rsidR="001D46F3" w:rsidRPr="001D46F3">
        <w:rPr>
          <w:szCs w:val="20"/>
        </w:rPr>
        <w:t>Commission and Standards Act</w:t>
      </w:r>
      <w:r w:rsidR="001D46F3">
        <w:rPr>
          <w:szCs w:val="20"/>
        </w:rPr>
        <w:t xml:space="preserve"> </w:t>
      </w:r>
      <w:r w:rsidR="001D46F3" w:rsidRPr="001D46F3">
        <w:rPr>
          <w:szCs w:val="20"/>
        </w:rPr>
        <w:t xml:space="preserve">unconstitutional, </w:t>
      </w:r>
      <w:r w:rsidR="001420F1">
        <w:rPr>
          <w:szCs w:val="20"/>
        </w:rPr>
        <w:t>and to retain jurisdiction.</w:t>
      </w:r>
    </w:p>
    <w:p w14:paraId="03002DD3" w14:textId="38FF6456" w:rsidR="00834137" w:rsidRDefault="00D347DD" w:rsidP="00834137">
      <w:pPr>
        <w:pStyle w:val="ListParagraph"/>
        <w:numPr>
          <w:ilvl w:val="1"/>
          <w:numId w:val="2"/>
        </w:numPr>
        <w:rPr>
          <w:szCs w:val="20"/>
        </w:rPr>
      </w:pPr>
      <w:r>
        <w:rPr>
          <w:szCs w:val="20"/>
        </w:rPr>
        <w:t xml:space="preserve">Plaintiffs argued that </w:t>
      </w:r>
      <w:r w:rsidR="00834137">
        <w:rPr>
          <w:szCs w:val="20"/>
        </w:rPr>
        <w:t>the Plan was a</w:t>
      </w:r>
      <w:r w:rsidR="00574C02">
        <w:rPr>
          <w:szCs w:val="20"/>
        </w:rPr>
        <w:t xml:space="preserve"> </w:t>
      </w:r>
      <w:r w:rsidR="00574C02" w:rsidRPr="00834137">
        <w:rPr>
          <w:szCs w:val="20"/>
        </w:rPr>
        <w:t>Partisan Gerrymander in Violation of</w:t>
      </w:r>
      <w:r w:rsidR="00FB6143">
        <w:rPr>
          <w:szCs w:val="20"/>
        </w:rPr>
        <w:t xml:space="preserve"> the</w:t>
      </w:r>
      <w:r w:rsidR="00574C02" w:rsidRPr="00834137">
        <w:rPr>
          <w:szCs w:val="20"/>
        </w:rPr>
        <w:t xml:space="preserve"> Utah Constitution’s</w:t>
      </w:r>
      <w:r w:rsidR="002D6A35">
        <w:rPr>
          <w:szCs w:val="20"/>
        </w:rPr>
        <w:t>:</w:t>
      </w:r>
    </w:p>
    <w:p w14:paraId="4BE02E61" w14:textId="2B0389B2" w:rsidR="00D347DD" w:rsidRDefault="00834137" w:rsidP="00834137">
      <w:pPr>
        <w:pStyle w:val="ListParagraph"/>
        <w:numPr>
          <w:ilvl w:val="2"/>
          <w:numId w:val="2"/>
        </w:numPr>
        <w:rPr>
          <w:szCs w:val="20"/>
        </w:rPr>
      </w:pPr>
      <w:r w:rsidRPr="00834137">
        <w:rPr>
          <w:szCs w:val="20"/>
        </w:rPr>
        <w:t>Free Elections Clause</w:t>
      </w:r>
      <w:r>
        <w:rPr>
          <w:szCs w:val="20"/>
        </w:rPr>
        <w:t xml:space="preserve">, </w:t>
      </w:r>
      <w:r w:rsidRPr="00834137">
        <w:rPr>
          <w:szCs w:val="20"/>
        </w:rPr>
        <w:t xml:space="preserve">Article I, Section </w:t>
      </w:r>
      <w:proofErr w:type="gramStart"/>
      <w:r w:rsidRPr="00834137">
        <w:rPr>
          <w:szCs w:val="20"/>
        </w:rPr>
        <w:t>17</w:t>
      </w:r>
      <w:r>
        <w:rPr>
          <w:szCs w:val="20"/>
        </w:rPr>
        <w:t>;</w:t>
      </w:r>
      <w:proofErr w:type="gramEnd"/>
    </w:p>
    <w:p w14:paraId="0860BB30" w14:textId="56626ADB" w:rsidR="00834137" w:rsidRDefault="00574C02" w:rsidP="00574C02">
      <w:pPr>
        <w:pStyle w:val="ListParagraph"/>
        <w:numPr>
          <w:ilvl w:val="2"/>
          <w:numId w:val="2"/>
        </w:numPr>
        <w:rPr>
          <w:szCs w:val="20"/>
        </w:rPr>
      </w:pPr>
      <w:r w:rsidRPr="00574C02">
        <w:rPr>
          <w:szCs w:val="20"/>
        </w:rPr>
        <w:t>Equal</w:t>
      </w:r>
      <w:r>
        <w:rPr>
          <w:szCs w:val="20"/>
        </w:rPr>
        <w:t xml:space="preserve"> </w:t>
      </w:r>
      <w:r w:rsidRPr="00574C02">
        <w:rPr>
          <w:szCs w:val="20"/>
        </w:rPr>
        <w:t xml:space="preserve">Protection Rights, Article I, Sections 2 and </w:t>
      </w:r>
      <w:proofErr w:type="gramStart"/>
      <w:r w:rsidRPr="00574C02">
        <w:rPr>
          <w:szCs w:val="20"/>
        </w:rPr>
        <w:t>24</w:t>
      </w:r>
      <w:r>
        <w:rPr>
          <w:szCs w:val="20"/>
        </w:rPr>
        <w:t>;</w:t>
      </w:r>
      <w:proofErr w:type="gramEnd"/>
    </w:p>
    <w:p w14:paraId="18AA26F5" w14:textId="5C4BB97E" w:rsidR="00574C02" w:rsidRDefault="00BC7FA6" w:rsidP="00574C02">
      <w:pPr>
        <w:pStyle w:val="ListParagraph"/>
        <w:numPr>
          <w:ilvl w:val="2"/>
          <w:numId w:val="2"/>
        </w:numPr>
        <w:rPr>
          <w:szCs w:val="20"/>
        </w:rPr>
      </w:pPr>
      <w:r w:rsidRPr="00BC7FA6">
        <w:rPr>
          <w:szCs w:val="20"/>
        </w:rPr>
        <w:t xml:space="preserve">Free Speech &amp; Association Rights — Article I, Sections 1 and </w:t>
      </w:r>
      <w:proofErr w:type="gramStart"/>
      <w:r w:rsidRPr="00BC7FA6">
        <w:rPr>
          <w:szCs w:val="20"/>
        </w:rPr>
        <w:t>15</w:t>
      </w:r>
      <w:r>
        <w:rPr>
          <w:szCs w:val="20"/>
        </w:rPr>
        <w:t>;</w:t>
      </w:r>
      <w:proofErr w:type="gramEnd"/>
    </w:p>
    <w:p w14:paraId="6017EE4A" w14:textId="7A5C1C52" w:rsidR="00BC7FA6" w:rsidRDefault="00BC7FA6" w:rsidP="00574C02">
      <w:pPr>
        <w:pStyle w:val="ListParagraph"/>
        <w:numPr>
          <w:ilvl w:val="2"/>
          <w:numId w:val="2"/>
        </w:numPr>
        <w:rPr>
          <w:szCs w:val="20"/>
        </w:rPr>
      </w:pPr>
      <w:r w:rsidRPr="00BC7FA6">
        <w:rPr>
          <w:szCs w:val="20"/>
        </w:rPr>
        <w:t xml:space="preserve">Affirmative Right to Vote Protections — Article IV, Section </w:t>
      </w:r>
      <w:proofErr w:type="gramStart"/>
      <w:r w:rsidRPr="00BC7FA6">
        <w:rPr>
          <w:szCs w:val="20"/>
        </w:rPr>
        <w:t>2</w:t>
      </w:r>
      <w:r>
        <w:rPr>
          <w:szCs w:val="20"/>
        </w:rPr>
        <w:t>;</w:t>
      </w:r>
      <w:proofErr w:type="gramEnd"/>
    </w:p>
    <w:p w14:paraId="3AB75F24" w14:textId="01853F02" w:rsidR="00BC7FA6" w:rsidRPr="00690325" w:rsidRDefault="00CC4BEE" w:rsidP="00690325">
      <w:pPr>
        <w:pStyle w:val="ListParagraph"/>
        <w:numPr>
          <w:ilvl w:val="1"/>
          <w:numId w:val="2"/>
        </w:numPr>
        <w:rPr>
          <w:szCs w:val="20"/>
        </w:rPr>
      </w:pPr>
      <w:r>
        <w:rPr>
          <w:szCs w:val="20"/>
        </w:rPr>
        <w:t>Plaintiffs also argued that the u</w:t>
      </w:r>
      <w:r w:rsidRPr="00CC4BEE">
        <w:rPr>
          <w:szCs w:val="20"/>
        </w:rPr>
        <w:t xml:space="preserve">nauthorized </w:t>
      </w:r>
      <w:r>
        <w:rPr>
          <w:szCs w:val="20"/>
        </w:rPr>
        <w:t>r</w:t>
      </w:r>
      <w:r w:rsidRPr="00CC4BEE">
        <w:rPr>
          <w:szCs w:val="20"/>
        </w:rPr>
        <w:t xml:space="preserve">epeal of Proposition 4 </w:t>
      </w:r>
      <w:r>
        <w:rPr>
          <w:szCs w:val="20"/>
        </w:rPr>
        <w:t xml:space="preserve">was </w:t>
      </w:r>
      <w:r w:rsidRPr="00CC4BEE">
        <w:rPr>
          <w:szCs w:val="20"/>
        </w:rPr>
        <w:t xml:space="preserve">in </w:t>
      </w:r>
      <w:r>
        <w:rPr>
          <w:szCs w:val="20"/>
        </w:rPr>
        <w:t>v</w:t>
      </w:r>
      <w:r w:rsidRPr="00CC4BEE">
        <w:rPr>
          <w:szCs w:val="20"/>
        </w:rPr>
        <w:t xml:space="preserve">iolation of </w:t>
      </w:r>
      <w:r w:rsidR="009831AA">
        <w:rPr>
          <w:szCs w:val="20"/>
        </w:rPr>
        <w:t xml:space="preserve">the </w:t>
      </w:r>
      <w:r w:rsidRPr="00CC4BEE">
        <w:rPr>
          <w:szCs w:val="20"/>
        </w:rPr>
        <w:t>Utah</w:t>
      </w:r>
      <w:r>
        <w:rPr>
          <w:szCs w:val="20"/>
        </w:rPr>
        <w:t xml:space="preserve"> </w:t>
      </w:r>
      <w:r w:rsidRPr="00CC4BEE">
        <w:rPr>
          <w:szCs w:val="20"/>
        </w:rPr>
        <w:t>Constitution’s</w:t>
      </w:r>
      <w:r w:rsidR="00FB0165">
        <w:rPr>
          <w:szCs w:val="20"/>
        </w:rPr>
        <w:t xml:space="preserve"> </w:t>
      </w:r>
      <w:r w:rsidR="000E4F4B">
        <w:rPr>
          <w:szCs w:val="20"/>
        </w:rPr>
        <w:t>C</w:t>
      </w:r>
      <w:r w:rsidRPr="00CC4BEE">
        <w:rPr>
          <w:szCs w:val="20"/>
        </w:rPr>
        <w:t xml:space="preserve">itizen </w:t>
      </w:r>
      <w:r w:rsidR="000E4F4B">
        <w:rPr>
          <w:szCs w:val="20"/>
        </w:rPr>
        <w:t>L</w:t>
      </w:r>
      <w:r w:rsidRPr="00CC4BEE">
        <w:rPr>
          <w:szCs w:val="20"/>
        </w:rPr>
        <w:t xml:space="preserve">awmaking </w:t>
      </w:r>
      <w:r w:rsidR="000E4F4B">
        <w:rPr>
          <w:szCs w:val="20"/>
        </w:rPr>
        <w:t>A</w:t>
      </w:r>
      <w:r w:rsidRPr="00CC4BEE">
        <w:rPr>
          <w:szCs w:val="20"/>
        </w:rPr>
        <w:t xml:space="preserve">uthority to </w:t>
      </w:r>
      <w:r w:rsidR="000E4F4B">
        <w:rPr>
          <w:szCs w:val="20"/>
        </w:rPr>
        <w:t>A</w:t>
      </w:r>
      <w:r w:rsidRPr="00CC4BEE">
        <w:rPr>
          <w:szCs w:val="20"/>
        </w:rPr>
        <w:t xml:space="preserve">lter or </w:t>
      </w:r>
      <w:r w:rsidR="000E4F4B">
        <w:rPr>
          <w:szCs w:val="20"/>
        </w:rPr>
        <w:t>Re</w:t>
      </w:r>
      <w:r w:rsidRPr="00CC4BEE">
        <w:rPr>
          <w:szCs w:val="20"/>
        </w:rPr>
        <w:t>form</w:t>
      </w:r>
      <w:r w:rsidR="00690325">
        <w:rPr>
          <w:szCs w:val="20"/>
        </w:rPr>
        <w:t xml:space="preserve"> </w:t>
      </w:r>
      <w:r w:rsidR="000E4F4B">
        <w:rPr>
          <w:szCs w:val="20"/>
        </w:rPr>
        <w:t>G</w:t>
      </w:r>
      <w:r w:rsidRPr="00690325">
        <w:rPr>
          <w:szCs w:val="20"/>
        </w:rPr>
        <w:t>overnment</w:t>
      </w:r>
      <w:r w:rsidR="00690325">
        <w:rPr>
          <w:szCs w:val="20"/>
        </w:rPr>
        <w:t xml:space="preserve">, </w:t>
      </w:r>
      <w:r w:rsidRPr="00690325">
        <w:rPr>
          <w:szCs w:val="20"/>
        </w:rPr>
        <w:t>Article I, Section 2; Article VI, Section 1</w:t>
      </w:r>
      <w:r w:rsidR="00FC5645">
        <w:rPr>
          <w:szCs w:val="20"/>
        </w:rPr>
        <w:t>.</w:t>
      </w:r>
    </w:p>
    <w:p w14:paraId="69C6F59A" w14:textId="77777777" w:rsidR="00F32494" w:rsidRPr="005E1710" w:rsidRDefault="00F32494" w:rsidP="00994991">
      <w:pPr>
        <w:pStyle w:val="ListParagraph"/>
        <w:rPr>
          <w:szCs w:val="20"/>
        </w:rPr>
      </w:pPr>
    </w:p>
    <w:p w14:paraId="02A1E7A7" w14:textId="77777777" w:rsidR="00F32494" w:rsidRPr="00F32494" w:rsidRDefault="00F32494" w:rsidP="00F32494">
      <w:pPr>
        <w:rPr>
          <w:szCs w:val="20"/>
        </w:rPr>
      </w:pPr>
    </w:p>
    <w:p w14:paraId="51E98DDE" w14:textId="77777777" w:rsidR="00F72527" w:rsidRPr="00F72527" w:rsidRDefault="00F72527">
      <w:pPr>
        <w:rPr>
          <w:szCs w:val="20"/>
        </w:rPr>
      </w:pPr>
    </w:p>
    <w:sectPr w:rsidR="00F72527" w:rsidRPr="00F725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3755" w14:textId="77777777" w:rsidR="00CC0D8B" w:rsidRDefault="00CC0D8B" w:rsidP="00A90CD8">
      <w:pPr>
        <w:spacing w:line="240" w:lineRule="auto"/>
      </w:pPr>
      <w:r>
        <w:separator/>
      </w:r>
    </w:p>
  </w:endnote>
  <w:endnote w:type="continuationSeparator" w:id="0">
    <w:p w14:paraId="185989B4" w14:textId="77777777" w:rsidR="00CC0D8B" w:rsidRDefault="00CC0D8B" w:rsidP="00A90C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4C5B1" w14:textId="77777777" w:rsidR="00CC0D8B" w:rsidRDefault="00CC0D8B" w:rsidP="00A90CD8">
      <w:pPr>
        <w:spacing w:line="240" w:lineRule="auto"/>
      </w:pPr>
      <w:r>
        <w:separator/>
      </w:r>
    </w:p>
  </w:footnote>
  <w:footnote w:type="continuationSeparator" w:id="0">
    <w:p w14:paraId="421CBE85" w14:textId="77777777" w:rsidR="00CC0D8B" w:rsidRDefault="00CC0D8B" w:rsidP="00A90C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81A11"/>
    <w:multiLevelType w:val="hybridMultilevel"/>
    <w:tmpl w:val="18CCC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94C10"/>
    <w:multiLevelType w:val="hybridMultilevel"/>
    <w:tmpl w:val="A0F8BB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19077709">
    <w:abstractNumId w:val="1"/>
  </w:num>
  <w:num w:numId="2" w16cid:durableId="967198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50D"/>
    <w:rsid w:val="000011E4"/>
    <w:rsid w:val="00011B7B"/>
    <w:rsid w:val="00031BFF"/>
    <w:rsid w:val="0003271E"/>
    <w:rsid w:val="000423F8"/>
    <w:rsid w:val="00053DC6"/>
    <w:rsid w:val="00056815"/>
    <w:rsid w:val="000612B8"/>
    <w:rsid w:val="00061BAC"/>
    <w:rsid w:val="000669E7"/>
    <w:rsid w:val="00074D4E"/>
    <w:rsid w:val="000817F9"/>
    <w:rsid w:val="00083D0F"/>
    <w:rsid w:val="000858A3"/>
    <w:rsid w:val="000936C5"/>
    <w:rsid w:val="00094F4E"/>
    <w:rsid w:val="0009690C"/>
    <w:rsid w:val="000A56D7"/>
    <w:rsid w:val="000A5C6A"/>
    <w:rsid w:val="000A5F35"/>
    <w:rsid w:val="000B0357"/>
    <w:rsid w:val="000C62F3"/>
    <w:rsid w:val="000C6405"/>
    <w:rsid w:val="000D5DDD"/>
    <w:rsid w:val="000D6927"/>
    <w:rsid w:val="000E1185"/>
    <w:rsid w:val="000E2B5F"/>
    <w:rsid w:val="000E4F4B"/>
    <w:rsid w:val="000F06B0"/>
    <w:rsid w:val="000F14F9"/>
    <w:rsid w:val="000F7680"/>
    <w:rsid w:val="000F7880"/>
    <w:rsid w:val="001029D4"/>
    <w:rsid w:val="00114728"/>
    <w:rsid w:val="00130EEE"/>
    <w:rsid w:val="001329D0"/>
    <w:rsid w:val="001420F1"/>
    <w:rsid w:val="00142F01"/>
    <w:rsid w:val="001455D2"/>
    <w:rsid w:val="0015052D"/>
    <w:rsid w:val="001526BF"/>
    <w:rsid w:val="00166C13"/>
    <w:rsid w:val="001674FA"/>
    <w:rsid w:val="001734D8"/>
    <w:rsid w:val="00181207"/>
    <w:rsid w:val="00191BE3"/>
    <w:rsid w:val="001935D5"/>
    <w:rsid w:val="001B45BC"/>
    <w:rsid w:val="001B6446"/>
    <w:rsid w:val="001D46F3"/>
    <w:rsid w:val="001D4703"/>
    <w:rsid w:val="001E6844"/>
    <w:rsid w:val="001F1145"/>
    <w:rsid w:val="001F32D6"/>
    <w:rsid w:val="001F50C5"/>
    <w:rsid w:val="00207D95"/>
    <w:rsid w:val="00211E23"/>
    <w:rsid w:val="00212664"/>
    <w:rsid w:val="00215EC7"/>
    <w:rsid w:val="002201C0"/>
    <w:rsid w:val="0022426A"/>
    <w:rsid w:val="00225810"/>
    <w:rsid w:val="00225A5F"/>
    <w:rsid w:val="00254E2F"/>
    <w:rsid w:val="00264C5A"/>
    <w:rsid w:val="00267920"/>
    <w:rsid w:val="00271211"/>
    <w:rsid w:val="002856A4"/>
    <w:rsid w:val="00290BB0"/>
    <w:rsid w:val="00296285"/>
    <w:rsid w:val="002C2AAC"/>
    <w:rsid w:val="002D6A35"/>
    <w:rsid w:val="002E0856"/>
    <w:rsid w:val="002E31B6"/>
    <w:rsid w:val="002F086B"/>
    <w:rsid w:val="002F0885"/>
    <w:rsid w:val="002F256E"/>
    <w:rsid w:val="002F4D83"/>
    <w:rsid w:val="003077F8"/>
    <w:rsid w:val="003155EE"/>
    <w:rsid w:val="0032595F"/>
    <w:rsid w:val="00330EC1"/>
    <w:rsid w:val="00334C92"/>
    <w:rsid w:val="0034242C"/>
    <w:rsid w:val="003427AD"/>
    <w:rsid w:val="00344660"/>
    <w:rsid w:val="00345F9D"/>
    <w:rsid w:val="00350CFF"/>
    <w:rsid w:val="003543FB"/>
    <w:rsid w:val="00356123"/>
    <w:rsid w:val="00372F65"/>
    <w:rsid w:val="00396F41"/>
    <w:rsid w:val="003B30A2"/>
    <w:rsid w:val="003B48DE"/>
    <w:rsid w:val="003B48EA"/>
    <w:rsid w:val="003C66D0"/>
    <w:rsid w:val="003D038B"/>
    <w:rsid w:val="003D65B4"/>
    <w:rsid w:val="003F0D56"/>
    <w:rsid w:val="00404AE3"/>
    <w:rsid w:val="004108D6"/>
    <w:rsid w:val="0041780A"/>
    <w:rsid w:val="004302E9"/>
    <w:rsid w:val="00435739"/>
    <w:rsid w:val="00443B00"/>
    <w:rsid w:val="00452C01"/>
    <w:rsid w:val="0045618C"/>
    <w:rsid w:val="0047192B"/>
    <w:rsid w:val="00471CFA"/>
    <w:rsid w:val="00472EA4"/>
    <w:rsid w:val="00472FED"/>
    <w:rsid w:val="00474A3C"/>
    <w:rsid w:val="0047710B"/>
    <w:rsid w:val="00492571"/>
    <w:rsid w:val="004A2C87"/>
    <w:rsid w:val="004A68CE"/>
    <w:rsid w:val="004C3C47"/>
    <w:rsid w:val="004C4296"/>
    <w:rsid w:val="004D1613"/>
    <w:rsid w:val="004E2FCB"/>
    <w:rsid w:val="00515521"/>
    <w:rsid w:val="00515F5C"/>
    <w:rsid w:val="00516FB4"/>
    <w:rsid w:val="0052532C"/>
    <w:rsid w:val="00537B72"/>
    <w:rsid w:val="005545C2"/>
    <w:rsid w:val="0056285E"/>
    <w:rsid w:val="005634BE"/>
    <w:rsid w:val="00574C02"/>
    <w:rsid w:val="0057547F"/>
    <w:rsid w:val="00575DA7"/>
    <w:rsid w:val="005808B7"/>
    <w:rsid w:val="00592B02"/>
    <w:rsid w:val="005A0373"/>
    <w:rsid w:val="005A4170"/>
    <w:rsid w:val="005A5490"/>
    <w:rsid w:val="005B421F"/>
    <w:rsid w:val="005B7FFE"/>
    <w:rsid w:val="005C0CE2"/>
    <w:rsid w:val="005D746D"/>
    <w:rsid w:val="005E1710"/>
    <w:rsid w:val="005F082C"/>
    <w:rsid w:val="005F539F"/>
    <w:rsid w:val="005F7580"/>
    <w:rsid w:val="005F7C1D"/>
    <w:rsid w:val="006044A6"/>
    <w:rsid w:val="006213B3"/>
    <w:rsid w:val="006367B7"/>
    <w:rsid w:val="00643A05"/>
    <w:rsid w:val="006502FF"/>
    <w:rsid w:val="00652664"/>
    <w:rsid w:val="00671155"/>
    <w:rsid w:val="0067223B"/>
    <w:rsid w:val="00680555"/>
    <w:rsid w:val="00684510"/>
    <w:rsid w:val="00690325"/>
    <w:rsid w:val="0069126D"/>
    <w:rsid w:val="006A08C1"/>
    <w:rsid w:val="006A2E00"/>
    <w:rsid w:val="006B1C61"/>
    <w:rsid w:val="006B2D20"/>
    <w:rsid w:val="006B5496"/>
    <w:rsid w:val="006D1610"/>
    <w:rsid w:val="006E70CB"/>
    <w:rsid w:val="006F2C19"/>
    <w:rsid w:val="006F4E3C"/>
    <w:rsid w:val="007000F5"/>
    <w:rsid w:val="007310E0"/>
    <w:rsid w:val="007347C6"/>
    <w:rsid w:val="00750AC1"/>
    <w:rsid w:val="00765D3C"/>
    <w:rsid w:val="00767B11"/>
    <w:rsid w:val="00775270"/>
    <w:rsid w:val="0079288A"/>
    <w:rsid w:val="007B75B9"/>
    <w:rsid w:val="007C7D84"/>
    <w:rsid w:val="007D0FE2"/>
    <w:rsid w:val="007D1B01"/>
    <w:rsid w:val="007D5ED9"/>
    <w:rsid w:val="007D63B1"/>
    <w:rsid w:val="007F17DF"/>
    <w:rsid w:val="007F2B4B"/>
    <w:rsid w:val="008042C7"/>
    <w:rsid w:val="00804DC1"/>
    <w:rsid w:val="0081758A"/>
    <w:rsid w:val="0082403E"/>
    <w:rsid w:val="00825E45"/>
    <w:rsid w:val="008273BC"/>
    <w:rsid w:val="00834137"/>
    <w:rsid w:val="0084070D"/>
    <w:rsid w:val="0084773C"/>
    <w:rsid w:val="00852EA3"/>
    <w:rsid w:val="00867309"/>
    <w:rsid w:val="008751ED"/>
    <w:rsid w:val="00875487"/>
    <w:rsid w:val="008775BD"/>
    <w:rsid w:val="0089629B"/>
    <w:rsid w:val="008A462C"/>
    <w:rsid w:val="008D467C"/>
    <w:rsid w:val="008D66FD"/>
    <w:rsid w:val="008E1661"/>
    <w:rsid w:val="008E6D44"/>
    <w:rsid w:val="00901844"/>
    <w:rsid w:val="00905D1D"/>
    <w:rsid w:val="00906592"/>
    <w:rsid w:val="009108BB"/>
    <w:rsid w:val="00914284"/>
    <w:rsid w:val="00922B6D"/>
    <w:rsid w:val="00925688"/>
    <w:rsid w:val="00926A10"/>
    <w:rsid w:val="009315A1"/>
    <w:rsid w:val="00940B4B"/>
    <w:rsid w:val="009476A5"/>
    <w:rsid w:val="00947EE0"/>
    <w:rsid w:val="009679A9"/>
    <w:rsid w:val="009831AA"/>
    <w:rsid w:val="0099185A"/>
    <w:rsid w:val="00992B19"/>
    <w:rsid w:val="00994991"/>
    <w:rsid w:val="009A6F30"/>
    <w:rsid w:val="009A72E8"/>
    <w:rsid w:val="009B129D"/>
    <w:rsid w:val="009B1A73"/>
    <w:rsid w:val="009C6C77"/>
    <w:rsid w:val="009E0842"/>
    <w:rsid w:val="00A10326"/>
    <w:rsid w:val="00A175AC"/>
    <w:rsid w:val="00A22BD7"/>
    <w:rsid w:val="00A522D6"/>
    <w:rsid w:val="00A5256F"/>
    <w:rsid w:val="00A56902"/>
    <w:rsid w:val="00A61043"/>
    <w:rsid w:val="00A62C08"/>
    <w:rsid w:val="00A64C3F"/>
    <w:rsid w:val="00A71C57"/>
    <w:rsid w:val="00A7567F"/>
    <w:rsid w:val="00A8532E"/>
    <w:rsid w:val="00A90B0E"/>
    <w:rsid w:val="00A90CD8"/>
    <w:rsid w:val="00AA10B4"/>
    <w:rsid w:val="00AB7083"/>
    <w:rsid w:val="00AC1E63"/>
    <w:rsid w:val="00AC57A6"/>
    <w:rsid w:val="00AD083C"/>
    <w:rsid w:val="00AE1FFA"/>
    <w:rsid w:val="00AE419A"/>
    <w:rsid w:val="00AF0C93"/>
    <w:rsid w:val="00AF20C5"/>
    <w:rsid w:val="00B01256"/>
    <w:rsid w:val="00B07787"/>
    <w:rsid w:val="00B11B08"/>
    <w:rsid w:val="00B15CCA"/>
    <w:rsid w:val="00B17476"/>
    <w:rsid w:val="00B401E4"/>
    <w:rsid w:val="00B44B83"/>
    <w:rsid w:val="00B665A3"/>
    <w:rsid w:val="00B8711F"/>
    <w:rsid w:val="00B932D8"/>
    <w:rsid w:val="00B9468D"/>
    <w:rsid w:val="00BA4FAC"/>
    <w:rsid w:val="00BC6DA6"/>
    <w:rsid w:val="00BC7FA6"/>
    <w:rsid w:val="00BD5F8B"/>
    <w:rsid w:val="00BE26B0"/>
    <w:rsid w:val="00C13CC1"/>
    <w:rsid w:val="00C16C8D"/>
    <w:rsid w:val="00C23571"/>
    <w:rsid w:val="00C23A8F"/>
    <w:rsid w:val="00C35036"/>
    <w:rsid w:val="00C427FA"/>
    <w:rsid w:val="00C552C0"/>
    <w:rsid w:val="00C6795B"/>
    <w:rsid w:val="00C751FE"/>
    <w:rsid w:val="00C77F6D"/>
    <w:rsid w:val="00C842DB"/>
    <w:rsid w:val="00C85C17"/>
    <w:rsid w:val="00CA0FB3"/>
    <w:rsid w:val="00CA1CBF"/>
    <w:rsid w:val="00CA37AF"/>
    <w:rsid w:val="00CA7970"/>
    <w:rsid w:val="00CB51AA"/>
    <w:rsid w:val="00CC0D8B"/>
    <w:rsid w:val="00CC4BEE"/>
    <w:rsid w:val="00CC527C"/>
    <w:rsid w:val="00CC59A0"/>
    <w:rsid w:val="00CE0D78"/>
    <w:rsid w:val="00D14D9A"/>
    <w:rsid w:val="00D215B3"/>
    <w:rsid w:val="00D33951"/>
    <w:rsid w:val="00D347DD"/>
    <w:rsid w:val="00D40A68"/>
    <w:rsid w:val="00D415D2"/>
    <w:rsid w:val="00D43B38"/>
    <w:rsid w:val="00D50CD0"/>
    <w:rsid w:val="00D61314"/>
    <w:rsid w:val="00D632BA"/>
    <w:rsid w:val="00D67E4B"/>
    <w:rsid w:val="00D7369A"/>
    <w:rsid w:val="00D73B91"/>
    <w:rsid w:val="00D8310F"/>
    <w:rsid w:val="00D851C6"/>
    <w:rsid w:val="00D866BD"/>
    <w:rsid w:val="00D90943"/>
    <w:rsid w:val="00DA2EB8"/>
    <w:rsid w:val="00DB6848"/>
    <w:rsid w:val="00DC318D"/>
    <w:rsid w:val="00DC6F51"/>
    <w:rsid w:val="00DD66C7"/>
    <w:rsid w:val="00DD7F5E"/>
    <w:rsid w:val="00DE1886"/>
    <w:rsid w:val="00DF0717"/>
    <w:rsid w:val="00DF450D"/>
    <w:rsid w:val="00E05990"/>
    <w:rsid w:val="00E124D6"/>
    <w:rsid w:val="00E21002"/>
    <w:rsid w:val="00E2275E"/>
    <w:rsid w:val="00E22B20"/>
    <w:rsid w:val="00E274DC"/>
    <w:rsid w:val="00E32BF4"/>
    <w:rsid w:val="00E335AA"/>
    <w:rsid w:val="00E36A1E"/>
    <w:rsid w:val="00E448F4"/>
    <w:rsid w:val="00E6689D"/>
    <w:rsid w:val="00E72929"/>
    <w:rsid w:val="00E76C5D"/>
    <w:rsid w:val="00E86EB8"/>
    <w:rsid w:val="00EA34DD"/>
    <w:rsid w:val="00EA377F"/>
    <w:rsid w:val="00EA7817"/>
    <w:rsid w:val="00EB53DB"/>
    <w:rsid w:val="00EC1995"/>
    <w:rsid w:val="00EC2635"/>
    <w:rsid w:val="00EC266E"/>
    <w:rsid w:val="00EC5663"/>
    <w:rsid w:val="00ED32B3"/>
    <w:rsid w:val="00ED671F"/>
    <w:rsid w:val="00EE25A9"/>
    <w:rsid w:val="00EE2738"/>
    <w:rsid w:val="00EE2D91"/>
    <w:rsid w:val="00EE4689"/>
    <w:rsid w:val="00EE4F22"/>
    <w:rsid w:val="00EF095C"/>
    <w:rsid w:val="00EF6ECA"/>
    <w:rsid w:val="00F1414C"/>
    <w:rsid w:val="00F256C8"/>
    <w:rsid w:val="00F32494"/>
    <w:rsid w:val="00F36DBB"/>
    <w:rsid w:val="00F407AC"/>
    <w:rsid w:val="00F50810"/>
    <w:rsid w:val="00F72527"/>
    <w:rsid w:val="00F73E82"/>
    <w:rsid w:val="00F87D15"/>
    <w:rsid w:val="00F92AC3"/>
    <w:rsid w:val="00FB0165"/>
    <w:rsid w:val="00FB5E3F"/>
    <w:rsid w:val="00FB6143"/>
    <w:rsid w:val="00FC1FCB"/>
    <w:rsid w:val="00FC5645"/>
    <w:rsid w:val="00FD0BC0"/>
    <w:rsid w:val="00FD1E46"/>
    <w:rsid w:val="00FE2F6B"/>
    <w:rsid w:val="00FE4207"/>
    <w:rsid w:val="00FE7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A9EB"/>
  <w15:chartTrackingRefBased/>
  <w15:docId w15:val="{41018933-86A3-4997-AF5C-B16DF9266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3B91"/>
    <w:pPr>
      <w:autoSpaceDE w:val="0"/>
      <w:autoSpaceDN w:val="0"/>
      <w:adjustRightInd w:val="0"/>
      <w:spacing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E1710"/>
    <w:pPr>
      <w:ind w:left="720"/>
      <w:contextualSpacing/>
    </w:pPr>
  </w:style>
  <w:style w:type="paragraph" w:styleId="FootnoteText">
    <w:name w:val="footnote text"/>
    <w:basedOn w:val="Normal"/>
    <w:link w:val="FootnoteTextChar"/>
    <w:uiPriority w:val="99"/>
    <w:semiHidden/>
    <w:unhideWhenUsed/>
    <w:rsid w:val="00A90CD8"/>
    <w:pPr>
      <w:spacing w:line="240" w:lineRule="auto"/>
    </w:pPr>
    <w:rPr>
      <w:szCs w:val="20"/>
    </w:rPr>
  </w:style>
  <w:style w:type="character" w:customStyle="1" w:styleId="FootnoteTextChar">
    <w:name w:val="Footnote Text Char"/>
    <w:basedOn w:val="DefaultParagraphFont"/>
    <w:link w:val="FootnoteText"/>
    <w:uiPriority w:val="99"/>
    <w:semiHidden/>
    <w:rsid w:val="00A90CD8"/>
    <w:rPr>
      <w:szCs w:val="20"/>
    </w:rPr>
  </w:style>
  <w:style w:type="character" w:styleId="FootnoteReference">
    <w:name w:val="footnote reference"/>
    <w:basedOn w:val="DefaultParagraphFont"/>
    <w:uiPriority w:val="99"/>
    <w:semiHidden/>
    <w:unhideWhenUsed/>
    <w:rsid w:val="00A90C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FB093-FBA0-4C54-8E2F-B14726172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Matsuda</dc:creator>
  <cp:keywords/>
  <dc:description/>
  <cp:lastModifiedBy>Scott Matsuda</cp:lastModifiedBy>
  <cp:revision>205</cp:revision>
  <dcterms:created xsi:type="dcterms:W3CDTF">2022-10-01T10:56:00Z</dcterms:created>
  <dcterms:modified xsi:type="dcterms:W3CDTF">2022-10-04T01:28:00Z</dcterms:modified>
</cp:coreProperties>
</file>