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CEEBC" w14:textId="0C4C55F5" w:rsidR="006F2C19" w:rsidRPr="00D73B91" w:rsidRDefault="00CA7970">
      <w:pPr>
        <w:rPr>
          <w:szCs w:val="20"/>
        </w:rPr>
      </w:pPr>
      <w:r w:rsidRPr="00D73B91">
        <w:rPr>
          <w:szCs w:val="20"/>
        </w:rPr>
        <w:t xml:space="preserve">To: </w:t>
      </w:r>
      <w:r w:rsidRPr="00D73B91">
        <w:rPr>
          <w:szCs w:val="20"/>
        </w:rPr>
        <w:tab/>
      </w:r>
      <w:r w:rsidR="005F7C1D">
        <w:rPr>
          <w:szCs w:val="20"/>
        </w:rPr>
        <w:t>Jonathan Cervas</w:t>
      </w:r>
      <w:r w:rsidR="0082403E">
        <w:rPr>
          <w:szCs w:val="20"/>
        </w:rPr>
        <w:t>, Ph.</w:t>
      </w:r>
      <w:r w:rsidR="00472FED">
        <w:rPr>
          <w:szCs w:val="20"/>
        </w:rPr>
        <w:t>D. &amp; Bernard Grofman, Ph.D.</w:t>
      </w:r>
    </w:p>
    <w:p w14:paraId="3C1F65CF" w14:textId="77777777" w:rsidR="00CA7970" w:rsidRPr="00D73B91" w:rsidRDefault="00CA7970">
      <w:pPr>
        <w:rPr>
          <w:szCs w:val="20"/>
        </w:rPr>
      </w:pPr>
      <w:r w:rsidRPr="00D73B91">
        <w:rPr>
          <w:szCs w:val="20"/>
        </w:rPr>
        <w:t>From:</w:t>
      </w:r>
      <w:r w:rsidRPr="00D73B91">
        <w:rPr>
          <w:szCs w:val="20"/>
        </w:rPr>
        <w:tab/>
        <w:t>Scott Matsuda</w:t>
      </w:r>
    </w:p>
    <w:p w14:paraId="1B9182EE" w14:textId="21565821" w:rsidR="00CA7970" w:rsidRPr="00D73B91" w:rsidRDefault="00CA7970">
      <w:pPr>
        <w:rPr>
          <w:szCs w:val="20"/>
        </w:rPr>
      </w:pPr>
      <w:r w:rsidRPr="00D73B91">
        <w:rPr>
          <w:szCs w:val="20"/>
        </w:rPr>
        <w:t>Date:</w:t>
      </w:r>
      <w:r w:rsidRPr="00D73B91">
        <w:rPr>
          <w:szCs w:val="20"/>
        </w:rPr>
        <w:tab/>
      </w:r>
      <w:r w:rsidR="00057EAB">
        <w:rPr>
          <w:szCs w:val="20"/>
        </w:rPr>
        <w:t>10/</w:t>
      </w:r>
      <w:r w:rsidR="000D18B7">
        <w:rPr>
          <w:szCs w:val="20"/>
        </w:rPr>
        <w:t>7</w:t>
      </w:r>
      <w:r w:rsidR="00057EAB">
        <w:rPr>
          <w:szCs w:val="20"/>
        </w:rPr>
        <w:t>/2022</w:t>
      </w:r>
    </w:p>
    <w:p w14:paraId="385897F0" w14:textId="4874EA38" w:rsidR="00CA7970" w:rsidRPr="00906592" w:rsidRDefault="00CA7970" w:rsidP="00CA7970">
      <w:pPr>
        <w:jc w:val="center"/>
        <w:rPr>
          <w:b/>
          <w:bCs/>
          <w:szCs w:val="20"/>
          <w:u w:val="single"/>
        </w:rPr>
      </w:pPr>
      <w:r w:rsidRPr="00852EA3">
        <w:rPr>
          <w:szCs w:val="20"/>
          <w:u w:val="single"/>
        </w:rPr>
        <w:t>Case Briefing</w:t>
      </w:r>
      <w:r w:rsidR="00906592">
        <w:rPr>
          <w:szCs w:val="20"/>
          <w:u w:val="single"/>
        </w:rPr>
        <w:t xml:space="preserve"> </w:t>
      </w:r>
      <w:r w:rsidR="00061BAC">
        <w:rPr>
          <w:b/>
          <w:bCs/>
          <w:szCs w:val="20"/>
          <w:u w:val="single"/>
        </w:rPr>
        <w:t>[</w:t>
      </w:r>
      <w:r w:rsidR="00057EAB">
        <w:rPr>
          <w:b/>
          <w:bCs/>
          <w:szCs w:val="20"/>
          <w:u w:val="single"/>
        </w:rPr>
        <w:t>KANSAS</w:t>
      </w:r>
      <w:r w:rsidR="00061BAC">
        <w:rPr>
          <w:b/>
          <w:bCs/>
          <w:szCs w:val="20"/>
          <w:u w:val="single"/>
        </w:rPr>
        <w:t>]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7470"/>
      </w:tblGrid>
      <w:tr w:rsidR="00D73B91" w:rsidRPr="00D73B91" w14:paraId="216BB34A" w14:textId="77777777" w:rsidTr="00F61108">
        <w:trPr>
          <w:trHeight w:val="270"/>
        </w:trPr>
        <w:tc>
          <w:tcPr>
            <w:tcW w:w="1998" w:type="dxa"/>
          </w:tcPr>
          <w:p w14:paraId="39C9A3DC" w14:textId="77777777" w:rsidR="00D73B91" w:rsidRPr="00D73B91" w:rsidRDefault="00D73B91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D73B9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Citation </w:t>
            </w:r>
          </w:p>
        </w:tc>
        <w:tc>
          <w:tcPr>
            <w:tcW w:w="7470" w:type="dxa"/>
          </w:tcPr>
          <w:p w14:paraId="266604A8" w14:textId="1DBCB9D1" w:rsidR="005F539F" w:rsidRDefault="00057EAB" w:rsidP="00B401E4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Rivera v. Schwab</w:t>
            </w:r>
            <w:r w:rsidR="00A648FB">
              <w:rPr>
                <w:rFonts w:ascii="Arial" w:hAnsi="Arial" w:cs="Arial"/>
                <w:iCs/>
                <w:sz w:val="20"/>
                <w:szCs w:val="20"/>
              </w:rPr>
              <w:t xml:space="preserve">, </w:t>
            </w:r>
            <w:r w:rsidR="006F7030">
              <w:rPr>
                <w:rFonts w:ascii="Arial" w:hAnsi="Arial" w:cs="Arial"/>
                <w:iCs/>
                <w:sz w:val="20"/>
                <w:szCs w:val="20"/>
              </w:rPr>
              <w:t>512 P.2d 168</w:t>
            </w:r>
            <w:r w:rsidR="0078504B" w:rsidRPr="0078504B">
              <w:rPr>
                <w:rFonts w:ascii="Arial" w:hAnsi="Arial" w:cs="Arial"/>
                <w:iCs/>
                <w:sz w:val="20"/>
                <w:szCs w:val="20"/>
              </w:rPr>
              <w:t xml:space="preserve"> (Kan</w:t>
            </w:r>
            <w:r w:rsidR="006F7030">
              <w:rPr>
                <w:rFonts w:ascii="Arial" w:hAnsi="Arial" w:cs="Arial"/>
                <w:iCs/>
                <w:sz w:val="20"/>
                <w:szCs w:val="20"/>
              </w:rPr>
              <w:t xml:space="preserve">. </w:t>
            </w:r>
            <w:r w:rsidR="0078504B" w:rsidRPr="0078504B">
              <w:rPr>
                <w:rFonts w:ascii="Arial" w:hAnsi="Arial" w:cs="Arial"/>
                <w:iCs/>
                <w:sz w:val="20"/>
                <w:szCs w:val="20"/>
              </w:rPr>
              <w:t>2022).</w:t>
            </w:r>
          </w:p>
          <w:p w14:paraId="07A00851" w14:textId="5E84C427" w:rsidR="00F61108" w:rsidRPr="00A64C3F" w:rsidRDefault="00F61108" w:rsidP="00F61108">
            <w:pPr>
              <w:pStyle w:val="Default"/>
              <w:rPr>
                <w:rFonts w:ascii="Arial" w:hAnsi="Arial" w:cs="Arial"/>
                <w:iCs/>
                <w:sz w:val="20"/>
                <w:szCs w:val="20"/>
              </w:rPr>
            </w:pPr>
          </w:p>
        </w:tc>
      </w:tr>
      <w:tr w:rsidR="00474A3C" w:rsidRPr="00D73B91" w14:paraId="579CDEAF" w14:textId="77777777" w:rsidTr="00DD66C7">
        <w:trPr>
          <w:trHeight w:val="549"/>
        </w:trPr>
        <w:tc>
          <w:tcPr>
            <w:tcW w:w="1998" w:type="dxa"/>
          </w:tcPr>
          <w:p w14:paraId="2A45B22E" w14:textId="77777777" w:rsidR="00474A3C" w:rsidRDefault="00474A3C" w:rsidP="00474A3C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Judicial Breakdown / Partisan or Nonpartisan</w:t>
            </w:r>
          </w:p>
          <w:p w14:paraId="3BC9E9A3" w14:textId="4ED1530C" w:rsidR="00474A3C" w:rsidRPr="00D73B91" w:rsidRDefault="00474A3C" w:rsidP="00474A3C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8D467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7470" w:type="dxa"/>
          </w:tcPr>
          <w:p w14:paraId="69472329" w14:textId="0E8C4A7E" w:rsidR="005616AB" w:rsidRDefault="004A58D8" w:rsidP="00946582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Justice Stegall (R) wrote </w:t>
            </w:r>
            <w:r w:rsidRPr="00C45E78">
              <w:rPr>
                <w:rFonts w:ascii="Arial" w:hAnsi="Arial" w:cs="Arial"/>
                <w:iCs/>
                <w:sz w:val="20"/>
                <w:szCs w:val="20"/>
              </w:rPr>
              <w:t xml:space="preserve">the </w:t>
            </w:r>
            <w:r w:rsidR="00200213" w:rsidRPr="00C45E78">
              <w:rPr>
                <w:rFonts w:ascii="Arial" w:hAnsi="Arial" w:cs="Arial"/>
                <w:iCs/>
                <w:sz w:val="20"/>
                <w:szCs w:val="20"/>
              </w:rPr>
              <w:t>4</w:t>
            </w:r>
            <w:r w:rsidRPr="00C45E78">
              <w:rPr>
                <w:rFonts w:ascii="Arial" w:hAnsi="Arial" w:cs="Arial"/>
                <w:iCs/>
                <w:sz w:val="20"/>
                <w:szCs w:val="20"/>
              </w:rPr>
              <w:t>-</w:t>
            </w:r>
            <w:r w:rsidR="00200213" w:rsidRPr="00C45E78">
              <w:rPr>
                <w:rFonts w:ascii="Arial" w:hAnsi="Arial" w:cs="Arial"/>
                <w:iCs/>
                <w:sz w:val="20"/>
                <w:szCs w:val="20"/>
              </w:rPr>
              <w:t>3</w:t>
            </w:r>
            <w:r w:rsidRPr="00C45E78">
              <w:rPr>
                <w:rFonts w:ascii="Arial" w:hAnsi="Arial" w:cs="Arial"/>
                <w:iCs/>
                <w:sz w:val="20"/>
                <w:szCs w:val="20"/>
              </w:rPr>
              <w:t xml:space="preserve"> opinion</w:t>
            </w:r>
            <w:r w:rsidR="008A4D5F" w:rsidRPr="00C45E78">
              <w:rPr>
                <w:rFonts w:ascii="Arial" w:hAnsi="Arial" w:cs="Arial"/>
                <w:iCs/>
                <w:sz w:val="20"/>
                <w:szCs w:val="20"/>
              </w:rPr>
              <w:t>, joined</w:t>
            </w:r>
            <w:r w:rsidR="008A4D5F">
              <w:rPr>
                <w:rFonts w:ascii="Arial" w:hAnsi="Arial" w:cs="Arial"/>
                <w:iCs/>
                <w:sz w:val="20"/>
                <w:szCs w:val="20"/>
              </w:rPr>
              <w:t xml:space="preserve"> by</w:t>
            </w:r>
            <w:r w:rsidR="0015616A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804BED">
              <w:rPr>
                <w:rFonts w:ascii="Arial" w:hAnsi="Arial" w:cs="Arial"/>
                <w:iCs/>
                <w:sz w:val="20"/>
                <w:szCs w:val="20"/>
              </w:rPr>
              <w:t xml:space="preserve">Chief Justice </w:t>
            </w:r>
            <w:r w:rsidR="00804BED">
              <w:rPr>
                <w:rFonts w:ascii="Arial" w:hAnsi="Arial" w:cs="Arial"/>
                <w:iCs/>
                <w:sz w:val="20"/>
                <w:szCs w:val="20"/>
              </w:rPr>
              <w:t>Luckert (R)</w:t>
            </w:r>
            <w:r w:rsidR="00804BED">
              <w:rPr>
                <w:rFonts w:ascii="Arial" w:hAnsi="Arial" w:cs="Arial"/>
                <w:iCs/>
                <w:sz w:val="20"/>
                <w:szCs w:val="20"/>
              </w:rPr>
              <w:t xml:space="preserve">, and </w:t>
            </w:r>
            <w:r w:rsidR="00DF053E">
              <w:rPr>
                <w:rFonts w:ascii="Arial" w:hAnsi="Arial" w:cs="Arial"/>
                <w:iCs/>
                <w:sz w:val="20"/>
                <w:szCs w:val="20"/>
              </w:rPr>
              <w:t>Justices Wall (D), and Wilson (D)</w:t>
            </w:r>
            <w:r w:rsidR="0015616A">
              <w:rPr>
                <w:rFonts w:ascii="Arial" w:hAnsi="Arial" w:cs="Arial"/>
                <w:iCs/>
                <w:sz w:val="20"/>
                <w:szCs w:val="20"/>
              </w:rPr>
              <w:t xml:space="preserve">; </w:t>
            </w:r>
          </w:p>
          <w:p w14:paraId="10D0384E" w14:textId="17E23DC0" w:rsidR="005616AB" w:rsidRDefault="0015616A" w:rsidP="005616AB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Justice Rosen</w:t>
            </w:r>
            <w:r w:rsidR="00413BE4">
              <w:rPr>
                <w:rFonts w:ascii="Arial" w:hAnsi="Arial" w:cs="Arial"/>
                <w:iCs/>
                <w:sz w:val="20"/>
                <w:szCs w:val="20"/>
              </w:rPr>
              <w:t xml:space="preserve"> (D)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5616AB">
              <w:rPr>
                <w:rFonts w:ascii="Arial" w:hAnsi="Arial" w:cs="Arial"/>
                <w:iCs/>
                <w:sz w:val="20"/>
                <w:szCs w:val="20"/>
              </w:rPr>
              <w:t>filed a concurrence in part, and dissent in part</w:t>
            </w:r>
            <w:r w:rsidR="000E6A00">
              <w:rPr>
                <w:rFonts w:ascii="Arial" w:hAnsi="Arial" w:cs="Arial"/>
                <w:iCs/>
                <w:sz w:val="20"/>
                <w:szCs w:val="20"/>
              </w:rPr>
              <w:t>.</w:t>
            </w:r>
          </w:p>
          <w:p w14:paraId="023AA0E2" w14:textId="5D248D1B" w:rsidR="004A58D8" w:rsidRPr="0015616A" w:rsidRDefault="005616AB" w:rsidP="005616AB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Justice</w:t>
            </w:r>
            <w:r w:rsidR="0015616A">
              <w:rPr>
                <w:rFonts w:ascii="Arial" w:hAnsi="Arial" w:cs="Arial"/>
                <w:iCs/>
                <w:sz w:val="20"/>
                <w:szCs w:val="20"/>
              </w:rPr>
              <w:t xml:space="preserve"> Biles</w:t>
            </w:r>
            <w:r w:rsidR="00413BE4">
              <w:rPr>
                <w:rFonts w:ascii="Arial" w:hAnsi="Arial" w:cs="Arial"/>
                <w:iCs/>
                <w:sz w:val="20"/>
                <w:szCs w:val="20"/>
              </w:rPr>
              <w:t xml:space="preserve"> (D)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filed a concurrence in part, and dissent in part, joined by Justices Rosen and Standridge (D).</w:t>
            </w:r>
            <w:r w:rsidR="00341CBE">
              <w:rPr>
                <w:rStyle w:val="FootnoteReference"/>
                <w:rFonts w:ascii="Arial" w:hAnsi="Arial" w:cs="Arial"/>
                <w:iCs/>
                <w:sz w:val="20"/>
                <w:szCs w:val="20"/>
              </w:rPr>
              <w:footnoteReference w:id="1"/>
            </w:r>
          </w:p>
          <w:p w14:paraId="4C14DE31" w14:textId="3D4B6E2A" w:rsidR="00474A3C" w:rsidRPr="001F6BD0" w:rsidRDefault="00474A3C" w:rsidP="00A9672F">
            <w:pPr>
              <w:pStyle w:val="Default"/>
              <w:rPr>
                <w:rFonts w:ascii="Arial" w:hAnsi="Arial" w:cs="Arial"/>
                <w:iCs/>
                <w:sz w:val="20"/>
                <w:szCs w:val="20"/>
              </w:rPr>
            </w:pPr>
          </w:p>
        </w:tc>
      </w:tr>
      <w:tr w:rsidR="00ED671F" w:rsidRPr="00D73B91" w14:paraId="1553CCF4" w14:textId="77777777" w:rsidTr="00B665A3">
        <w:trPr>
          <w:trHeight w:val="900"/>
        </w:trPr>
        <w:tc>
          <w:tcPr>
            <w:tcW w:w="1998" w:type="dxa"/>
          </w:tcPr>
          <w:p w14:paraId="48278285" w14:textId="185C2B74" w:rsidR="00ED671F" w:rsidRDefault="00474A3C" w:rsidP="00ED671F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Procedural History</w:t>
            </w:r>
          </w:p>
          <w:p w14:paraId="36E704DD" w14:textId="2EC70AA0" w:rsidR="00ED671F" w:rsidRPr="00D73B91" w:rsidRDefault="00ED671F" w:rsidP="00ED671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8D467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7470" w:type="dxa"/>
          </w:tcPr>
          <w:p w14:paraId="307C51E2" w14:textId="4B8B4C2E" w:rsidR="00ED671F" w:rsidRDefault="00D41F63" w:rsidP="000C7EFA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Shortly after the adoption of Sub. SB 355</w:t>
            </w:r>
            <w:r w:rsidR="0097390A">
              <w:rPr>
                <w:rFonts w:ascii="Arial" w:hAnsi="Arial" w:cs="Arial"/>
                <w:sz w:val="20"/>
                <w:szCs w:val="20"/>
              </w:rPr>
              <w:t xml:space="preserve"> (SB</w:t>
            </w:r>
            <w:r w:rsidR="00A7261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7390A">
              <w:rPr>
                <w:rFonts w:ascii="Arial" w:hAnsi="Arial" w:cs="Arial"/>
                <w:sz w:val="20"/>
                <w:szCs w:val="20"/>
              </w:rPr>
              <w:t>355)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D41F63">
              <w:rPr>
                <w:rFonts w:ascii="Arial" w:hAnsi="Arial" w:cs="Arial"/>
                <w:sz w:val="20"/>
                <w:szCs w:val="20"/>
              </w:rPr>
              <w:t>plaintiffs sued in state court to enjoin the use of SB 355 in the</w:t>
            </w:r>
            <w:r w:rsidR="000C7EF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C7EFA">
              <w:rPr>
                <w:rFonts w:ascii="Arial" w:hAnsi="Arial" w:cs="Arial"/>
                <w:sz w:val="20"/>
                <w:szCs w:val="20"/>
              </w:rPr>
              <w:t>upcoming elections.</w:t>
            </w:r>
          </w:p>
          <w:p w14:paraId="3A225951" w14:textId="619C1717" w:rsidR="00E94EB6" w:rsidRPr="00EB4F60" w:rsidRDefault="00C452B9" w:rsidP="00EB4F60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Rivera Plaintiffs and the Alonzo Plaintiffs </w:t>
            </w:r>
            <w:r w:rsidRPr="00C452B9">
              <w:rPr>
                <w:rFonts w:ascii="Arial" w:hAnsi="Arial" w:cs="Arial"/>
                <w:sz w:val="20"/>
                <w:szCs w:val="20"/>
              </w:rPr>
              <w:t>alleg</w:t>
            </w:r>
            <w:r w:rsidR="00FB3CDD">
              <w:rPr>
                <w:rFonts w:ascii="Arial" w:hAnsi="Arial" w:cs="Arial"/>
                <w:sz w:val="20"/>
                <w:szCs w:val="20"/>
              </w:rPr>
              <w:t>ed</w:t>
            </w:r>
            <w:r w:rsidRPr="00C452B9">
              <w:rPr>
                <w:rFonts w:ascii="Arial" w:hAnsi="Arial" w:cs="Arial"/>
                <w:sz w:val="20"/>
                <w:szCs w:val="20"/>
              </w:rPr>
              <w:t xml:space="preserve"> tha</w:t>
            </w:r>
            <w:r w:rsidR="0097390A">
              <w:rPr>
                <w:rFonts w:ascii="Arial" w:hAnsi="Arial" w:cs="Arial"/>
                <w:sz w:val="20"/>
                <w:szCs w:val="20"/>
              </w:rPr>
              <w:t>t</w:t>
            </w:r>
            <w:r w:rsidRPr="00C452B9">
              <w:rPr>
                <w:rFonts w:ascii="Arial" w:hAnsi="Arial" w:cs="Arial"/>
                <w:sz w:val="20"/>
                <w:szCs w:val="20"/>
              </w:rPr>
              <w:t xml:space="preserve"> SB</w:t>
            </w:r>
            <w:r w:rsidR="00A7261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452B9">
              <w:rPr>
                <w:rFonts w:ascii="Arial" w:hAnsi="Arial" w:cs="Arial"/>
                <w:sz w:val="20"/>
                <w:szCs w:val="20"/>
              </w:rPr>
              <w:t xml:space="preserve">355 </w:t>
            </w:r>
            <w:r w:rsidR="00424ED7">
              <w:rPr>
                <w:rFonts w:ascii="Arial" w:hAnsi="Arial" w:cs="Arial"/>
                <w:sz w:val="20"/>
                <w:szCs w:val="20"/>
              </w:rPr>
              <w:t>was</w:t>
            </w:r>
            <w:r w:rsidRPr="00C452B9">
              <w:rPr>
                <w:rFonts w:ascii="Arial" w:hAnsi="Arial" w:cs="Arial"/>
                <w:sz w:val="20"/>
                <w:szCs w:val="20"/>
              </w:rPr>
              <w:t xml:space="preserve"> a partisan and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452B9">
              <w:rPr>
                <w:rFonts w:ascii="Arial" w:hAnsi="Arial" w:cs="Arial"/>
                <w:sz w:val="20"/>
                <w:szCs w:val="20"/>
              </w:rPr>
              <w:t>racial gerrymander</w:t>
            </w:r>
            <w:r w:rsidR="001A3FC8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C452B9">
              <w:rPr>
                <w:rFonts w:ascii="Arial" w:hAnsi="Arial" w:cs="Arial"/>
                <w:sz w:val="20"/>
                <w:szCs w:val="20"/>
              </w:rPr>
              <w:t>dilut</w:t>
            </w:r>
            <w:r w:rsidR="001A3FC8">
              <w:rPr>
                <w:rFonts w:ascii="Arial" w:hAnsi="Arial" w:cs="Arial"/>
                <w:sz w:val="20"/>
                <w:szCs w:val="20"/>
              </w:rPr>
              <w:t>ing</w:t>
            </w:r>
            <w:r w:rsidRPr="00C452B9">
              <w:rPr>
                <w:rFonts w:ascii="Arial" w:hAnsi="Arial" w:cs="Arial"/>
                <w:sz w:val="20"/>
                <w:szCs w:val="20"/>
              </w:rPr>
              <w:t xml:space="preserve"> minority votes in violation of several provisions of the Kansas Constitution.</w:t>
            </w:r>
          </w:p>
          <w:p w14:paraId="216F1D28" w14:textId="195D2D34" w:rsidR="00B225AF" w:rsidRDefault="000A457C" w:rsidP="00C452B9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Two weeks later, the Frick Plaintiffs sued </w:t>
            </w:r>
            <w:r w:rsidRPr="000A457C">
              <w:rPr>
                <w:rFonts w:ascii="Arial" w:hAnsi="Arial" w:cs="Arial"/>
                <w:sz w:val="20"/>
                <w:szCs w:val="20"/>
              </w:rPr>
              <w:t>alleging that SB</w:t>
            </w:r>
            <w:r w:rsidR="00A7261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A457C">
              <w:rPr>
                <w:rFonts w:ascii="Arial" w:hAnsi="Arial" w:cs="Arial"/>
                <w:sz w:val="20"/>
                <w:szCs w:val="20"/>
              </w:rPr>
              <w:t xml:space="preserve">355 </w:t>
            </w:r>
            <w:r w:rsidR="00360B00">
              <w:rPr>
                <w:rFonts w:ascii="Arial" w:hAnsi="Arial" w:cs="Arial"/>
                <w:sz w:val="20"/>
                <w:szCs w:val="20"/>
              </w:rPr>
              <w:t>was</w:t>
            </w:r>
            <w:r w:rsidRPr="000A457C">
              <w:rPr>
                <w:rFonts w:ascii="Arial" w:hAnsi="Arial" w:cs="Arial"/>
                <w:sz w:val="20"/>
                <w:szCs w:val="20"/>
              </w:rPr>
              <w:t xml:space="preserve"> an unconstitutional partisan gerrymander</w:t>
            </w:r>
            <w:r w:rsidR="00E643F3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99E8420" w14:textId="06C9AB50" w:rsidR="00713799" w:rsidRDefault="00EC6F59" w:rsidP="00EC6F59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After </w:t>
            </w:r>
            <w:r w:rsidRPr="00EC6F59">
              <w:rPr>
                <w:rFonts w:ascii="Arial" w:hAnsi="Arial" w:cs="Arial"/>
                <w:sz w:val="20"/>
                <w:szCs w:val="20"/>
              </w:rPr>
              <w:t>den</w:t>
            </w:r>
            <w:r>
              <w:rPr>
                <w:rFonts w:ascii="Arial" w:hAnsi="Arial" w:cs="Arial"/>
                <w:sz w:val="20"/>
                <w:szCs w:val="20"/>
              </w:rPr>
              <w:t xml:space="preserve">ying </w:t>
            </w:r>
            <w:r w:rsidRPr="00EC6F59">
              <w:rPr>
                <w:rFonts w:ascii="Arial" w:hAnsi="Arial" w:cs="Arial"/>
                <w:sz w:val="20"/>
                <w:szCs w:val="20"/>
              </w:rPr>
              <w:t xml:space="preserve">the </w:t>
            </w:r>
            <w:r>
              <w:rPr>
                <w:rFonts w:ascii="Arial" w:hAnsi="Arial" w:cs="Arial"/>
                <w:sz w:val="20"/>
                <w:szCs w:val="20"/>
              </w:rPr>
              <w:t xml:space="preserve">Defendants’ </w:t>
            </w:r>
            <w:r w:rsidRPr="00EC6F59">
              <w:rPr>
                <w:rFonts w:ascii="Arial" w:hAnsi="Arial" w:cs="Arial"/>
                <w:sz w:val="20"/>
                <w:szCs w:val="20"/>
              </w:rPr>
              <w:t>petition</w:t>
            </w:r>
            <w:r>
              <w:rPr>
                <w:rFonts w:ascii="Arial" w:hAnsi="Arial" w:cs="Arial"/>
                <w:sz w:val="20"/>
                <w:szCs w:val="20"/>
              </w:rPr>
              <w:t xml:space="preserve"> for mandamus and quo warranto</w:t>
            </w:r>
            <w:r w:rsidRPr="00EC6F59"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="00855625">
              <w:rPr>
                <w:rFonts w:ascii="Arial" w:hAnsi="Arial" w:cs="Arial"/>
                <w:sz w:val="20"/>
                <w:szCs w:val="20"/>
              </w:rPr>
              <w:t>court</w:t>
            </w:r>
            <w:r>
              <w:rPr>
                <w:rFonts w:ascii="Arial" w:hAnsi="Arial" w:cs="Arial"/>
                <w:sz w:val="20"/>
                <w:szCs w:val="20"/>
              </w:rPr>
              <w:t xml:space="preserve"> consolidated the three cases in Wyandotte County.</w:t>
            </w:r>
          </w:p>
          <w:p w14:paraId="5637FD23" w14:textId="186B001F" w:rsidR="002B5446" w:rsidRDefault="002B5446" w:rsidP="002B5446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2B5446">
              <w:rPr>
                <w:rFonts w:ascii="Arial" w:hAnsi="Arial" w:cs="Arial"/>
                <w:sz w:val="20"/>
                <w:szCs w:val="20"/>
              </w:rPr>
              <w:t xml:space="preserve">On </w:t>
            </w:r>
            <w:r>
              <w:rPr>
                <w:rFonts w:ascii="Arial" w:hAnsi="Arial" w:cs="Arial"/>
                <w:sz w:val="20"/>
                <w:szCs w:val="20"/>
              </w:rPr>
              <w:t>4/</w:t>
            </w:r>
            <w:r w:rsidRPr="002B5446">
              <w:rPr>
                <w:rFonts w:ascii="Arial" w:hAnsi="Arial" w:cs="Arial"/>
                <w:sz w:val="20"/>
                <w:szCs w:val="20"/>
              </w:rPr>
              <w:t>25</w:t>
            </w:r>
            <w:r>
              <w:rPr>
                <w:rFonts w:ascii="Arial" w:hAnsi="Arial" w:cs="Arial"/>
                <w:sz w:val="20"/>
                <w:szCs w:val="20"/>
              </w:rPr>
              <w:t>/</w:t>
            </w:r>
            <w:r w:rsidRPr="002B5446">
              <w:rPr>
                <w:rFonts w:ascii="Arial" w:hAnsi="Arial" w:cs="Arial"/>
                <w:sz w:val="20"/>
                <w:szCs w:val="20"/>
              </w:rPr>
              <w:t>2022, the district court held that SB</w:t>
            </w:r>
            <w:r w:rsidR="00A7261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B5446">
              <w:rPr>
                <w:rFonts w:ascii="Arial" w:hAnsi="Arial" w:cs="Arial"/>
                <w:sz w:val="20"/>
                <w:szCs w:val="20"/>
              </w:rPr>
              <w:t>355 violate</w:t>
            </w:r>
            <w:r w:rsidR="003E37D3">
              <w:rPr>
                <w:rFonts w:ascii="Arial" w:hAnsi="Arial" w:cs="Arial"/>
                <w:sz w:val="20"/>
                <w:szCs w:val="20"/>
              </w:rPr>
              <w:t xml:space="preserve">d </w:t>
            </w:r>
            <w:r w:rsidRPr="002B5446">
              <w:rPr>
                <w:rFonts w:ascii="Arial" w:hAnsi="Arial" w:cs="Arial"/>
                <w:sz w:val="20"/>
                <w:szCs w:val="20"/>
              </w:rPr>
              <w:t>the Kansas Constitution as both 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B5446">
              <w:rPr>
                <w:rFonts w:ascii="Arial" w:hAnsi="Arial" w:cs="Arial"/>
                <w:sz w:val="20"/>
                <w:szCs w:val="20"/>
              </w:rPr>
              <w:t xml:space="preserve">partisan and a racial gerrymander. </w:t>
            </w:r>
          </w:p>
          <w:p w14:paraId="7185E173" w14:textId="77777777" w:rsidR="000A57D0" w:rsidRDefault="002B5446" w:rsidP="002B5446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2B5446">
              <w:rPr>
                <w:rFonts w:ascii="Arial" w:hAnsi="Arial" w:cs="Arial"/>
                <w:sz w:val="20"/>
                <w:szCs w:val="20"/>
              </w:rPr>
              <w:t>Alongside photographs of legislators looking at their phones during their listening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B5446">
              <w:rPr>
                <w:rFonts w:ascii="Arial" w:hAnsi="Arial" w:cs="Arial"/>
                <w:sz w:val="20"/>
                <w:szCs w:val="20"/>
              </w:rPr>
              <w:t>tours, the district court stated that Ad Astra 2 was created in secret and "pushed through the Legislature" on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B5446">
              <w:rPr>
                <w:rFonts w:ascii="Arial" w:hAnsi="Arial" w:cs="Arial"/>
                <w:sz w:val="20"/>
                <w:szCs w:val="20"/>
              </w:rPr>
              <w:t xml:space="preserve">"largely party-line votes" and "with no Democratic support." </w:t>
            </w:r>
          </w:p>
          <w:p w14:paraId="0F5FF282" w14:textId="77777777" w:rsidR="00D421FB" w:rsidRDefault="008252B0" w:rsidP="008252B0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8252B0">
              <w:rPr>
                <w:rFonts w:ascii="Arial" w:hAnsi="Arial" w:cs="Arial"/>
                <w:sz w:val="20"/>
                <w:szCs w:val="20"/>
              </w:rPr>
              <w:t>The court further stated that "the map split known communities of interest, ignored public input, diluted minority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252B0">
              <w:rPr>
                <w:rFonts w:ascii="Arial" w:hAnsi="Arial" w:cs="Arial"/>
                <w:sz w:val="20"/>
                <w:szCs w:val="20"/>
              </w:rPr>
              <w:t xml:space="preserve">votes, and constituted 'textbook gerrymandering.'" </w:t>
            </w:r>
          </w:p>
          <w:p w14:paraId="7A2FF0C2" w14:textId="13F58A26" w:rsidR="00EB4075" w:rsidRDefault="008252B0" w:rsidP="008252B0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8252B0">
              <w:rPr>
                <w:rFonts w:ascii="Arial" w:hAnsi="Arial" w:cs="Arial"/>
                <w:sz w:val="20"/>
                <w:szCs w:val="20"/>
              </w:rPr>
              <w:t>The court found that "Ad Astra 2 was designed intentionally and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252B0">
              <w:rPr>
                <w:rFonts w:ascii="Arial" w:hAnsi="Arial" w:cs="Arial"/>
                <w:sz w:val="20"/>
                <w:szCs w:val="20"/>
              </w:rPr>
              <w:t>effectively to maximize Republican advantage," relying on expert testimony to conclude that the plan "</w:t>
            </w:r>
            <w:r w:rsidR="00DC36D4">
              <w:rPr>
                <w:rFonts w:ascii="Arial" w:hAnsi="Arial" w:cs="Arial"/>
                <w:sz w:val="20"/>
                <w:szCs w:val="20"/>
              </w:rPr>
              <w:t>[was]</w:t>
            </w:r>
            <w:r w:rsidRPr="008252B0">
              <w:rPr>
                <w:rFonts w:ascii="Arial" w:hAnsi="Arial" w:cs="Arial"/>
                <w:sz w:val="20"/>
                <w:szCs w:val="20"/>
              </w:rPr>
              <w:t xml:space="preserve"> an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252B0">
              <w:rPr>
                <w:rFonts w:ascii="Arial" w:hAnsi="Arial" w:cs="Arial"/>
                <w:sz w:val="20"/>
                <w:szCs w:val="20"/>
              </w:rPr>
              <w:t>intentional, effective partisan gerrymander.</w:t>
            </w:r>
            <w:r w:rsidR="00621B8D">
              <w:rPr>
                <w:rFonts w:ascii="Arial" w:hAnsi="Arial" w:cs="Arial"/>
                <w:sz w:val="20"/>
                <w:szCs w:val="20"/>
              </w:rPr>
              <w:t>”</w:t>
            </w:r>
          </w:p>
          <w:p w14:paraId="0FC049FA" w14:textId="77777777" w:rsidR="0040070E" w:rsidRDefault="00645E46" w:rsidP="0040070E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645E46">
              <w:rPr>
                <w:rFonts w:ascii="Arial" w:hAnsi="Arial" w:cs="Arial"/>
                <w:sz w:val="20"/>
                <w:szCs w:val="20"/>
              </w:rPr>
              <w:t xml:space="preserve">The district court permanently enjoined </w:t>
            </w:r>
            <w:r>
              <w:rPr>
                <w:rFonts w:ascii="Arial" w:hAnsi="Arial" w:cs="Arial"/>
                <w:sz w:val="20"/>
                <w:szCs w:val="20"/>
              </w:rPr>
              <w:t>KS’</w:t>
            </w:r>
            <w:r w:rsidRPr="00645E46">
              <w:rPr>
                <w:rFonts w:ascii="Arial" w:hAnsi="Arial" w:cs="Arial"/>
                <w:sz w:val="20"/>
                <w:szCs w:val="20"/>
              </w:rPr>
              <w:t xml:space="preserve"> election officials "from preparing for or administering any primary or</w:t>
            </w:r>
            <w:r w:rsidR="004A2D8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A2D82">
              <w:rPr>
                <w:rFonts w:ascii="Arial" w:hAnsi="Arial" w:cs="Arial"/>
                <w:sz w:val="20"/>
                <w:szCs w:val="20"/>
              </w:rPr>
              <w:t>general congressional election under Ad Astra 2</w:t>
            </w:r>
            <w:r w:rsidR="004A2D82">
              <w:rPr>
                <w:rFonts w:ascii="Arial" w:hAnsi="Arial" w:cs="Arial"/>
                <w:sz w:val="20"/>
                <w:szCs w:val="20"/>
              </w:rPr>
              <w:t>,” a</w:t>
            </w:r>
            <w:r w:rsidRPr="004A2D82">
              <w:rPr>
                <w:rFonts w:ascii="Arial" w:hAnsi="Arial" w:cs="Arial"/>
                <w:sz w:val="20"/>
                <w:szCs w:val="20"/>
              </w:rPr>
              <w:t>nd it further ordered that the "Legislature shall enact a remedial</w:t>
            </w:r>
            <w:r w:rsidR="0040070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0070E">
              <w:rPr>
                <w:rFonts w:ascii="Arial" w:hAnsi="Arial" w:cs="Arial"/>
                <w:sz w:val="20"/>
                <w:szCs w:val="20"/>
              </w:rPr>
              <w:t xml:space="preserve">plan in conformity with this opinion as expeditiously as possible." </w:t>
            </w:r>
          </w:p>
          <w:p w14:paraId="72F0A76C" w14:textId="771525CD" w:rsidR="00645E46" w:rsidRPr="0040070E" w:rsidRDefault="00645E46" w:rsidP="0040070E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40070E">
              <w:rPr>
                <w:rFonts w:ascii="Arial" w:hAnsi="Arial" w:cs="Arial"/>
                <w:sz w:val="20"/>
                <w:szCs w:val="20"/>
              </w:rPr>
              <w:t>The State immediately appealed to th</w:t>
            </w:r>
            <w:r w:rsidR="0040070E">
              <w:rPr>
                <w:rFonts w:ascii="Arial" w:hAnsi="Arial" w:cs="Arial"/>
                <w:sz w:val="20"/>
                <w:szCs w:val="20"/>
              </w:rPr>
              <w:t>e KS Sup</w:t>
            </w:r>
            <w:r w:rsidR="0068505E">
              <w:rPr>
                <w:rFonts w:ascii="Arial" w:hAnsi="Arial" w:cs="Arial"/>
                <w:sz w:val="20"/>
                <w:szCs w:val="20"/>
              </w:rPr>
              <w:t>r</w:t>
            </w:r>
            <w:r w:rsidR="0040070E">
              <w:rPr>
                <w:rFonts w:ascii="Arial" w:hAnsi="Arial" w:cs="Arial"/>
                <w:sz w:val="20"/>
                <w:szCs w:val="20"/>
              </w:rPr>
              <w:t>eme C</w:t>
            </w:r>
            <w:r w:rsidRPr="0040070E">
              <w:rPr>
                <w:rFonts w:ascii="Arial" w:hAnsi="Arial" w:cs="Arial"/>
                <w:sz w:val="20"/>
                <w:szCs w:val="20"/>
              </w:rPr>
              <w:t>ourt.</w:t>
            </w:r>
          </w:p>
        </w:tc>
      </w:tr>
      <w:tr w:rsidR="00ED671F" w:rsidRPr="00D73B91" w14:paraId="37413AE7" w14:textId="77777777" w:rsidTr="00372F65">
        <w:trPr>
          <w:trHeight w:val="513"/>
        </w:trPr>
        <w:tc>
          <w:tcPr>
            <w:tcW w:w="1998" w:type="dxa"/>
          </w:tcPr>
          <w:p w14:paraId="4AEA63B6" w14:textId="77777777" w:rsidR="00ED671F" w:rsidRDefault="00ED671F" w:rsidP="00ED671F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D002A5D" w14:textId="77777777" w:rsidR="00ED671F" w:rsidRPr="00D73B91" w:rsidRDefault="00ED671F" w:rsidP="00ED671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D73B9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Disposition </w:t>
            </w:r>
          </w:p>
        </w:tc>
        <w:tc>
          <w:tcPr>
            <w:tcW w:w="7470" w:type="dxa"/>
          </w:tcPr>
          <w:p w14:paraId="2A66052F" w14:textId="77777777" w:rsidR="00ED671F" w:rsidRDefault="00ED671F" w:rsidP="00ED671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  <w:p w14:paraId="26E195EC" w14:textId="6783DA49" w:rsidR="00ED671F" w:rsidRPr="00E17536" w:rsidRDefault="00387631" w:rsidP="00ED671F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Reversed and injunction order lifted.</w:t>
            </w:r>
          </w:p>
        </w:tc>
      </w:tr>
      <w:tr w:rsidR="00ED671F" w:rsidRPr="00D73B91" w14:paraId="0AA16A26" w14:textId="77777777" w:rsidTr="00A522D6">
        <w:trPr>
          <w:trHeight w:val="1827"/>
        </w:trPr>
        <w:tc>
          <w:tcPr>
            <w:tcW w:w="1998" w:type="dxa"/>
          </w:tcPr>
          <w:p w14:paraId="5C7D8449" w14:textId="77777777" w:rsidR="00ED671F" w:rsidRDefault="00ED671F" w:rsidP="00ED671F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648D297" w14:textId="77777777" w:rsidR="00ED671F" w:rsidRPr="00D73B91" w:rsidRDefault="00ED671F" w:rsidP="00ED671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D73B9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Facts </w:t>
            </w:r>
          </w:p>
        </w:tc>
        <w:tc>
          <w:tcPr>
            <w:tcW w:w="7470" w:type="dxa"/>
          </w:tcPr>
          <w:p w14:paraId="42C3BE2D" w14:textId="77777777" w:rsidR="00ED671F" w:rsidRDefault="00ED671F" w:rsidP="00ED671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  <w:p w14:paraId="5F9407A2" w14:textId="77777777" w:rsidR="00ED671F" w:rsidRDefault="00292548" w:rsidP="00292548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 2021, </w:t>
            </w:r>
            <w:r w:rsidRPr="00292548">
              <w:rPr>
                <w:rFonts w:ascii="Arial" w:hAnsi="Arial" w:cs="Arial"/>
                <w:sz w:val="20"/>
                <w:szCs w:val="20"/>
              </w:rPr>
              <w:t xml:space="preserve">the </w:t>
            </w:r>
            <w:r>
              <w:rPr>
                <w:rFonts w:ascii="Arial" w:hAnsi="Arial" w:cs="Arial"/>
                <w:sz w:val="20"/>
                <w:szCs w:val="20"/>
              </w:rPr>
              <w:t>KS</w:t>
            </w:r>
            <w:r w:rsidRPr="00292548">
              <w:rPr>
                <w:rFonts w:ascii="Arial" w:hAnsi="Arial" w:cs="Arial"/>
                <w:sz w:val="20"/>
                <w:szCs w:val="20"/>
              </w:rPr>
              <w:t xml:space="preserve"> Legislature began the process of preparing to redraw </w:t>
            </w:r>
            <w:r>
              <w:rPr>
                <w:rFonts w:ascii="Arial" w:hAnsi="Arial" w:cs="Arial"/>
                <w:sz w:val="20"/>
                <w:szCs w:val="20"/>
              </w:rPr>
              <w:t>KS’</w:t>
            </w:r>
            <w:r w:rsidRPr="00292548">
              <w:rPr>
                <w:rFonts w:ascii="Arial" w:hAnsi="Arial" w:cs="Arial"/>
                <w:sz w:val="20"/>
                <w:szCs w:val="20"/>
              </w:rPr>
              <w:t xml:space="preserve"> four congressional districts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92548">
              <w:rPr>
                <w:rFonts w:ascii="Arial" w:hAnsi="Arial" w:cs="Arial"/>
                <w:sz w:val="20"/>
                <w:szCs w:val="20"/>
              </w:rPr>
              <w:t>according to the 2020 Census.</w:t>
            </w:r>
          </w:p>
          <w:p w14:paraId="7E5E9A32" w14:textId="57D5E18D" w:rsidR="00F865CC" w:rsidRDefault="002D134A" w:rsidP="00F865CC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Subsequently, t</w:t>
            </w:r>
            <w:r w:rsidR="00F865CC" w:rsidRPr="00F865CC">
              <w:rPr>
                <w:rFonts w:ascii="Arial" w:hAnsi="Arial" w:cs="Arial"/>
                <w:sz w:val="20"/>
                <w:szCs w:val="20"/>
              </w:rPr>
              <w:t>he Legislature's bipartisan Redistricting Advisory Group adopted the Guidelines</w:t>
            </w:r>
            <w:r w:rsidR="00A419F4">
              <w:rPr>
                <w:rStyle w:val="FootnoteReference"/>
                <w:rFonts w:ascii="Arial" w:hAnsi="Arial" w:cs="Arial"/>
                <w:sz w:val="20"/>
                <w:szCs w:val="20"/>
              </w:rPr>
              <w:footnoteReference w:id="2"/>
            </w:r>
            <w:r w:rsidR="00F865CC" w:rsidRPr="00F865CC">
              <w:rPr>
                <w:rFonts w:ascii="Arial" w:hAnsi="Arial" w:cs="Arial"/>
                <w:sz w:val="20"/>
                <w:szCs w:val="20"/>
              </w:rPr>
              <w:t xml:space="preserve"> and the Senate and House</w:t>
            </w:r>
            <w:r w:rsidR="00F865C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865CC" w:rsidRPr="00F865CC">
              <w:rPr>
                <w:rFonts w:ascii="Arial" w:hAnsi="Arial" w:cs="Arial"/>
                <w:sz w:val="20"/>
                <w:szCs w:val="20"/>
              </w:rPr>
              <w:t xml:space="preserve">Redistricting Committees received presentations on the Guidelines at initial meetings in January 2022. </w:t>
            </w:r>
          </w:p>
          <w:p w14:paraId="53ECB4E9" w14:textId="66B43F0D" w:rsidR="00F865CC" w:rsidRDefault="00986100" w:rsidP="00F865CC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However, o</w:t>
            </w:r>
            <w:r w:rsidR="00F865CC" w:rsidRPr="00F865CC">
              <w:rPr>
                <w:rFonts w:ascii="Arial" w:hAnsi="Arial" w:cs="Arial"/>
                <w:sz w:val="20"/>
                <w:szCs w:val="20"/>
              </w:rPr>
              <w:t>nly the</w:t>
            </w:r>
            <w:r w:rsidR="00F865C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865CC" w:rsidRPr="00F865CC">
              <w:rPr>
                <w:rFonts w:ascii="Arial" w:hAnsi="Arial" w:cs="Arial"/>
                <w:sz w:val="20"/>
                <w:szCs w:val="20"/>
              </w:rPr>
              <w:t>House Committee on Redistricting adopted the Guidelines—the Senate Committee on Redistricting did not</w:t>
            </w:r>
            <w:r w:rsidR="00F865CC">
              <w:rPr>
                <w:rFonts w:ascii="Arial" w:hAnsi="Arial" w:cs="Arial"/>
                <w:sz w:val="20"/>
                <w:szCs w:val="20"/>
              </w:rPr>
              <w:t>; a</w:t>
            </w:r>
            <w:r w:rsidR="00F865CC" w:rsidRPr="00F865CC">
              <w:rPr>
                <w:rFonts w:ascii="Arial" w:hAnsi="Arial" w:cs="Arial"/>
                <w:sz w:val="20"/>
                <w:szCs w:val="20"/>
              </w:rPr>
              <w:t>nd, neither the House nor the Senate as a whole adopted the Guidelines.</w:t>
            </w:r>
          </w:p>
          <w:p w14:paraId="0842C133" w14:textId="02CD1B93" w:rsidR="00903B65" w:rsidRDefault="00B354E9" w:rsidP="00903B65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On 1/20/2022, </w:t>
            </w:r>
            <w:r w:rsidR="00686FE9">
              <w:rPr>
                <w:rFonts w:ascii="Arial" w:hAnsi="Arial" w:cs="Arial"/>
                <w:sz w:val="20"/>
                <w:szCs w:val="20"/>
              </w:rPr>
              <w:t>SB</w:t>
            </w:r>
            <w:r w:rsidRPr="00B354E9">
              <w:rPr>
                <w:rFonts w:ascii="Arial" w:hAnsi="Arial" w:cs="Arial"/>
                <w:sz w:val="20"/>
                <w:szCs w:val="20"/>
              </w:rPr>
              <w:t xml:space="preserve"> 355 was introduced in the Senate, and referred to the Committee on Redistricting.</w:t>
            </w:r>
          </w:p>
          <w:p w14:paraId="5697F811" w14:textId="6B179BD1" w:rsidR="006B198A" w:rsidRDefault="00B354E9" w:rsidP="00583AE3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B354E9">
              <w:rPr>
                <w:rFonts w:ascii="Arial" w:hAnsi="Arial" w:cs="Arial"/>
                <w:sz w:val="20"/>
                <w:szCs w:val="20"/>
              </w:rPr>
              <w:t xml:space="preserve">On </w:t>
            </w:r>
            <w:r w:rsidR="00414906">
              <w:rPr>
                <w:rFonts w:ascii="Arial" w:hAnsi="Arial" w:cs="Arial"/>
                <w:sz w:val="20"/>
                <w:szCs w:val="20"/>
              </w:rPr>
              <w:t>1/</w:t>
            </w:r>
            <w:r w:rsidRPr="00B354E9">
              <w:rPr>
                <w:rFonts w:ascii="Arial" w:hAnsi="Arial" w:cs="Arial"/>
                <w:sz w:val="20"/>
                <w:szCs w:val="20"/>
              </w:rPr>
              <w:t>21</w:t>
            </w:r>
            <w:r w:rsidR="00BE28C8">
              <w:rPr>
                <w:rFonts w:ascii="Arial" w:hAnsi="Arial" w:cs="Arial"/>
                <w:sz w:val="20"/>
                <w:szCs w:val="20"/>
              </w:rPr>
              <w:t>/2022</w:t>
            </w:r>
            <w:r w:rsidRPr="00B354E9">
              <w:rPr>
                <w:rFonts w:ascii="Arial" w:hAnsi="Arial" w:cs="Arial"/>
                <w:sz w:val="20"/>
                <w:szCs w:val="20"/>
              </w:rPr>
              <w:t>,</w:t>
            </w:r>
            <w:r w:rsidR="00926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26704">
              <w:rPr>
                <w:rFonts w:ascii="Arial" w:hAnsi="Arial" w:cs="Arial"/>
                <w:sz w:val="20"/>
                <w:szCs w:val="20"/>
              </w:rPr>
              <w:t>several proposed amendments to the plan introduced on the Senate floor were rejected, and the</w:t>
            </w:r>
            <w:r w:rsidR="00583AE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83AE3">
              <w:rPr>
                <w:rFonts w:ascii="Arial" w:hAnsi="Arial" w:cs="Arial"/>
                <w:sz w:val="20"/>
                <w:szCs w:val="20"/>
              </w:rPr>
              <w:t xml:space="preserve">Senate passed SB 355 on by a vote of 26 to 9. </w:t>
            </w:r>
          </w:p>
          <w:p w14:paraId="22E79CB5" w14:textId="7995B111" w:rsidR="00A33A59" w:rsidRDefault="00B354E9" w:rsidP="006B198A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583AE3">
              <w:rPr>
                <w:rFonts w:ascii="Arial" w:hAnsi="Arial" w:cs="Arial"/>
                <w:sz w:val="20"/>
                <w:szCs w:val="20"/>
              </w:rPr>
              <w:t>The bill was sent to the House on</w:t>
            </w:r>
            <w:r w:rsidR="006B198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B198A" w:rsidRPr="006B198A">
              <w:rPr>
                <w:rFonts w:ascii="Arial" w:hAnsi="Arial" w:cs="Arial"/>
                <w:sz w:val="20"/>
                <w:szCs w:val="20"/>
              </w:rPr>
              <w:t>1/</w:t>
            </w:r>
            <w:r w:rsidRPr="006B198A">
              <w:rPr>
                <w:rFonts w:ascii="Arial" w:hAnsi="Arial" w:cs="Arial"/>
                <w:sz w:val="20"/>
                <w:szCs w:val="20"/>
              </w:rPr>
              <w:t>24</w:t>
            </w:r>
            <w:r w:rsidR="0082097F">
              <w:rPr>
                <w:rFonts w:ascii="Arial" w:hAnsi="Arial" w:cs="Arial"/>
                <w:sz w:val="20"/>
                <w:szCs w:val="20"/>
              </w:rPr>
              <w:t>/2022</w:t>
            </w:r>
            <w:r w:rsidRPr="006B198A">
              <w:rPr>
                <w:rFonts w:ascii="Arial" w:hAnsi="Arial" w:cs="Arial"/>
                <w:sz w:val="20"/>
                <w:szCs w:val="20"/>
              </w:rPr>
              <w:t xml:space="preserve">, passed the House Redistricting Committee, and reached the House floor on </w:t>
            </w:r>
            <w:r w:rsidR="00895E30">
              <w:rPr>
                <w:rFonts w:ascii="Arial" w:hAnsi="Arial" w:cs="Arial"/>
                <w:sz w:val="20"/>
                <w:szCs w:val="20"/>
              </w:rPr>
              <w:t>1/</w:t>
            </w:r>
            <w:r w:rsidRPr="006B198A">
              <w:rPr>
                <w:rFonts w:ascii="Arial" w:hAnsi="Arial" w:cs="Arial"/>
                <w:sz w:val="20"/>
                <w:szCs w:val="20"/>
              </w:rPr>
              <w:t>25</w:t>
            </w:r>
            <w:r w:rsidR="007F4C02">
              <w:rPr>
                <w:rFonts w:ascii="Arial" w:hAnsi="Arial" w:cs="Arial"/>
                <w:sz w:val="20"/>
                <w:szCs w:val="20"/>
              </w:rPr>
              <w:t>/2022</w:t>
            </w:r>
            <w:r w:rsidRPr="006B198A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14:paraId="58E59143" w14:textId="070B4725" w:rsidR="00B354E9" w:rsidRPr="00A33A59" w:rsidRDefault="00B354E9" w:rsidP="00A33A59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6B198A">
              <w:rPr>
                <w:rFonts w:ascii="Arial" w:hAnsi="Arial" w:cs="Arial"/>
                <w:sz w:val="20"/>
                <w:szCs w:val="20"/>
              </w:rPr>
              <w:t>After several</w:t>
            </w:r>
            <w:r w:rsidR="00A33A5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33A59">
              <w:rPr>
                <w:rFonts w:ascii="Arial" w:hAnsi="Arial" w:cs="Arial"/>
                <w:sz w:val="20"/>
                <w:szCs w:val="20"/>
              </w:rPr>
              <w:t>motions to amend were rejected, the House passed the bill by a vote of 79 to 37.</w:t>
            </w:r>
          </w:p>
          <w:p w14:paraId="0A13697C" w14:textId="3E22B588" w:rsidR="00256F8A" w:rsidRDefault="00B354E9" w:rsidP="00CC3FDC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B354E9">
              <w:rPr>
                <w:rFonts w:ascii="Arial" w:hAnsi="Arial" w:cs="Arial"/>
                <w:sz w:val="20"/>
                <w:szCs w:val="20"/>
              </w:rPr>
              <w:t xml:space="preserve">SB 355 was then enrolled and presented to Governor Kelly on </w:t>
            </w:r>
            <w:r w:rsidR="004D31B0">
              <w:rPr>
                <w:rFonts w:ascii="Arial" w:hAnsi="Arial" w:cs="Arial"/>
                <w:sz w:val="20"/>
                <w:szCs w:val="20"/>
              </w:rPr>
              <w:t>1/</w:t>
            </w:r>
            <w:r w:rsidRPr="00B354E9">
              <w:rPr>
                <w:rFonts w:ascii="Arial" w:hAnsi="Arial" w:cs="Arial"/>
                <w:sz w:val="20"/>
                <w:szCs w:val="20"/>
              </w:rPr>
              <w:t>27</w:t>
            </w:r>
            <w:r w:rsidR="00174F04">
              <w:rPr>
                <w:rFonts w:ascii="Arial" w:hAnsi="Arial" w:cs="Arial"/>
                <w:sz w:val="20"/>
                <w:szCs w:val="20"/>
              </w:rPr>
              <w:t>/2022</w:t>
            </w:r>
            <w:r w:rsidRPr="00B354E9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14:paraId="4454273C" w14:textId="2BC0D6DC" w:rsidR="00324073" w:rsidRDefault="00B354E9" w:rsidP="00BD2987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B354E9">
              <w:rPr>
                <w:rFonts w:ascii="Arial" w:hAnsi="Arial" w:cs="Arial"/>
                <w:sz w:val="20"/>
                <w:szCs w:val="20"/>
              </w:rPr>
              <w:t>Governor Kelly vetoed the</w:t>
            </w:r>
            <w:r w:rsidR="00BD298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D2987">
              <w:rPr>
                <w:rFonts w:ascii="Arial" w:hAnsi="Arial" w:cs="Arial"/>
                <w:sz w:val="20"/>
                <w:szCs w:val="20"/>
              </w:rPr>
              <w:t xml:space="preserve">bill on </w:t>
            </w:r>
            <w:r w:rsidR="00BD2987">
              <w:rPr>
                <w:rFonts w:ascii="Arial" w:hAnsi="Arial" w:cs="Arial"/>
                <w:sz w:val="20"/>
                <w:szCs w:val="20"/>
              </w:rPr>
              <w:t>2/</w:t>
            </w:r>
            <w:r w:rsidRPr="00BD2987">
              <w:rPr>
                <w:rFonts w:ascii="Arial" w:hAnsi="Arial" w:cs="Arial"/>
                <w:sz w:val="20"/>
                <w:szCs w:val="20"/>
              </w:rPr>
              <w:t>4</w:t>
            </w:r>
            <w:r w:rsidR="00834F2C">
              <w:rPr>
                <w:rFonts w:ascii="Arial" w:hAnsi="Arial" w:cs="Arial"/>
                <w:sz w:val="20"/>
                <w:szCs w:val="20"/>
              </w:rPr>
              <w:t>/2022,</w:t>
            </w:r>
            <w:r w:rsidR="00324073">
              <w:rPr>
                <w:rFonts w:ascii="Arial" w:hAnsi="Arial" w:cs="Arial"/>
                <w:sz w:val="20"/>
                <w:szCs w:val="20"/>
              </w:rPr>
              <w:t xml:space="preserve"> and, i</w:t>
            </w:r>
            <w:r w:rsidRPr="00BD2987">
              <w:rPr>
                <w:rFonts w:ascii="Arial" w:hAnsi="Arial" w:cs="Arial"/>
                <w:sz w:val="20"/>
                <w:szCs w:val="20"/>
              </w:rPr>
              <w:t>nitially, the motion to override the veto failed, and the veto was sustained.</w:t>
            </w:r>
          </w:p>
          <w:p w14:paraId="58269299" w14:textId="77777777" w:rsidR="00CC527E" w:rsidRDefault="00324073" w:rsidP="00324073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However,</w:t>
            </w:r>
            <w:r w:rsidR="00B354E9" w:rsidRPr="00BD2987">
              <w:rPr>
                <w:rFonts w:ascii="Arial" w:hAnsi="Arial" w:cs="Arial"/>
                <w:sz w:val="20"/>
                <w:szCs w:val="20"/>
              </w:rPr>
              <w:t xml:space="preserve"> upon a motion to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354E9" w:rsidRPr="00324073">
              <w:rPr>
                <w:rFonts w:ascii="Arial" w:hAnsi="Arial" w:cs="Arial"/>
                <w:sz w:val="20"/>
                <w:szCs w:val="20"/>
              </w:rPr>
              <w:t xml:space="preserve">reconsider, the Senate voted to override the veto 27 to 11, and the House 85 to 37. </w:t>
            </w:r>
          </w:p>
          <w:p w14:paraId="681CE66A" w14:textId="771B2393" w:rsidR="00B354E9" w:rsidRPr="00CC527E" w:rsidRDefault="00FB1865" w:rsidP="00CC527E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Subsequently</w:t>
            </w:r>
            <w:r w:rsidR="009E69ED">
              <w:rPr>
                <w:rFonts w:ascii="Arial" w:hAnsi="Arial" w:cs="Arial"/>
                <w:sz w:val="20"/>
                <w:szCs w:val="20"/>
              </w:rPr>
              <w:t>,</w:t>
            </w:r>
            <w:r w:rsidR="00B354E9" w:rsidRPr="00324073">
              <w:rPr>
                <w:rFonts w:ascii="Arial" w:hAnsi="Arial" w:cs="Arial"/>
                <w:sz w:val="20"/>
                <w:szCs w:val="20"/>
              </w:rPr>
              <w:t xml:space="preserve"> SB 355 took effect upon</w:t>
            </w:r>
            <w:r w:rsidR="00CC527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354E9" w:rsidRPr="00CC527E">
              <w:rPr>
                <w:rFonts w:ascii="Arial" w:hAnsi="Arial" w:cs="Arial"/>
                <w:sz w:val="20"/>
                <w:szCs w:val="20"/>
              </w:rPr>
              <w:t xml:space="preserve">publication in the Kansas Register on </w:t>
            </w:r>
            <w:r w:rsidR="00D561DC">
              <w:rPr>
                <w:rFonts w:ascii="Arial" w:hAnsi="Arial" w:cs="Arial"/>
                <w:sz w:val="20"/>
                <w:szCs w:val="20"/>
              </w:rPr>
              <w:t>2/10/</w:t>
            </w:r>
            <w:r w:rsidR="00B354E9" w:rsidRPr="00CC527E">
              <w:rPr>
                <w:rFonts w:ascii="Arial" w:hAnsi="Arial" w:cs="Arial"/>
                <w:sz w:val="20"/>
                <w:szCs w:val="20"/>
              </w:rPr>
              <w:t>2022.</w:t>
            </w:r>
          </w:p>
          <w:p w14:paraId="6A639D96" w14:textId="61B41093" w:rsidR="00903B65" w:rsidRPr="00F865CC" w:rsidRDefault="00903B65" w:rsidP="00903B65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671F" w:rsidRPr="008D467C" w14:paraId="165E79B3" w14:textId="77777777" w:rsidTr="009A6F30">
        <w:trPr>
          <w:trHeight w:val="891"/>
        </w:trPr>
        <w:tc>
          <w:tcPr>
            <w:tcW w:w="1998" w:type="dxa"/>
            <w:tcBorders>
              <w:left w:val="nil"/>
            </w:tcBorders>
          </w:tcPr>
          <w:p w14:paraId="6D71E16F" w14:textId="77777777" w:rsidR="00ED671F" w:rsidRPr="008D467C" w:rsidRDefault="00ED671F" w:rsidP="00ED671F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D467C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 xml:space="preserve">Issue(s) or </w:t>
            </w:r>
          </w:p>
          <w:p w14:paraId="44E250EA" w14:textId="77777777" w:rsidR="00ED671F" w:rsidRPr="008D467C" w:rsidRDefault="00ED671F" w:rsidP="00ED671F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D467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Question(s) </w:t>
            </w:r>
          </w:p>
          <w:p w14:paraId="394708EF" w14:textId="77777777" w:rsidR="00ED671F" w:rsidRPr="008D467C" w:rsidRDefault="00ED671F" w:rsidP="00ED671F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D467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Presented </w:t>
            </w:r>
          </w:p>
        </w:tc>
        <w:tc>
          <w:tcPr>
            <w:tcW w:w="7470" w:type="dxa"/>
            <w:tcBorders>
              <w:right w:val="nil"/>
            </w:tcBorders>
          </w:tcPr>
          <w:p w14:paraId="38A3FC90" w14:textId="7C429673" w:rsidR="0089084A" w:rsidRPr="00861E4A" w:rsidRDefault="0089084A" w:rsidP="00861E4A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89084A">
              <w:rPr>
                <w:rFonts w:ascii="Arial" w:hAnsi="Arial" w:cs="Arial"/>
                <w:sz w:val="20"/>
                <w:szCs w:val="20"/>
              </w:rPr>
              <w:t>(</w:t>
            </w:r>
            <w:r w:rsidR="00861E4A">
              <w:rPr>
                <w:rFonts w:ascii="Arial" w:hAnsi="Arial" w:cs="Arial"/>
                <w:sz w:val="20"/>
                <w:szCs w:val="20"/>
              </w:rPr>
              <w:t>1)</w:t>
            </w:r>
            <w:r w:rsidRPr="0089084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61E4A">
              <w:rPr>
                <w:rFonts w:ascii="Arial" w:hAnsi="Arial" w:cs="Arial"/>
                <w:sz w:val="20"/>
                <w:szCs w:val="20"/>
              </w:rPr>
              <w:t>W</w:t>
            </w:r>
            <w:r w:rsidRPr="00861E4A">
              <w:rPr>
                <w:rFonts w:ascii="Arial" w:hAnsi="Arial" w:cs="Arial"/>
                <w:sz w:val="20"/>
                <w:szCs w:val="20"/>
              </w:rPr>
              <w:t>hether claims of partisan</w:t>
            </w:r>
            <w:r w:rsidRPr="00861E4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61E4A">
              <w:rPr>
                <w:rFonts w:ascii="Arial" w:hAnsi="Arial" w:cs="Arial"/>
                <w:sz w:val="20"/>
                <w:szCs w:val="20"/>
              </w:rPr>
              <w:t xml:space="preserve">gerrymandering are justiciable; and </w:t>
            </w:r>
          </w:p>
          <w:p w14:paraId="20877DE9" w14:textId="463D770F" w:rsidR="00ED671F" w:rsidRDefault="0089084A" w:rsidP="0089084A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89084A">
              <w:rPr>
                <w:rFonts w:ascii="Arial" w:hAnsi="Arial" w:cs="Arial"/>
                <w:sz w:val="20"/>
                <w:szCs w:val="20"/>
              </w:rPr>
              <w:t>(</w:t>
            </w:r>
            <w:r w:rsidR="00861E4A">
              <w:rPr>
                <w:rFonts w:ascii="Arial" w:hAnsi="Arial" w:cs="Arial"/>
                <w:sz w:val="20"/>
                <w:szCs w:val="20"/>
              </w:rPr>
              <w:t>2</w:t>
            </w:r>
            <w:r w:rsidRPr="0089084A">
              <w:rPr>
                <w:rFonts w:ascii="Arial" w:hAnsi="Arial" w:cs="Arial"/>
                <w:sz w:val="20"/>
                <w:szCs w:val="20"/>
              </w:rPr>
              <w:t xml:space="preserve">) </w:t>
            </w:r>
            <w:r>
              <w:rPr>
                <w:rFonts w:ascii="Arial" w:hAnsi="Arial" w:cs="Arial"/>
                <w:sz w:val="20"/>
                <w:szCs w:val="20"/>
              </w:rPr>
              <w:t>W</w:t>
            </w:r>
            <w:r w:rsidRPr="0089084A">
              <w:rPr>
                <w:rFonts w:ascii="Arial" w:hAnsi="Arial" w:cs="Arial"/>
                <w:sz w:val="20"/>
                <w:szCs w:val="20"/>
              </w:rPr>
              <w:t>hether Ad Astra 2 discriminates against minority voters.</w:t>
            </w:r>
            <w:r w:rsidR="008B2553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752E9030" w14:textId="061CF8F5" w:rsidR="0089084A" w:rsidRPr="0089084A" w:rsidRDefault="0089084A" w:rsidP="0089084A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671F" w:rsidRPr="008D467C" w14:paraId="36271834" w14:textId="77777777" w:rsidTr="00A10326">
        <w:trPr>
          <w:trHeight w:val="2070"/>
        </w:trPr>
        <w:tc>
          <w:tcPr>
            <w:tcW w:w="1998" w:type="dxa"/>
            <w:tcBorders>
              <w:left w:val="nil"/>
            </w:tcBorders>
          </w:tcPr>
          <w:p w14:paraId="416F9009" w14:textId="77777777" w:rsidR="00ED671F" w:rsidRPr="008D467C" w:rsidRDefault="00ED671F" w:rsidP="00ED671F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D467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The Rule(s) </w:t>
            </w:r>
          </w:p>
        </w:tc>
        <w:tc>
          <w:tcPr>
            <w:tcW w:w="7470" w:type="dxa"/>
            <w:tcBorders>
              <w:right w:val="nil"/>
            </w:tcBorders>
          </w:tcPr>
          <w:p w14:paraId="315A93A2" w14:textId="3FB5C6F9" w:rsidR="00ED671F" w:rsidRDefault="006A6220" w:rsidP="00ED671F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D35FA4">
              <w:rPr>
                <w:rFonts w:ascii="Arial" w:hAnsi="Arial" w:cs="Arial"/>
                <w:smallCaps/>
                <w:sz w:val="20"/>
                <w:szCs w:val="20"/>
              </w:rPr>
              <w:t>Kan. Const.</w:t>
            </w:r>
            <w:r w:rsidRPr="006A6220">
              <w:rPr>
                <w:rFonts w:ascii="Arial" w:hAnsi="Arial" w:cs="Arial"/>
                <w:sz w:val="20"/>
                <w:szCs w:val="20"/>
              </w:rPr>
              <w:t xml:space="preserve"> Bill of Rights, §</w:t>
            </w:r>
            <w:r w:rsidR="0066556F">
              <w:rPr>
                <w:rFonts w:ascii="Arial" w:hAnsi="Arial" w:cs="Arial"/>
                <w:sz w:val="20"/>
                <w:szCs w:val="20"/>
              </w:rPr>
              <w:t xml:space="preserve"> 2.</w:t>
            </w:r>
          </w:p>
          <w:p w14:paraId="1AC07030" w14:textId="15B186C1" w:rsidR="00640AAB" w:rsidRDefault="0066556F" w:rsidP="0066556F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66556F">
              <w:rPr>
                <w:rFonts w:ascii="Arial" w:hAnsi="Arial" w:cs="Arial"/>
                <w:sz w:val="20"/>
                <w:szCs w:val="20"/>
              </w:rPr>
              <w:t>"All political power is inherent in the people, and all free governments are founded on their authority, and are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6556F">
              <w:rPr>
                <w:rFonts w:ascii="Arial" w:hAnsi="Arial" w:cs="Arial"/>
                <w:sz w:val="20"/>
                <w:szCs w:val="20"/>
              </w:rPr>
              <w:t xml:space="preserve">instituted for their equal protection and benefit. </w:t>
            </w:r>
            <w:r w:rsidR="0003187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6556F">
              <w:rPr>
                <w:rFonts w:ascii="Arial" w:hAnsi="Arial" w:cs="Arial"/>
                <w:sz w:val="20"/>
                <w:szCs w:val="20"/>
              </w:rPr>
              <w:t>No special privileges or immunities shall ever be granted by the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6556F">
              <w:rPr>
                <w:rFonts w:ascii="Arial" w:hAnsi="Arial" w:cs="Arial"/>
                <w:sz w:val="20"/>
                <w:szCs w:val="20"/>
              </w:rPr>
              <w:t>legislature, which may not be altered, revoked or repealed by the same body; and this power shall be exercised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6556F">
              <w:rPr>
                <w:rFonts w:ascii="Arial" w:hAnsi="Arial" w:cs="Arial"/>
                <w:sz w:val="20"/>
                <w:szCs w:val="20"/>
              </w:rPr>
              <w:t>by no other tribunal or agency."</w:t>
            </w:r>
          </w:p>
          <w:p w14:paraId="1DC4F06C" w14:textId="77777777" w:rsidR="00B46465" w:rsidRDefault="00CB1DF5" w:rsidP="00B46465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Political Question Doctrine</w:t>
            </w:r>
          </w:p>
          <w:p w14:paraId="2572BEE2" w14:textId="33E663D5" w:rsidR="00CB1DF5" w:rsidRDefault="00CB1DF5" w:rsidP="00CB1DF5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Pr="00CB1DF5">
              <w:rPr>
                <w:rFonts w:ascii="Arial" w:hAnsi="Arial" w:cs="Arial"/>
                <w:sz w:val="20"/>
                <w:szCs w:val="20"/>
              </w:rPr>
              <w:t>he "political question doctrine excludes from judicial review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B1DF5">
              <w:rPr>
                <w:rFonts w:ascii="Arial" w:hAnsi="Arial" w:cs="Arial"/>
                <w:sz w:val="20"/>
                <w:szCs w:val="20"/>
              </w:rPr>
              <w:t xml:space="preserve">those controversies which revolve around policy </w:t>
            </w:r>
            <w:r>
              <w:rPr>
                <w:rFonts w:ascii="Arial" w:hAnsi="Arial" w:cs="Arial"/>
                <w:sz w:val="20"/>
                <w:szCs w:val="20"/>
              </w:rPr>
              <w:t>choices</w:t>
            </w:r>
            <w:r w:rsidRPr="00CB1DF5">
              <w:rPr>
                <w:rFonts w:ascii="Arial" w:hAnsi="Arial" w:cs="Arial"/>
                <w:sz w:val="20"/>
                <w:szCs w:val="20"/>
              </w:rPr>
              <w:t xml:space="preserve"> and value determinations" that are inextricable from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B1DF5">
              <w:rPr>
                <w:rFonts w:ascii="Arial" w:hAnsi="Arial" w:cs="Arial"/>
                <w:sz w:val="20"/>
                <w:szCs w:val="20"/>
              </w:rPr>
              <w:t xml:space="preserve">the exercise of political discretion vested in the political branches of government. </w:t>
            </w:r>
            <w:r w:rsidR="00EA03C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B1DF5">
              <w:rPr>
                <w:rFonts w:ascii="Arial" w:hAnsi="Arial" w:cs="Arial"/>
                <w:sz w:val="20"/>
                <w:szCs w:val="20"/>
              </w:rPr>
              <w:t>16 C.J.S. Constitutional Law §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B1DF5">
              <w:rPr>
                <w:rFonts w:ascii="Arial" w:hAnsi="Arial" w:cs="Arial"/>
                <w:sz w:val="20"/>
                <w:szCs w:val="20"/>
              </w:rPr>
              <w:t>392.</w:t>
            </w:r>
          </w:p>
          <w:p w14:paraId="0AF7618D" w14:textId="4A49CDCE" w:rsidR="00D83EE8" w:rsidRPr="00B113BE" w:rsidRDefault="001B51A9" w:rsidP="00B113BE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="00021A1C">
              <w:rPr>
                <w:rFonts w:ascii="Arial" w:hAnsi="Arial" w:cs="Arial"/>
                <w:sz w:val="20"/>
                <w:szCs w:val="20"/>
              </w:rPr>
              <w:t xml:space="preserve">Court must determine whether there exists </w:t>
            </w:r>
            <w:r w:rsidR="00021A1C" w:rsidRPr="00021A1C">
              <w:rPr>
                <w:rFonts w:ascii="Arial" w:hAnsi="Arial" w:cs="Arial"/>
                <w:sz w:val="20"/>
                <w:szCs w:val="20"/>
              </w:rPr>
              <w:t>clear, neutral, and "judicially discoverable and manageable standards</w:t>
            </w:r>
            <w:r w:rsidR="00162E20">
              <w:rPr>
                <w:rFonts w:ascii="Arial" w:hAnsi="Arial" w:cs="Arial"/>
                <w:sz w:val="20"/>
                <w:szCs w:val="20"/>
              </w:rPr>
              <w:t>.”</w:t>
            </w:r>
          </w:p>
          <w:p w14:paraId="6FF57219" w14:textId="4851F380" w:rsidR="00D83EE8" w:rsidRPr="00CB1DF5" w:rsidRDefault="00D83EE8" w:rsidP="00D83EE8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671F" w:rsidRPr="008D467C" w14:paraId="6EAC0DAF" w14:textId="77777777" w:rsidTr="000011E4">
        <w:trPr>
          <w:trHeight w:val="450"/>
        </w:trPr>
        <w:tc>
          <w:tcPr>
            <w:tcW w:w="1998" w:type="dxa"/>
            <w:tcBorders>
              <w:left w:val="nil"/>
            </w:tcBorders>
          </w:tcPr>
          <w:p w14:paraId="14D844C1" w14:textId="77777777" w:rsidR="00ED671F" w:rsidRPr="008D467C" w:rsidRDefault="00ED671F" w:rsidP="00ED671F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D467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Holding(s) </w:t>
            </w:r>
          </w:p>
        </w:tc>
        <w:tc>
          <w:tcPr>
            <w:tcW w:w="7470" w:type="dxa"/>
            <w:tcBorders>
              <w:right w:val="nil"/>
            </w:tcBorders>
          </w:tcPr>
          <w:p w14:paraId="588008EC" w14:textId="05F085F1" w:rsidR="00ED671F" w:rsidRDefault="009B6A6C" w:rsidP="008D6C9D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(1) </w:t>
            </w:r>
            <w:r w:rsidR="007F73F2">
              <w:rPr>
                <w:rFonts w:ascii="Arial" w:hAnsi="Arial" w:cs="Arial"/>
                <w:sz w:val="20"/>
                <w:szCs w:val="20"/>
              </w:rPr>
              <w:t>Court held “</w:t>
            </w:r>
            <w:r w:rsidR="007F73F2" w:rsidRPr="007F73F2">
              <w:rPr>
                <w:rFonts w:ascii="Arial" w:hAnsi="Arial" w:cs="Arial"/>
                <w:sz w:val="20"/>
                <w:szCs w:val="20"/>
              </w:rPr>
              <w:t>that until such a time as the Legislature or the people of Kansas choose</w:t>
            </w:r>
            <w:r w:rsidR="007F73F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F73F2" w:rsidRPr="007F73F2">
              <w:rPr>
                <w:rFonts w:ascii="Arial" w:hAnsi="Arial" w:cs="Arial"/>
                <w:sz w:val="20"/>
                <w:szCs w:val="20"/>
              </w:rPr>
              <w:t>to follow other states down the road of limiting partisanship in the legislative process of drawing district lines, neither</w:t>
            </w:r>
            <w:r w:rsidR="007F73F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F73F2" w:rsidRPr="007F73F2">
              <w:rPr>
                <w:rFonts w:ascii="Arial" w:hAnsi="Arial" w:cs="Arial"/>
                <w:sz w:val="20"/>
                <w:szCs w:val="20"/>
              </w:rPr>
              <w:t>the Kansas Constitution, state statutes, nor our existing body of caselaw supply judicially discoverable and</w:t>
            </w:r>
            <w:r w:rsidR="008D6C9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F73F2" w:rsidRPr="008D6C9D">
              <w:rPr>
                <w:rFonts w:ascii="Arial" w:hAnsi="Arial" w:cs="Arial"/>
                <w:sz w:val="20"/>
                <w:szCs w:val="20"/>
              </w:rPr>
              <w:t xml:space="preserve">manageable standards </w:t>
            </w:r>
            <w:r w:rsidR="008D6C9D">
              <w:rPr>
                <w:rFonts w:ascii="Arial" w:hAnsi="Arial" w:cs="Arial"/>
                <w:sz w:val="20"/>
                <w:szCs w:val="20"/>
              </w:rPr>
              <w:t>‘</w:t>
            </w:r>
            <w:r w:rsidR="007F73F2" w:rsidRPr="008D6C9D">
              <w:rPr>
                <w:rFonts w:ascii="Arial" w:hAnsi="Arial" w:cs="Arial"/>
                <w:sz w:val="20"/>
                <w:szCs w:val="20"/>
              </w:rPr>
              <w:t>for making such judgments, let alone limited and precise standards that are clear</w:t>
            </w:r>
            <w:r w:rsidR="008D6C9D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7F73F2" w:rsidRPr="008D6C9D">
              <w:rPr>
                <w:rFonts w:ascii="Arial" w:hAnsi="Arial" w:cs="Arial"/>
                <w:sz w:val="20"/>
                <w:szCs w:val="20"/>
              </w:rPr>
              <w:t>manageable, and politically neutral</w:t>
            </w:r>
            <w:r w:rsidR="008D6C9D">
              <w:rPr>
                <w:rFonts w:ascii="Arial" w:hAnsi="Arial" w:cs="Arial"/>
                <w:sz w:val="20"/>
                <w:szCs w:val="20"/>
              </w:rPr>
              <w:t>[,]” and therefore</w:t>
            </w:r>
            <w:r w:rsidR="0079324F">
              <w:rPr>
                <w:rFonts w:ascii="Arial" w:hAnsi="Arial" w:cs="Arial"/>
                <w:sz w:val="20"/>
                <w:szCs w:val="20"/>
              </w:rPr>
              <w:t xml:space="preserve"> the question presented </w:t>
            </w:r>
            <w:r w:rsidR="00887DFA">
              <w:rPr>
                <w:rFonts w:ascii="Arial" w:hAnsi="Arial" w:cs="Arial"/>
                <w:sz w:val="20"/>
                <w:szCs w:val="20"/>
              </w:rPr>
              <w:t>was</w:t>
            </w:r>
            <w:r w:rsidR="008D6C9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D6C9D" w:rsidRPr="008D6C9D">
              <w:rPr>
                <w:rFonts w:ascii="Arial" w:hAnsi="Arial" w:cs="Arial"/>
                <w:sz w:val="20"/>
                <w:szCs w:val="20"/>
              </w:rPr>
              <w:t>nonjusticiable as a political question</w:t>
            </w:r>
            <w:r w:rsidR="007D6285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7D26CFD" w14:textId="28AA7071" w:rsidR="001D6910" w:rsidRPr="008D6C9D" w:rsidRDefault="001D6910" w:rsidP="008D6C9D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(2) </w:t>
            </w:r>
            <w:r w:rsidR="00A04E56">
              <w:rPr>
                <w:rFonts w:ascii="Arial" w:hAnsi="Arial" w:cs="Arial"/>
                <w:sz w:val="20"/>
                <w:szCs w:val="20"/>
              </w:rPr>
              <w:t xml:space="preserve">Court held </w:t>
            </w:r>
            <w:r w:rsidR="00A04E56" w:rsidRPr="00724773">
              <w:rPr>
                <w:rFonts w:ascii="Arial" w:hAnsi="Arial" w:cs="Arial"/>
                <w:sz w:val="20"/>
                <w:szCs w:val="20"/>
              </w:rPr>
              <w:t>that</w:t>
            </w:r>
            <w:r w:rsidR="006535B1">
              <w:t xml:space="preserve"> p</w:t>
            </w:r>
            <w:r w:rsidR="006535B1" w:rsidRPr="006535B1">
              <w:rPr>
                <w:rFonts w:ascii="Arial" w:hAnsi="Arial" w:cs="Arial"/>
                <w:sz w:val="20"/>
                <w:szCs w:val="20"/>
              </w:rPr>
              <w:t xml:space="preserve">laintiffs </w:t>
            </w:r>
            <w:r w:rsidR="00F60991">
              <w:rPr>
                <w:rFonts w:ascii="Arial" w:hAnsi="Arial" w:cs="Arial"/>
                <w:sz w:val="20"/>
                <w:szCs w:val="20"/>
              </w:rPr>
              <w:t>did</w:t>
            </w:r>
            <w:r w:rsidR="006535B1" w:rsidRPr="006535B1">
              <w:rPr>
                <w:rFonts w:ascii="Arial" w:hAnsi="Arial" w:cs="Arial"/>
                <w:sz w:val="20"/>
                <w:szCs w:val="20"/>
              </w:rPr>
              <w:t xml:space="preserve"> not establish the elements of their race-based claims</w:t>
            </w:r>
            <w:r w:rsidR="00A04E56" w:rsidRPr="0072477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60991">
              <w:rPr>
                <w:rFonts w:ascii="Arial" w:hAnsi="Arial" w:cs="Arial"/>
                <w:sz w:val="20"/>
                <w:szCs w:val="20"/>
              </w:rPr>
              <w:t xml:space="preserve">and therefore could not show that </w:t>
            </w:r>
            <w:r w:rsidR="00F60991" w:rsidRPr="0089084A">
              <w:rPr>
                <w:rFonts w:ascii="Arial" w:hAnsi="Arial" w:cs="Arial"/>
                <w:sz w:val="20"/>
                <w:szCs w:val="20"/>
              </w:rPr>
              <w:t>Ad Astra 2 discriminate</w:t>
            </w:r>
            <w:r w:rsidR="00F70F6D">
              <w:rPr>
                <w:rFonts w:ascii="Arial" w:hAnsi="Arial" w:cs="Arial"/>
                <w:sz w:val="20"/>
                <w:szCs w:val="20"/>
              </w:rPr>
              <w:t>d</w:t>
            </w:r>
            <w:r w:rsidR="00F60991" w:rsidRPr="0089084A">
              <w:rPr>
                <w:rFonts w:ascii="Arial" w:hAnsi="Arial" w:cs="Arial"/>
                <w:sz w:val="20"/>
                <w:szCs w:val="20"/>
              </w:rPr>
              <w:t xml:space="preserve"> against minority voters</w:t>
            </w:r>
            <w:r w:rsidR="00F60991">
              <w:rPr>
                <w:rFonts w:ascii="Arial" w:hAnsi="Arial" w:cs="Arial"/>
                <w:sz w:val="20"/>
                <w:szCs w:val="20"/>
              </w:rPr>
              <w:t>.</w:t>
            </w:r>
            <w:r w:rsidR="00F85205">
              <w:rPr>
                <w:rStyle w:val="FootnoteReference"/>
                <w:rFonts w:ascii="Arial" w:hAnsi="Arial" w:cs="Arial"/>
                <w:sz w:val="20"/>
                <w:szCs w:val="20"/>
              </w:rPr>
              <w:footnoteReference w:id="3"/>
            </w:r>
            <w:r w:rsidR="00F6099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ED671F" w:rsidRPr="008D467C" w14:paraId="5135565A" w14:textId="77777777" w:rsidTr="005A4170">
        <w:trPr>
          <w:trHeight w:val="1431"/>
        </w:trPr>
        <w:tc>
          <w:tcPr>
            <w:tcW w:w="1998" w:type="dxa"/>
            <w:tcBorders>
              <w:left w:val="nil"/>
            </w:tcBorders>
          </w:tcPr>
          <w:p w14:paraId="5995E25E" w14:textId="77777777" w:rsidR="00ED671F" w:rsidRDefault="00ED671F" w:rsidP="00ED671F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61A0A49" w14:textId="77777777" w:rsidR="00ED671F" w:rsidRPr="008D467C" w:rsidRDefault="00ED671F" w:rsidP="00ED671F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D467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Rationale </w:t>
            </w:r>
          </w:p>
        </w:tc>
        <w:tc>
          <w:tcPr>
            <w:tcW w:w="7470" w:type="dxa"/>
            <w:tcBorders>
              <w:right w:val="nil"/>
            </w:tcBorders>
          </w:tcPr>
          <w:p w14:paraId="10098011" w14:textId="77777777" w:rsidR="00ED671F" w:rsidRDefault="00ED671F" w:rsidP="00ED671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  <w:p w14:paraId="0DB313FB" w14:textId="1B3D07D7" w:rsidR="00ED671F" w:rsidRDefault="00847385" w:rsidP="00ED671F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Court found that it had jurisdiction to hear Plaintiffs’ claims</w:t>
            </w:r>
            <w:r w:rsidR="007B78F0">
              <w:rPr>
                <w:rFonts w:ascii="Arial" w:hAnsi="Arial" w:cs="Arial"/>
                <w:sz w:val="20"/>
                <w:szCs w:val="20"/>
              </w:rPr>
              <w:t>, rejecting AG’s independent state legislature theory.</w:t>
            </w:r>
          </w:p>
          <w:p w14:paraId="2EE4A563" w14:textId="7A4387CB" w:rsidR="00847385" w:rsidRDefault="00C434A3" w:rsidP="00C434A3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C434A3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="00536A9F">
              <w:rPr>
                <w:rFonts w:ascii="Arial" w:hAnsi="Arial" w:cs="Arial"/>
                <w:sz w:val="20"/>
                <w:szCs w:val="20"/>
              </w:rPr>
              <w:t>U.S.</w:t>
            </w:r>
            <w:r w:rsidRPr="00C434A3">
              <w:rPr>
                <w:rFonts w:ascii="Arial" w:hAnsi="Arial" w:cs="Arial"/>
                <w:sz w:val="20"/>
                <w:szCs w:val="20"/>
              </w:rPr>
              <w:t xml:space="preserve"> Supreme Court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434A3">
              <w:rPr>
                <w:rFonts w:ascii="Arial" w:hAnsi="Arial" w:cs="Arial"/>
                <w:sz w:val="20"/>
                <w:szCs w:val="20"/>
              </w:rPr>
              <w:t>has never embraced this view of the Elections Clause</w:t>
            </w:r>
            <w:r>
              <w:rPr>
                <w:rFonts w:ascii="Arial" w:hAnsi="Arial" w:cs="Arial"/>
                <w:sz w:val="20"/>
                <w:szCs w:val="20"/>
              </w:rPr>
              <w:t>, and</w:t>
            </w:r>
            <w:r w:rsidR="00351772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434A3">
              <w:rPr>
                <w:rFonts w:ascii="Arial" w:hAnsi="Arial" w:cs="Arial"/>
                <w:sz w:val="20"/>
                <w:szCs w:val="20"/>
              </w:rPr>
              <w:t>in recent years, the Supreme Court has continued to reject similar arguments.</w:t>
            </w:r>
          </w:p>
          <w:p w14:paraId="48E44385" w14:textId="74FEE3D8" w:rsidR="0009049E" w:rsidRDefault="00025532" w:rsidP="002C20F4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Court “</w:t>
            </w:r>
            <w:r w:rsidRPr="00025532">
              <w:rPr>
                <w:rFonts w:ascii="Arial" w:hAnsi="Arial" w:cs="Arial"/>
                <w:sz w:val="20"/>
                <w:szCs w:val="20"/>
              </w:rPr>
              <w:t>cannot accept the Attorney General's invitation to ground our rulings on speculation concerning the future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25532">
              <w:rPr>
                <w:rFonts w:ascii="Arial" w:hAnsi="Arial" w:cs="Arial"/>
                <w:sz w:val="20"/>
                <w:szCs w:val="20"/>
              </w:rPr>
              <w:t xml:space="preserve">direction of Supreme Court jurisprudence. </w:t>
            </w:r>
            <w:r w:rsidR="00C831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25532">
              <w:rPr>
                <w:rFonts w:ascii="Arial" w:hAnsi="Arial" w:cs="Arial"/>
                <w:sz w:val="20"/>
                <w:szCs w:val="20"/>
              </w:rPr>
              <w:t>Instead, we are bound to follow United States Supreme Court precedent</w:t>
            </w:r>
            <w:r w:rsidR="002C20F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C20F4">
              <w:rPr>
                <w:rFonts w:ascii="Arial" w:hAnsi="Arial" w:cs="Arial"/>
                <w:sz w:val="20"/>
                <w:szCs w:val="20"/>
              </w:rPr>
              <w:t>on questions of federal law.</w:t>
            </w:r>
            <w:r w:rsidR="002C20F4">
              <w:rPr>
                <w:rFonts w:ascii="Arial" w:hAnsi="Arial" w:cs="Arial"/>
                <w:sz w:val="20"/>
                <w:szCs w:val="20"/>
              </w:rPr>
              <w:t>”</w:t>
            </w:r>
          </w:p>
          <w:p w14:paraId="7177D538" w14:textId="1BE1D01B" w:rsidR="00077BBE" w:rsidRDefault="005860AA" w:rsidP="005860AA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5860AA">
              <w:rPr>
                <w:rFonts w:ascii="Arial" w:hAnsi="Arial" w:cs="Arial"/>
                <w:sz w:val="20"/>
                <w:szCs w:val="20"/>
              </w:rPr>
              <w:t>Any line drawing, even one that violates equal protection guarantees,</w:t>
            </w:r>
            <w:r w:rsidR="00760CFE">
              <w:rPr>
                <w:rStyle w:val="FootnoteReference"/>
                <w:rFonts w:ascii="Arial" w:hAnsi="Arial" w:cs="Arial"/>
                <w:sz w:val="20"/>
                <w:szCs w:val="20"/>
              </w:rPr>
              <w:footnoteReference w:id="4"/>
            </w:r>
            <w:r w:rsidRPr="005860AA">
              <w:rPr>
                <w:rFonts w:ascii="Arial" w:hAnsi="Arial" w:cs="Arial"/>
                <w:sz w:val="20"/>
                <w:szCs w:val="20"/>
              </w:rPr>
              <w:t xml:space="preserve"> does not infringe on a standalone right t</w:t>
            </w:r>
            <w:r>
              <w:rPr>
                <w:rFonts w:ascii="Arial" w:hAnsi="Arial" w:cs="Arial"/>
                <w:sz w:val="20"/>
                <w:szCs w:val="20"/>
              </w:rPr>
              <w:t xml:space="preserve">o </w:t>
            </w:r>
            <w:r w:rsidRPr="005860AA">
              <w:rPr>
                <w:rFonts w:ascii="Arial" w:hAnsi="Arial" w:cs="Arial"/>
                <w:sz w:val="20"/>
                <w:szCs w:val="20"/>
              </w:rPr>
              <w:t>vote, the right to free speech, or the right to peaceful assembly.</w:t>
            </w:r>
          </w:p>
          <w:p w14:paraId="33B53FED" w14:textId="547EB86D" w:rsidR="005860AA" w:rsidRDefault="00CD451E" w:rsidP="00CD451E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CD451E">
              <w:rPr>
                <w:rFonts w:ascii="Arial" w:hAnsi="Arial" w:cs="Arial"/>
                <w:sz w:val="20"/>
                <w:szCs w:val="20"/>
              </w:rPr>
              <w:t>"[T]here are no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D451E">
              <w:rPr>
                <w:rFonts w:ascii="Arial" w:hAnsi="Arial" w:cs="Arial"/>
                <w:sz w:val="20"/>
                <w:szCs w:val="20"/>
              </w:rPr>
              <w:t xml:space="preserve">restrictions on speech, association, or any other First Amendment activities in the districting plans at issue.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D451E">
              <w:rPr>
                <w:rFonts w:ascii="Arial" w:hAnsi="Arial" w:cs="Arial"/>
                <w:sz w:val="20"/>
                <w:szCs w:val="20"/>
              </w:rPr>
              <w:t>The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D451E">
              <w:rPr>
                <w:rFonts w:ascii="Arial" w:hAnsi="Arial" w:cs="Arial"/>
                <w:sz w:val="20"/>
                <w:szCs w:val="20"/>
              </w:rPr>
              <w:t>plaintiffs are free to engage in those activities no matter what the effect of a plan may be on their district."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Rucho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C760079" w14:textId="30B912C7" w:rsidR="00CD451E" w:rsidRDefault="00CD451E" w:rsidP="00CD451E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CD451E">
              <w:rPr>
                <w:rFonts w:ascii="Arial" w:hAnsi="Arial" w:cs="Arial"/>
                <w:sz w:val="20"/>
                <w:szCs w:val="20"/>
              </w:rPr>
              <w:t>"The fundamental right to vote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D451E">
              <w:rPr>
                <w:rFonts w:ascii="Arial" w:hAnsi="Arial" w:cs="Arial"/>
                <w:sz w:val="20"/>
                <w:szCs w:val="20"/>
              </w:rPr>
              <w:t xml:space="preserve">on equal terms simply means that each vote should have the same weight. . . .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D451E">
              <w:rPr>
                <w:rFonts w:ascii="Arial" w:hAnsi="Arial" w:cs="Arial"/>
                <w:sz w:val="20"/>
                <w:szCs w:val="20"/>
              </w:rPr>
              <w:t>[P]artisan gerrymandering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D451E">
              <w:rPr>
                <w:rFonts w:ascii="Arial" w:hAnsi="Arial" w:cs="Arial"/>
                <w:sz w:val="20"/>
                <w:szCs w:val="20"/>
              </w:rPr>
              <w:t>has no significant impact upon the right to vote on equal terms under the one-person, one-vote standard. . . .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CD451E">
              <w:rPr>
                <w:rFonts w:ascii="Arial" w:hAnsi="Arial" w:cs="Arial"/>
                <w:sz w:val="20"/>
                <w:szCs w:val="20"/>
              </w:rPr>
              <w:t>Partisan gerrymandering plainly does not place any restriction upon the espousal of a particular viewpoint."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D90BD4">
              <w:rPr>
                <w:rFonts w:ascii="Arial" w:hAnsi="Arial" w:cs="Arial"/>
                <w:i/>
                <w:iCs/>
                <w:sz w:val="20"/>
                <w:szCs w:val="20"/>
              </w:rPr>
              <w:t>Harper v. Hall</w:t>
            </w:r>
            <w:r>
              <w:rPr>
                <w:rFonts w:ascii="Arial" w:hAnsi="Arial" w:cs="Arial"/>
                <w:sz w:val="20"/>
                <w:szCs w:val="20"/>
              </w:rPr>
              <w:t xml:space="preserve"> (Newby, C.J., dissenting).</w:t>
            </w:r>
          </w:p>
          <w:p w14:paraId="4712286C" w14:textId="0728AB9D" w:rsidR="00061BC9" w:rsidRDefault="00D92528" w:rsidP="00D92528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Pr="00D92528">
              <w:rPr>
                <w:rFonts w:ascii="Arial" w:hAnsi="Arial" w:cs="Arial"/>
                <w:sz w:val="20"/>
                <w:szCs w:val="20"/>
              </w:rPr>
              <w:t>he Legislature is constitutionally permitted to consider partisanship when drawing district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92528">
              <w:rPr>
                <w:rFonts w:ascii="Arial" w:hAnsi="Arial" w:cs="Arial"/>
                <w:sz w:val="20"/>
                <w:szCs w:val="20"/>
              </w:rPr>
              <w:t>lines</w:t>
            </w:r>
            <w:r w:rsidR="00BD4C65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D92528">
              <w:rPr>
                <w:rFonts w:ascii="Arial" w:hAnsi="Arial" w:cs="Arial"/>
                <w:sz w:val="20"/>
                <w:szCs w:val="20"/>
              </w:rPr>
              <w:t>consistent with longstanding United States Supreme Court precedent.</w:t>
            </w:r>
          </w:p>
          <w:p w14:paraId="3E4C6859" w14:textId="3C567C8C" w:rsidR="00756326" w:rsidRDefault="001A027A" w:rsidP="001A027A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1A027A">
              <w:rPr>
                <w:rFonts w:ascii="Arial" w:hAnsi="Arial" w:cs="Arial"/>
                <w:sz w:val="20"/>
                <w:szCs w:val="20"/>
              </w:rPr>
              <w:t>The district court cannot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A027A">
              <w:rPr>
                <w:rFonts w:ascii="Arial" w:hAnsi="Arial" w:cs="Arial"/>
                <w:sz w:val="20"/>
                <w:szCs w:val="20"/>
              </w:rPr>
              <w:t xml:space="preserve">write </w:t>
            </w:r>
            <w:r w:rsidR="001703E2">
              <w:rPr>
                <w:rFonts w:ascii="Arial" w:hAnsi="Arial" w:cs="Arial"/>
                <w:sz w:val="20"/>
                <w:szCs w:val="20"/>
              </w:rPr>
              <w:t>[this]</w:t>
            </w:r>
            <w:r w:rsidRPr="001A027A">
              <w:rPr>
                <w:rFonts w:ascii="Arial" w:hAnsi="Arial" w:cs="Arial"/>
                <w:sz w:val="20"/>
                <w:szCs w:val="20"/>
              </w:rPr>
              <w:t xml:space="preserve"> hard truth</w:t>
            </w:r>
            <w:r w:rsidR="00591B3C">
              <w:rPr>
                <w:rFonts w:ascii="Arial" w:hAnsi="Arial" w:cs="Arial"/>
                <w:sz w:val="20"/>
                <w:szCs w:val="20"/>
              </w:rPr>
              <w:t>[]</w:t>
            </w:r>
            <w:r w:rsidRPr="001A027A">
              <w:rPr>
                <w:rFonts w:ascii="Arial" w:hAnsi="Arial" w:cs="Arial"/>
                <w:sz w:val="20"/>
                <w:szCs w:val="20"/>
              </w:rPr>
              <w:t xml:space="preserve"> out of existence with the fiat power of its judicial pen.</w:t>
            </w:r>
          </w:p>
          <w:p w14:paraId="5F0F9A9D" w14:textId="5B5290B1" w:rsidR="00B00396" w:rsidRDefault="00451A98" w:rsidP="00B00396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451A98">
              <w:rPr>
                <w:rFonts w:ascii="Arial" w:hAnsi="Arial" w:cs="Arial"/>
                <w:sz w:val="20"/>
                <w:szCs w:val="20"/>
              </w:rPr>
              <w:t>Claims of excessive partisan gerrymandering are nonjusticiable in Kansas</w:t>
            </w:r>
            <w:r>
              <w:rPr>
                <w:rFonts w:ascii="Arial" w:hAnsi="Arial" w:cs="Arial"/>
                <w:sz w:val="20"/>
                <w:szCs w:val="20"/>
              </w:rPr>
              <w:t>, because the question then becomes</w:t>
            </w:r>
            <w:r w:rsidR="00C74570">
              <w:rPr>
                <w:rFonts w:ascii="Arial" w:hAnsi="Arial" w:cs="Arial"/>
                <w:sz w:val="20"/>
                <w:szCs w:val="20"/>
              </w:rPr>
              <w:t xml:space="preserve"> a political one:</w:t>
            </w:r>
            <w:r>
              <w:rPr>
                <w:rFonts w:ascii="Arial" w:hAnsi="Arial" w:cs="Arial"/>
                <w:sz w:val="20"/>
                <w:szCs w:val="20"/>
              </w:rPr>
              <w:t xml:space="preserve"> “how much is too much?”</w:t>
            </w:r>
          </w:p>
          <w:p w14:paraId="786575D3" w14:textId="477BC6C3" w:rsidR="00451A98" w:rsidRDefault="006B4821" w:rsidP="006B4821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</w:t>
            </w:r>
            <w:r w:rsidRPr="006B4821">
              <w:rPr>
                <w:rFonts w:ascii="Arial" w:hAnsi="Arial" w:cs="Arial"/>
                <w:sz w:val="20"/>
                <w:szCs w:val="20"/>
              </w:rPr>
              <w:t>ithout codified law to guide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B4821">
              <w:rPr>
                <w:rFonts w:ascii="Arial" w:hAnsi="Arial" w:cs="Arial"/>
                <w:sz w:val="20"/>
                <w:szCs w:val="20"/>
              </w:rPr>
              <w:t>judges in knowing when too much partisanship becomes so unfair as to offend constitutional principles, the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B4821">
              <w:rPr>
                <w:rFonts w:ascii="Arial" w:hAnsi="Arial" w:cs="Arial"/>
                <w:sz w:val="20"/>
                <w:szCs w:val="20"/>
              </w:rPr>
              <w:t>question cannot be answered.</w:t>
            </w:r>
          </w:p>
          <w:p w14:paraId="49FBA867" w14:textId="5C0F2FF7" w:rsidR="009E192E" w:rsidRDefault="00B80F13" w:rsidP="001021BD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Pr="00B80F13">
              <w:rPr>
                <w:rFonts w:ascii="Arial" w:hAnsi="Arial" w:cs="Arial"/>
                <w:sz w:val="20"/>
                <w:szCs w:val="20"/>
              </w:rPr>
              <w:t>There are no legal standards discernible in the Constitution for making such</w:t>
            </w:r>
            <w:r w:rsidR="001021B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021BD">
              <w:rPr>
                <w:rFonts w:ascii="Arial" w:hAnsi="Arial" w:cs="Arial"/>
                <w:sz w:val="20"/>
                <w:szCs w:val="20"/>
              </w:rPr>
              <w:t xml:space="preserve">judgments, let alone limited and precise standards that are clear, manageable, and politically neutral. </w:t>
            </w:r>
            <w:r w:rsidR="001021B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021BD">
              <w:rPr>
                <w:rFonts w:ascii="Arial" w:hAnsi="Arial" w:cs="Arial"/>
                <w:sz w:val="20"/>
                <w:szCs w:val="20"/>
              </w:rPr>
              <w:t>Any</w:t>
            </w:r>
            <w:r w:rsidR="001021B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021BD">
              <w:rPr>
                <w:rFonts w:ascii="Arial" w:hAnsi="Arial" w:cs="Arial"/>
                <w:sz w:val="20"/>
                <w:szCs w:val="20"/>
              </w:rPr>
              <w:t>judicial decision on what is 'fair' in this context would be an 'unmoored determination' of the sort characteristic</w:t>
            </w:r>
            <w:r w:rsidR="001021B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021BD">
              <w:rPr>
                <w:rFonts w:ascii="Arial" w:hAnsi="Arial" w:cs="Arial"/>
                <w:sz w:val="20"/>
                <w:szCs w:val="20"/>
              </w:rPr>
              <w:t>of a political question beyond the competence of the federal courts.</w:t>
            </w:r>
            <w:r w:rsidRPr="001021BD">
              <w:rPr>
                <w:rFonts w:ascii="Arial" w:hAnsi="Arial" w:cs="Arial"/>
                <w:sz w:val="20"/>
                <w:szCs w:val="20"/>
              </w:rPr>
              <w:t xml:space="preserve">”  </w:t>
            </w:r>
            <w:r w:rsidRPr="001021BD">
              <w:rPr>
                <w:rFonts w:ascii="Arial" w:hAnsi="Arial" w:cs="Arial"/>
                <w:i/>
                <w:iCs/>
                <w:sz w:val="20"/>
                <w:szCs w:val="20"/>
              </w:rPr>
              <w:t>Rucho</w:t>
            </w:r>
            <w:r w:rsidRPr="001021BD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DAFF67D" w14:textId="3C450831" w:rsidR="00102082" w:rsidRDefault="00FB0228" w:rsidP="004A5582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“</w:t>
            </w:r>
            <w:r w:rsidR="004A5582">
              <w:rPr>
                <w:rFonts w:ascii="Arial" w:hAnsi="Arial" w:cs="Arial"/>
                <w:sz w:val="20"/>
                <w:szCs w:val="20"/>
              </w:rPr>
              <w:t>Un</w:t>
            </w:r>
            <w:r w:rsidR="004A5582" w:rsidRPr="004A5582">
              <w:rPr>
                <w:rFonts w:ascii="Arial" w:hAnsi="Arial" w:cs="Arial"/>
                <w:sz w:val="20"/>
                <w:szCs w:val="20"/>
              </w:rPr>
              <w:t>like in Florida and other of our sister states that have codified limits on partisan</w:t>
            </w:r>
            <w:r w:rsidR="004A558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A5582" w:rsidRPr="004A5582">
              <w:rPr>
                <w:rFonts w:ascii="Arial" w:hAnsi="Arial" w:cs="Arial"/>
                <w:sz w:val="20"/>
                <w:szCs w:val="20"/>
              </w:rPr>
              <w:t>gerrymandering, in Kansas the answer (for now) must be no</w:t>
            </w:r>
            <w:r>
              <w:rPr>
                <w:rFonts w:ascii="Arial" w:hAnsi="Arial" w:cs="Arial"/>
                <w:sz w:val="20"/>
                <w:szCs w:val="20"/>
              </w:rPr>
              <w:t>” as to the justiciability issue.</w:t>
            </w:r>
            <w:r w:rsidR="000C017C">
              <w:rPr>
                <w:rStyle w:val="FootnoteReference"/>
                <w:rFonts w:ascii="Arial" w:hAnsi="Arial" w:cs="Arial"/>
                <w:sz w:val="20"/>
                <w:szCs w:val="20"/>
              </w:rPr>
              <w:footnoteReference w:id="5"/>
            </w:r>
          </w:p>
          <w:p w14:paraId="3F581705" w14:textId="0C2D5E31" w:rsidR="00BD6000" w:rsidRPr="00BD6000" w:rsidRDefault="00BD6000" w:rsidP="00BD6000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Because KS has not adopted such standards, it “</w:t>
            </w:r>
            <w:r w:rsidRPr="00BD6000">
              <w:rPr>
                <w:rFonts w:ascii="Arial" w:hAnsi="Arial" w:cs="Arial"/>
                <w:sz w:val="20"/>
                <w:szCs w:val="20"/>
              </w:rPr>
              <w:t>cannot follow the decisions of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D6000">
              <w:rPr>
                <w:rFonts w:ascii="Arial" w:hAnsi="Arial" w:cs="Arial"/>
                <w:sz w:val="20"/>
                <w:szCs w:val="20"/>
              </w:rPr>
              <w:t>other state supreme courts</w:t>
            </w:r>
            <w:r>
              <w:rPr>
                <w:rFonts w:ascii="Arial" w:hAnsi="Arial" w:cs="Arial"/>
                <w:sz w:val="20"/>
                <w:szCs w:val="20"/>
              </w:rPr>
              <w:t xml:space="preserve"> . . . </w:t>
            </w:r>
            <w:r w:rsidRPr="00BD6000">
              <w:rPr>
                <w:rFonts w:ascii="Arial" w:hAnsi="Arial" w:cs="Arial"/>
                <w:sz w:val="20"/>
                <w:szCs w:val="20"/>
              </w:rPr>
              <w:t xml:space="preserve">that have found their states to be within the </w:t>
            </w:r>
            <w:r w:rsidRPr="00BD6000">
              <w:rPr>
                <w:rFonts w:ascii="Arial" w:hAnsi="Arial" w:cs="Arial"/>
                <w:i/>
                <w:iCs/>
                <w:sz w:val="20"/>
                <w:szCs w:val="20"/>
              </w:rPr>
              <w:t>Rucho</w:t>
            </w:r>
            <w:r w:rsidRPr="00BD6000">
              <w:rPr>
                <w:rFonts w:ascii="Arial" w:hAnsi="Arial" w:cs="Arial"/>
                <w:sz w:val="20"/>
                <w:szCs w:val="20"/>
              </w:rPr>
              <w:t xml:space="preserve"> exception of states with </w:t>
            </w:r>
            <w:r>
              <w:rPr>
                <w:rFonts w:ascii="Arial" w:hAnsi="Arial" w:cs="Arial"/>
                <w:sz w:val="20"/>
                <w:szCs w:val="20"/>
              </w:rPr>
              <w:t>‘</w:t>
            </w:r>
            <w:r w:rsidRPr="00BD6000">
              <w:rPr>
                <w:rFonts w:ascii="Arial" w:hAnsi="Arial" w:cs="Arial"/>
                <w:sz w:val="20"/>
                <w:szCs w:val="20"/>
              </w:rPr>
              <w:t>statutes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D6000">
              <w:rPr>
                <w:rFonts w:ascii="Arial" w:hAnsi="Arial" w:cs="Arial"/>
                <w:sz w:val="20"/>
                <w:szCs w:val="20"/>
              </w:rPr>
              <w:t>and . . . constitutions</w:t>
            </w:r>
            <w:r>
              <w:rPr>
                <w:rFonts w:ascii="Arial" w:hAnsi="Arial" w:cs="Arial"/>
                <w:sz w:val="20"/>
                <w:szCs w:val="20"/>
              </w:rPr>
              <w:t>’</w:t>
            </w:r>
            <w:r w:rsidRPr="00BD6000">
              <w:rPr>
                <w:rFonts w:ascii="Arial" w:hAnsi="Arial" w:cs="Arial"/>
                <w:sz w:val="20"/>
                <w:szCs w:val="20"/>
              </w:rPr>
              <w:t xml:space="preserve"> that </w:t>
            </w:r>
            <w:r>
              <w:rPr>
                <w:rFonts w:ascii="Arial" w:hAnsi="Arial" w:cs="Arial"/>
                <w:sz w:val="20"/>
                <w:szCs w:val="20"/>
              </w:rPr>
              <w:t>‘</w:t>
            </w:r>
            <w:r w:rsidRPr="00BD6000">
              <w:rPr>
                <w:rFonts w:ascii="Arial" w:hAnsi="Arial" w:cs="Arial"/>
                <w:sz w:val="20"/>
                <w:szCs w:val="20"/>
              </w:rPr>
              <w:t>provide standards and guidance for state courts to apply.</w:t>
            </w:r>
            <w:r>
              <w:rPr>
                <w:rFonts w:ascii="Arial" w:hAnsi="Arial" w:cs="Arial"/>
                <w:sz w:val="20"/>
                <w:szCs w:val="20"/>
              </w:rPr>
              <w:t>’”</w:t>
            </w:r>
          </w:p>
          <w:p w14:paraId="102BC972" w14:textId="0E0D4D6C" w:rsidR="000147E5" w:rsidRDefault="00F423C6" w:rsidP="00496BFC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Although </w:t>
            </w:r>
            <w:r w:rsidRPr="00F423C6">
              <w:rPr>
                <w:rFonts w:ascii="Arial" w:hAnsi="Arial" w:cs="Arial"/>
                <w:sz w:val="20"/>
                <w:szCs w:val="20"/>
              </w:rPr>
              <w:t>plaintiffs have proposed a variety of different metrics for measuring "fairness" and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423C6">
              <w:rPr>
                <w:rFonts w:ascii="Arial" w:hAnsi="Arial" w:cs="Arial"/>
                <w:sz w:val="20"/>
                <w:szCs w:val="20"/>
              </w:rPr>
              <w:t>answering the "how much is too much" question</w:t>
            </w:r>
            <w:r w:rsidR="00012F88">
              <w:rPr>
                <w:rFonts w:ascii="Arial" w:hAnsi="Arial" w:cs="Arial"/>
                <w:sz w:val="20"/>
                <w:szCs w:val="20"/>
              </w:rPr>
              <w:t xml:space="preserve">, . . . </w:t>
            </w:r>
            <w:r w:rsidRPr="00F423C6">
              <w:rPr>
                <w:rFonts w:ascii="Arial" w:hAnsi="Arial" w:cs="Arial"/>
                <w:sz w:val="20"/>
                <w:szCs w:val="20"/>
              </w:rPr>
              <w:t>none of these metrics have a foundation in Kansas law—</w:t>
            </w:r>
            <w:r w:rsidRPr="00496BFC">
              <w:rPr>
                <w:rFonts w:ascii="Arial" w:hAnsi="Arial" w:cs="Arial"/>
                <w:sz w:val="20"/>
                <w:szCs w:val="20"/>
              </w:rPr>
              <w:t>either statutory enactment or constitutional text.</w:t>
            </w:r>
          </w:p>
          <w:p w14:paraId="2F5FD2B9" w14:textId="56C3D1A5" w:rsidR="000C017C" w:rsidRPr="0003439B" w:rsidRDefault="004C7E14" w:rsidP="0003439B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Further</w:t>
            </w:r>
            <w:r w:rsidR="0003439B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87014A">
              <w:rPr>
                <w:rFonts w:ascii="Arial" w:hAnsi="Arial" w:cs="Arial"/>
                <w:sz w:val="20"/>
                <w:szCs w:val="20"/>
              </w:rPr>
              <w:t xml:space="preserve">those metrics </w:t>
            </w:r>
            <w:r w:rsidR="0028289C">
              <w:rPr>
                <w:rFonts w:ascii="Arial" w:hAnsi="Arial" w:cs="Arial"/>
                <w:sz w:val="20"/>
                <w:szCs w:val="20"/>
              </w:rPr>
              <w:t>“</w:t>
            </w:r>
            <w:r w:rsidR="0087014A">
              <w:rPr>
                <w:rFonts w:ascii="Arial" w:hAnsi="Arial" w:cs="Arial"/>
                <w:sz w:val="20"/>
                <w:szCs w:val="20"/>
              </w:rPr>
              <w:t>assume</w:t>
            </w:r>
            <w:r w:rsidR="00D34421">
              <w:rPr>
                <w:rFonts w:ascii="Arial" w:hAnsi="Arial" w:cs="Arial"/>
                <w:sz w:val="20"/>
                <w:szCs w:val="20"/>
              </w:rPr>
              <w:t xml:space="preserve"> too much</w:t>
            </w:r>
            <w:r w:rsidR="0028289C">
              <w:rPr>
                <w:rFonts w:ascii="Arial" w:hAnsi="Arial" w:cs="Arial"/>
                <w:sz w:val="20"/>
                <w:szCs w:val="20"/>
              </w:rPr>
              <w:t>”</w:t>
            </w:r>
            <w:r w:rsidR="00D3442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95696">
              <w:rPr>
                <w:rFonts w:ascii="Arial" w:hAnsi="Arial" w:cs="Arial"/>
                <w:sz w:val="20"/>
                <w:szCs w:val="20"/>
              </w:rPr>
              <w:t>by</w:t>
            </w:r>
            <w:r w:rsidR="00D34421">
              <w:rPr>
                <w:rFonts w:ascii="Arial" w:hAnsi="Arial" w:cs="Arial"/>
                <w:sz w:val="20"/>
                <w:szCs w:val="20"/>
              </w:rPr>
              <w:t xml:space="preserve"> presuming to understand </w:t>
            </w:r>
            <w:r w:rsidR="0087014A">
              <w:rPr>
                <w:rFonts w:ascii="Arial" w:hAnsi="Arial" w:cs="Arial"/>
                <w:sz w:val="20"/>
                <w:szCs w:val="20"/>
              </w:rPr>
              <w:t>what “fairness” is.</w:t>
            </w:r>
            <w:r w:rsidR="00BD424A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BD424A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Id. </w:t>
            </w:r>
            <w:r w:rsidR="00BD424A">
              <w:rPr>
                <w:rFonts w:ascii="Arial" w:hAnsi="Arial" w:cs="Arial"/>
                <w:sz w:val="20"/>
                <w:szCs w:val="20"/>
              </w:rPr>
              <w:t>at 185</w:t>
            </w:r>
            <w:r w:rsidR="005D56EF">
              <w:rPr>
                <w:rFonts w:ascii="Arial" w:hAnsi="Arial" w:cs="Arial"/>
                <w:sz w:val="20"/>
                <w:szCs w:val="20"/>
              </w:rPr>
              <w:t>–86</w:t>
            </w:r>
            <w:r w:rsidR="00BD424A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31CAECE" w14:textId="7B74A6B7" w:rsidR="0016027D" w:rsidRPr="00167ED0" w:rsidRDefault="009741AD" w:rsidP="00167ED0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E163AE" w:rsidRPr="00E163AE">
              <w:rPr>
                <w:rFonts w:ascii="Arial" w:hAnsi="Arial" w:cs="Arial"/>
                <w:sz w:val="20"/>
                <w:szCs w:val="20"/>
              </w:rPr>
              <w:t>In the absence of statutory or constitutional standards in Kansas</w:t>
            </w:r>
            <w:r w:rsidR="00E56D00">
              <w:rPr>
                <w:rFonts w:ascii="Arial" w:hAnsi="Arial" w:cs="Arial"/>
                <w:sz w:val="20"/>
                <w:szCs w:val="20"/>
              </w:rPr>
              <w:t xml:space="preserve"> . . . </w:t>
            </w:r>
            <w:r w:rsidR="00E163AE" w:rsidRPr="00E163AE">
              <w:rPr>
                <w:rFonts w:ascii="Arial" w:hAnsi="Arial" w:cs="Arial"/>
                <w:sz w:val="20"/>
                <w:szCs w:val="20"/>
              </w:rPr>
              <w:t xml:space="preserve">plaintiffs point to the substantive content of the Guidelines and ask us to find standards of </w:t>
            </w:r>
            <w:r>
              <w:rPr>
                <w:rFonts w:ascii="Arial" w:hAnsi="Arial" w:cs="Arial"/>
                <w:sz w:val="20"/>
                <w:szCs w:val="20"/>
              </w:rPr>
              <w:t>‘</w:t>
            </w:r>
            <w:r w:rsidR="00E163AE" w:rsidRPr="00E163AE">
              <w:rPr>
                <w:rFonts w:ascii="Arial" w:hAnsi="Arial" w:cs="Arial"/>
                <w:sz w:val="20"/>
                <w:szCs w:val="20"/>
              </w:rPr>
              <w:t>fairness</w:t>
            </w:r>
            <w:r>
              <w:rPr>
                <w:rFonts w:ascii="Arial" w:hAnsi="Arial" w:cs="Arial"/>
                <w:sz w:val="20"/>
                <w:szCs w:val="20"/>
              </w:rPr>
              <w:t xml:space="preserve">’ </w:t>
            </w:r>
            <w:r w:rsidR="00E163AE" w:rsidRPr="00E163AE">
              <w:rPr>
                <w:rFonts w:ascii="Arial" w:hAnsi="Arial" w:cs="Arial"/>
                <w:sz w:val="20"/>
                <w:szCs w:val="20"/>
              </w:rPr>
              <w:t>there.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163AE" w:rsidRPr="00E163AE">
              <w:rPr>
                <w:rFonts w:ascii="Arial" w:hAnsi="Arial" w:cs="Arial"/>
                <w:sz w:val="20"/>
                <w:szCs w:val="20"/>
              </w:rPr>
              <w:t xml:space="preserve"> But a</w:t>
            </w:r>
            <w:r w:rsidR="00E163AE">
              <w:rPr>
                <w:rFonts w:ascii="Arial" w:hAnsi="Arial" w:cs="Arial"/>
                <w:sz w:val="20"/>
                <w:szCs w:val="20"/>
              </w:rPr>
              <w:t xml:space="preserve">s </w:t>
            </w:r>
            <w:r w:rsidR="00E163AE" w:rsidRPr="00E163AE">
              <w:rPr>
                <w:rFonts w:ascii="Arial" w:hAnsi="Arial" w:cs="Arial"/>
                <w:sz w:val="20"/>
                <w:szCs w:val="20"/>
              </w:rPr>
              <w:t>already mentioned, the Legislature has never adopted the Guidelines.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  <w:p w14:paraId="5782D514" w14:textId="5A0FE582" w:rsidR="0009049E" w:rsidRPr="00C434A3" w:rsidRDefault="0009049E" w:rsidP="0009049E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671F" w:rsidRPr="008D467C" w14:paraId="053F9293" w14:textId="77777777" w:rsidTr="00864205">
        <w:trPr>
          <w:trHeight w:val="180"/>
        </w:trPr>
        <w:tc>
          <w:tcPr>
            <w:tcW w:w="1998" w:type="dxa"/>
            <w:tcBorders>
              <w:left w:val="nil"/>
              <w:bottom w:val="nil"/>
            </w:tcBorders>
          </w:tcPr>
          <w:p w14:paraId="063E9EBA" w14:textId="77777777" w:rsidR="00ED671F" w:rsidRPr="008D467C" w:rsidRDefault="00ED671F" w:rsidP="00ED671F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Arguments of Parties</w:t>
            </w:r>
          </w:p>
        </w:tc>
        <w:tc>
          <w:tcPr>
            <w:tcW w:w="7470" w:type="dxa"/>
            <w:tcBorders>
              <w:bottom w:val="nil"/>
              <w:right w:val="nil"/>
            </w:tcBorders>
          </w:tcPr>
          <w:p w14:paraId="50E31D60" w14:textId="77777777" w:rsidR="00EB4F60" w:rsidRDefault="00EB4F60" w:rsidP="00EB4F60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Alonzo Plaintiffs</w:t>
            </w:r>
          </w:p>
          <w:p w14:paraId="280244CD" w14:textId="4459E176" w:rsidR="00EB4F60" w:rsidRDefault="00EB4F60" w:rsidP="00EB4F60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EB4F60">
              <w:rPr>
                <w:rFonts w:ascii="Arial" w:hAnsi="Arial" w:cs="Arial"/>
                <w:sz w:val="20"/>
                <w:szCs w:val="20"/>
              </w:rPr>
              <w:t>rgued that Ad Astra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B4F60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41E38BEF" w14:textId="3C9631B6" w:rsidR="002930DC" w:rsidRDefault="00EB4F60" w:rsidP="002930DC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EB4F60">
              <w:rPr>
                <w:rFonts w:ascii="Arial" w:hAnsi="Arial" w:cs="Arial"/>
                <w:sz w:val="20"/>
                <w:szCs w:val="20"/>
              </w:rPr>
              <w:t>(1) violates Kansas Constitution Bill of Rights sections 1 and 2 "because it</w:t>
            </w:r>
            <w:r w:rsidR="003B3C16">
              <w:rPr>
                <w:rFonts w:ascii="Arial" w:hAnsi="Arial" w:cs="Arial"/>
                <w:sz w:val="20"/>
                <w:szCs w:val="20"/>
              </w:rPr>
              <w:t xml:space="preserve"> targets</w:t>
            </w:r>
            <w:r w:rsidRPr="00EB4F60">
              <w:rPr>
                <w:rFonts w:ascii="Arial" w:hAnsi="Arial" w:cs="Arial"/>
                <w:sz w:val="20"/>
                <w:szCs w:val="20"/>
              </w:rPr>
              <w:t xml:space="preserve"> [plaintiffs] for differential</w:t>
            </w:r>
            <w:r w:rsidR="002930D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930DC">
              <w:rPr>
                <w:rFonts w:ascii="Arial" w:hAnsi="Arial" w:cs="Arial"/>
                <w:sz w:val="20"/>
                <w:szCs w:val="20"/>
              </w:rPr>
              <w:t xml:space="preserve">treatment based upon their political beliefs and past votes"; </w:t>
            </w:r>
          </w:p>
          <w:p w14:paraId="3AD6C3C3" w14:textId="77777777" w:rsidR="002930DC" w:rsidRDefault="00EB4F60" w:rsidP="002930DC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2930DC">
              <w:rPr>
                <w:rFonts w:ascii="Arial" w:hAnsi="Arial" w:cs="Arial"/>
                <w:sz w:val="20"/>
                <w:szCs w:val="20"/>
              </w:rPr>
              <w:t>(2) violates sections 3 and 11 of the Kansas</w:t>
            </w:r>
            <w:r w:rsidR="002930D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930DC">
              <w:rPr>
                <w:rFonts w:ascii="Arial" w:hAnsi="Arial" w:cs="Arial"/>
                <w:sz w:val="20"/>
                <w:szCs w:val="20"/>
              </w:rPr>
              <w:t>Constitution Bill of Rights because it "discriminates against Kansas Democrats based on their protected political</w:t>
            </w:r>
            <w:r w:rsidR="002930D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930DC">
              <w:rPr>
                <w:rFonts w:ascii="Arial" w:hAnsi="Arial" w:cs="Arial"/>
                <w:sz w:val="20"/>
                <w:szCs w:val="20"/>
              </w:rPr>
              <w:t>views and past votes, burdens the ability of those voters to effectively associate, and retaliates against Democrats</w:t>
            </w:r>
            <w:r w:rsidR="002930D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930DC">
              <w:rPr>
                <w:rFonts w:ascii="Arial" w:hAnsi="Arial" w:cs="Arial"/>
                <w:sz w:val="20"/>
                <w:szCs w:val="20"/>
              </w:rPr>
              <w:t>for exercising political speech" by preventing "them from being able to coalesce their votes and elect their preferred</w:t>
            </w:r>
            <w:r w:rsidR="002930D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930DC">
              <w:rPr>
                <w:rFonts w:ascii="Arial" w:hAnsi="Arial" w:cs="Arial"/>
                <w:sz w:val="20"/>
                <w:szCs w:val="20"/>
              </w:rPr>
              <w:t xml:space="preserve">candidates who share their political views"; </w:t>
            </w:r>
          </w:p>
          <w:p w14:paraId="5B89C72C" w14:textId="77777777" w:rsidR="002930DC" w:rsidRDefault="00EB4F60" w:rsidP="002930DC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2930DC">
              <w:rPr>
                <w:rFonts w:ascii="Arial" w:hAnsi="Arial" w:cs="Arial"/>
                <w:sz w:val="20"/>
                <w:szCs w:val="20"/>
              </w:rPr>
              <w:t>(3) "imposes a severe burden" on plaintiffs' right to vote under Article 5,</w:t>
            </w:r>
            <w:r w:rsidR="002930D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930DC">
              <w:rPr>
                <w:rFonts w:ascii="Arial" w:hAnsi="Arial" w:cs="Arial"/>
                <w:sz w:val="20"/>
                <w:szCs w:val="20"/>
              </w:rPr>
              <w:t>section 1 by "targeting Democratic voters to prevent them from translating their votes into victories at the ballot</w:t>
            </w:r>
            <w:r w:rsidR="002930D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930DC">
              <w:rPr>
                <w:rFonts w:ascii="Arial" w:hAnsi="Arial" w:cs="Arial"/>
                <w:sz w:val="20"/>
                <w:szCs w:val="20"/>
              </w:rPr>
              <w:t xml:space="preserve">box"; and </w:t>
            </w:r>
          </w:p>
          <w:p w14:paraId="23758603" w14:textId="77777777" w:rsidR="00EB4F60" w:rsidRDefault="00EB4F60" w:rsidP="002930DC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2930DC">
              <w:rPr>
                <w:rFonts w:ascii="Arial" w:hAnsi="Arial" w:cs="Arial"/>
                <w:sz w:val="20"/>
                <w:szCs w:val="20"/>
              </w:rPr>
              <w:t>(4) violates equal protection guarantees in sections 1 and 2 of the Kansas Constitution Bill of Rights</w:t>
            </w:r>
            <w:r w:rsidR="002930D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930DC">
              <w:rPr>
                <w:rFonts w:ascii="Arial" w:hAnsi="Arial" w:cs="Arial"/>
                <w:sz w:val="20"/>
                <w:szCs w:val="20"/>
              </w:rPr>
              <w:t>because it was "created specifically to eliminate the only seat currently held by a minority."</w:t>
            </w:r>
          </w:p>
          <w:p w14:paraId="61295D69" w14:textId="77777777" w:rsidR="007713C1" w:rsidRDefault="007713C1" w:rsidP="007713C1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Rivera Plaintiffs</w:t>
            </w:r>
          </w:p>
          <w:p w14:paraId="607BC4C9" w14:textId="77777777" w:rsidR="00341267" w:rsidRDefault="007713C1" w:rsidP="007713C1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</w:t>
            </w:r>
            <w:r w:rsidRPr="007713C1">
              <w:rPr>
                <w:rFonts w:ascii="Arial" w:hAnsi="Arial" w:cs="Arial"/>
                <w:sz w:val="20"/>
                <w:szCs w:val="20"/>
              </w:rPr>
              <w:t>aimed violations under the Kansas Constitution citing the right to vote, equal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713C1">
              <w:rPr>
                <w:rFonts w:ascii="Arial" w:hAnsi="Arial" w:cs="Arial"/>
                <w:sz w:val="20"/>
                <w:szCs w:val="20"/>
              </w:rPr>
              <w:t xml:space="preserve">protection, freedom of speech, and freedom of assembly, as well as making claims of racial vote dilution. </w:t>
            </w:r>
          </w:p>
          <w:p w14:paraId="46CA5959" w14:textId="77777777" w:rsidR="007713C1" w:rsidRDefault="00341267" w:rsidP="008141C4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7713C1" w:rsidRPr="007713C1">
              <w:rPr>
                <w:rFonts w:ascii="Arial" w:hAnsi="Arial" w:cs="Arial"/>
                <w:sz w:val="20"/>
                <w:szCs w:val="20"/>
              </w:rPr>
              <w:t>lso argued that Ad Astra 2 impermissibly split Kansas' four Native American reservations into two</w:t>
            </w:r>
            <w:r w:rsidR="008141C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713C1" w:rsidRPr="008141C4">
              <w:rPr>
                <w:rFonts w:ascii="Arial" w:hAnsi="Arial" w:cs="Arial"/>
                <w:sz w:val="20"/>
                <w:szCs w:val="20"/>
              </w:rPr>
              <w:t>districts.</w:t>
            </w:r>
          </w:p>
          <w:p w14:paraId="1F0E117C" w14:textId="77777777" w:rsidR="00357F59" w:rsidRDefault="00357F59" w:rsidP="00357F59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Frick Plaintiffs</w:t>
            </w:r>
          </w:p>
          <w:p w14:paraId="755A34F5" w14:textId="77777777" w:rsidR="007F5B5C" w:rsidRDefault="00357F59" w:rsidP="00357F59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357F59">
              <w:rPr>
                <w:rFonts w:ascii="Arial" w:hAnsi="Arial" w:cs="Arial"/>
                <w:sz w:val="20"/>
                <w:szCs w:val="20"/>
              </w:rPr>
              <w:t>llege</w:t>
            </w: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Pr="00357F59">
              <w:rPr>
                <w:rFonts w:ascii="Arial" w:hAnsi="Arial" w:cs="Arial"/>
                <w:sz w:val="20"/>
                <w:szCs w:val="20"/>
              </w:rPr>
              <w:t xml:space="preserve"> that the Legislature engaged in partisan gerrymandering by "scooping out" the City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57F59">
              <w:rPr>
                <w:rFonts w:ascii="Arial" w:hAnsi="Arial" w:cs="Arial"/>
                <w:sz w:val="20"/>
                <w:szCs w:val="20"/>
              </w:rPr>
              <w:t xml:space="preserve">of Lawrence from District 2 and adding it to the "Big First." </w:t>
            </w:r>
          </w:p>
          <w:p w14:paraId="34430A77" w14:textId="4ADDC818" w:rsidR="00BB64F1" w:rsidRDefault="00357F59" w:rsidP="007F5B5C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357F59">
              <w:rPr>
                <w:rFonts w:ascii="Arial" w:hAnsi="Arial" w:cs="Arial"/>
                <w:sz w:val="20"/>
                <w:szCs w:val="20"/>
              </w:rPr>
              <w:t>They allege violations of the Kansas Constitution</w:t>
            </w:r>
            <w:r w:rsidR="00964516">
              <w:rPr>
                <w:rFonts w:ascii="Arial" w:hAnsi="Arial" w:cs="Arial"/>
                <w:sz w:val="20"/>
                <w:szCs w:val="20"/>
              </w:rPr>
              <w:t>’s</w:t>
            </w:r>
            <w:r w:rsidRPr="00357F59">
              <w:rPr>
                <w:rFonts w:ascii="Arial" w:hAnsi="Arial" w:cs="Arial"/>
                <w:sz w:val="20"/>
                <w:szCs w:val="20"/>
              </w:rPr>
              <w:t xml:space="preserve"> Bill of</w:t>
            </w:r>
            <w:r w:rsidR="007F5B5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F5B5C">
              <w:rPr>
                <w:rFonts w:ascii="Arial" w:hAnsi="Arial" w:cs="Arial"/>
                <w:sz w:val="20"/>
                <w:szCs w:val="20"/>
              </w:rPr>
              <w:t xml:space="preserve">Rights </w:t>
            </w:r>
            <w:r w:rsidR="00A30892">
              <w:rPr>
                <w:rFonts w:ascii="Arial" w:hAnsi="Arial" w:cs="Arial"/>
                <w:sz w:val="20"/>
                <w:szCs w:val="20"/>
              </w:rPr>
              <w:t>§§</w:t>
            </w:r>
            <w:r w:rsidRPr="007F5B5C">
              <w:rPr>
                <w:rFonts w:ascii="Arial" w:hAnsi="Arial" w:cs="Arial"/>
                <w:sz w:val="20"/>
                <w:szCs w:val="20"/>
              </w:rPr>
              <w:t xml:space="preserve"> 1, 2, 3, 11, 20, and Article 5, </w:t>
            </w:r>
            <w:r w:rsidR="000A1779">
              <w:rPr>
                <w:rFonts w:ascii="Arial" w:hAnsi="Arial" w:cs="Arial"/>
                <w:sz w:val="20"/>
                <w:szCs w:val="20"/>
              </w:rPr>
              <w:t>§</w:t>
            </w:r>
            <w:r w:rsidRPr="007F5B5C">
              <w:rPr>
                <w:rFonts w:ascii="Arial" w:hAnsi="Arial" w:cs="Arial"/>
                <w:sz w:val="20"/>
                <w:szCs w:val="20"/>
              </w:rPr>
              <w:t xml:space="preserve"> 1. </w:t>
            </w:r>
          </w:p>
          <w:p w14:paraId="3948F1D9" w14:textId="1319F02E" w:rsidR="00357F59" w:rsidRDefault="00BB64F1" w:rsidP="0018239E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C</w:t>
            </w:r>
            <w:r w:rsidR="00357F59" w:rsidRPr="00357F59">
              <w:rPr>
                <w:rFonts w:ascii="Arial" w:hAnsi="Arial" w:cs="Arial"/>
                <w:sz w:val="20"/>
                <w:szCs w:val="20"/>
              </w:rPr>
              <w:t>ontend that Ad Astra 2 was developed in secret, rushed through the legislative process, and contradicts</w:t>
            </w:r>
            <w:r w:rsidR="0018239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57F59" w:rsidRPr="0018239E">
              <w:rPr>
                <w:rFonts w:ascii="Arial" w:hAnsi="Arial" w:cs="Arial"/>
                <w:sz w:val="20"/>
                <w:szCs w:val="20"/>
              </w:rPr>
              <w:t>established redistricting guidelines.</w:t>
            </w:r>
          </w:p>
          <w:p w14:paraId="651FD84B" w14:textId="4F2CADC7" w:rsidR="00E03579" w:rsidRDefault="00E03579" w:rsidP="00E03579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Defendants</w:t>
            </w:r>
          </w:p>
          <w:p w14:paraId="00139133" w14:textId="175D08D7" w:rsidR="00E03579" w:rsidRPr="00E03579" w:rsidRDefault="00E03579" w:rsidP="00E03579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</w:t>
            </w:r>
            <w:r w:rsidRPr="00E03579">
              <w:rPr>
                <w:rFonts w:ascii="Arial" w:hAnsi="Arial" w:cs="Arial"/>
                <w:sz w:val="20"/>
                <w:szCs w:val="20"/>
              </w:rPr>
              <w:t>aim</w:t>
            </w:r>
            <w:r w:rsidR="001B41BF">
              <w:rPr>
                <w:rFonts w:ascii="Arial" w:hAnsi="Arial" w:cs="Arial"/>
                <w:sz w:val="20"/>
                <w:szCs w:val="20"/>
              </w:rPr>
              <w:t>ed</w:t>
            </w:r>
            <w:r w:rsidRPr="00E03579">
              <w:rPr>
                <w:rFonts w:ascii="Arial" w:hAnsi="Arial" w:cs="Arial"/>
                <w:sz w:val="20"/>
                <w:szCs w:val="20"/>
              </w:rPr>
              <w:t xml:space="preserve"> the Elections Clause of the United States Constitution bars any state court from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03579">
              <w:rPr>
                <w:rFonts w:ascii="Arial" w:hAnsi="Arial" w:cs="Arial"/>
                <w:sz w:val="20"/>
                <w:szCs w:val="20"/>
              </w:rPr>
              <w:t>considering the validity of legislatively enacted congressional district maps</w:t>
            </w:r>
            <w:r w:rsidR="00EE7C6C">
              <w:rPr>
                <w:rFonts w:ascii="Arial" w:hAnsi="Arial" w:cs="Arial"/>
                <w:sz w:val="20"/>
                <w:szCs w:val="20"/>
              </w:rPr>
              <w:t xml:space="preserve"> (i.e., independent state legislature theory).</w:t>
            </w:r>
          </w:p>
          <w:p w14:paraId="2B5C0BDB" w14:textId="5AA9A5C2" w:rsidR="00704362" w:rsidRPr="0018239E" w:rsidRDefault="00704362" w:rsidP="00704362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671F" w:rsidRPr="008D467C" w14:paraId="061BADDC" w14:textId="77777777" w:rsidTr="00C552C0">
        <w:trPr>
          <w:trHeight w:val="1692"/>
        </w:trPr>
        <w:tc>
          <w:tcPr>
            <w:tcW w:w="1998" w:type="dxa"/>
            <w:tcBorders>
              <w:left w:val="nil"/>
            </w:tcBorders>
          </w:tcPr>
          <w:p w14:paraId="4EDB31E1" w14:textId="77777777" w:rsidR="00ED671F" w:rsidRDefault="004E57B1" w:rsidP="00ED671F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Concurring in Part, Dissenting in Part</w:t>
            </w:r>
            <w:r w:rsidR="00ED671F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Rosen, J.</w:t>
            </w:r>
          </w:p>
          <w:p w14:paraId="0B207ADD" w14:textId="742F1F93" w:rsidR="004E57B1" w:rsidRPr="008D467C" w:rsidRDefault="004E57B1" w:rsidP="00ED671F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70" w:type="dxa"/>
            <w:tcBorders>
              <w:right w:val="nil"/>
            </w:tcBorders>
          </w:tcPr>
          <w:p w14:paraId="379F0783" w14:textId="77777777" w:rsidR="006265E2" w:rsidRDefault="00135B6D" w:rsidP="002275D9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Pr="00135B6D">
              <w:rPr>
                <w:rFonts w:ascii="Arial" w:hAnsi="Arial" w:cs="Arial"/>
                <w:sz w:val="20"/>
                <w:szCs w:val="20"/>
              </w:rPr>
              <w:t>The dominant political party in our Legislature recently</w:t>
            </w:r>
            <w:r w:rsidR="002275D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275D9">
              <w:rPr>
                <w:rFonts w:ascii="Arial" w:hAnsi="Arial" w:cs="Arial"/>
                <w:sz w:val="20"/>
                <w:szCs w:val="20"/>
              </w:rPr>
              <w:t>reapportioned Kansas congressional districts in such a manner as to dilute—or eliminate—the voting rights of racial</w:t>
            </w:r>
            <w:r w:rsidRPr="002275D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275D9">
              <w:rPr>
                <w:rFonts w:ascii="Arial" w:hAnsi="Arial" w:cs="Arial"/>
                <w:sz w:val="20"/>
                <w:szCs w:val="20"/>
              </w:rPr>
              <w:t>minorities as well as to propel this state's national political power toward a monolithic single-party system.</w:t>
            </w:r>
          </w:p>
          <w:p w14:paraId="147B83EA" w14:textId="77777777" w:rsidR="006265E2" w:rsidRDefault="00135B6D" w:rsidP="006265E2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2275D9">
              <w:rPr>
                <w:rFonts w:ascii="Arial" w:hAnsi="Arial" w:cs="Arial"/>
                <w:sz w:val="20"/>
                <w:szCs w:val="20"/>
              </w:rPr>
              <w:t>The</w:t>
            </w:r>
            <w:r w:rsidRPr="002275D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275D9">
              <w:rPr>
                <w:rFonts w:ascii="Arial" w:hAnsi="Arial" w:cs="Arial"/>
                <w:sz w:val="20"/>
                <w:szCs w:val="20"/>
              </w:rPr>
              <w:t>majority of our court today gives its stamp of approval to this assault on the democratic system and the</w:t>
            </w:r>
            <w:r w:rsidRPr="002275D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275D9">
              <w:rPr>
                <w:rFonts w:ascii="Arial" w:hAnsi="Arial" w:cs="Arial"/>
                <w:sz w:val="20"/>
                <w:szCs w:val="20"/>
              </w:rPr>
              <w:t xml:space="preserve">constitutional backbone of our democracy. </w:t>
            </w:r>
          </w:p>
          <w:p w14:paraId="137EFE84" w14:textId="77777777" w:rsidR="00ED671F" w:rsidRDefault="00135B6D" w:rsidP="006265E2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2275D9">
              <w:rPr>
                <w:rFonts w:ascii="Arial" w:hAnsi="Arial" w:cs="Arial"/>
                <w:sz w:val="20"/>
                <w:szCs w:val="20"/>
              </w:rPr>
              <w:t>Because I cannot countenance the subversion of the democratic</w:t>
            </w:r>
            <w:r w:rsidRPr="002275D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275D9">
              <w:rPr>
                <w:rFonts w:ascii="Arial" w:hAnsi="Arial" w:cs="Arial"/>
                <w:sz w:val="20"/>
                <w:szCs w:val="20"/>
              </w:rPr>
              <w:t>process to create a one-party system of government in this state and to suppress the collective voice of tens of</w:t>
            </w:r>
            <w:r w:rsidRPr="002275D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275D9">
              <w:rPr>
                <w:rFonts w:ascii="Arial" w:hAnsi="Arial" w:cs="Arial"/>
                <w:sz w:val="20"/>
                <w:szCs w:val="20"/>
              </w:rPr>
              <w:t>thousands of voters, I dissent.</w:t>
            </w:r>
            <w:r w:rsidRPr="002275D9">
              <w:rPr>
                <w:rFonts w:ascii="Arial" w:hAnsi="Arial" w:cs="Arial"/>
                <w:sz w:val="20"/>
                <w:szCs w:val="20"/>
              </w:rPr>
              <w:t>”</w:t>
            </w:r>
          </w:p>
          <w:p w14:paraId="03411501" w14:textId="62839829" w:rsidR="006265E2" w:rsidRDefault="00266FF1" w:rsidP="00266FF1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Pr="00266FF1">
              <w:rPr>
                <w:rFonts w:ascii="Arial" w:hAnsi="Arial" w:cs="Arial"/>
                <w:sz w:val="20"/>
                <w:szCs w:val="20"/>
              </w:rPr>
              <w:t>As the Legislature has distorted and contorted the political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6FF1">
              <w:rPr>
                <w:rFonts w:ascii="Arial" w:hAnsi="Arial" w:cs="Arial"/>
                <w:sz w:val="20"/>
                <w:szCs w:val="20"/>
              </w:rPr>
              <w:t>map in order to monopolize the position of one political party, the majority opinion distorts and contorts legal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6FF1">
              <w:rPr>
                <w:rFonts w:ascii="Arial" w:hAnsi="Arial" w:cs="Arial"/>
                <w:sz w:val="20"/>
                <w:szCs w:val="20"/>
              </w:rPr>
              <w:t>reasoning and constitutional theory to uphold racial discrimination and political chicanery.</w:t>
            </w:r>
            <w:r w:rsidRPr="00266FF1">
              <w:rPr>
                <w:rFonts w:ascii="Arial" w:hAnsi="Arial" w:cs="Arial"/>
                <w:sz w:val="20"/>
                <w:szCs w:val="20"/>
              </w:rPr>
              <w:t>”</w:t>
            </w:r>
          </w:p>
          <w:p w14:paraId="6D7139BA" w14:textId="07F8BB9E" w:rsidR="009A7417" w:rsidRDefault="000F4D9E" w:rsidP="006366F4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6366F4" w:rsidRPr="006366F4">
              <w:rPr>
                <w:rFonts w:ascii="Arial" w:hAnsi="Arial" w:cs="Arial"/>
                <w:sz w:val="20"/>
                <w:szCs w:val="20"/>
              </w:rPr>
              <w:t xml:space="preserve">Early in its opinion, the majority quickly and matter-of-factly pronounces that </w:t>
            </w:r>
            <w:r>
              <w:rPr>
                <w:rFonts w:ascii="Arial" w:hAnsi="Arial" w:cs="Arial"/>
                <w:sz w:val="20"/>
                <w:szCs w:val="20"/>
              </w:rPr>
              <w:t>‘</w:t>
            </w:r>
            <w:r w:rsidR="006366F4" w:rsidRPr="006366F4">
              <w:rPr>
                <w:rFonts w:ascii="Arial" w:hAnsi="Arial" w:cs="Arial"/>
                <w:sz w:val="20"/>
                <w:szCs w:val="20"/>
              </w:rPr>
              <w:t>the equal protection guarantees found</w:t>
            </w:r>
            <w:r w:rsidR="006366F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366F4" w:rsidRPr="006366F4">
              <w:rPr>
                <w:rFonts w:ascii="Arial" w:hAnsi="Arial" w:cs="Arial"/>
                <w:sz w:val="20"/>
                <w:szCs w:val="20"/>
              </w:rPr>
              <w:t>in section 2 are coextensive with the equal protection guarantees afforded under the Fourteenth Amendment to the</w:t>
            </w:r>
            <w:r w:rsidR="006366F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366F4" w:rsidRPr="006366F4">
              <w:rPr>
                <w:rFonts w:ascii="Arial" w:hAnsi="Arial" w:cs="Arial"/>
                <w:sz w:val="20"/>
                <w:szCs w:val="20"/>
              </w:rPr>
              <w:t>United States Constitution.</w:t>
            </w:r>
            <w:r>
              <w:rPr>
                <w:rFonts w:ascii="Arial" w:hAnsi="Arial" w:cs="Arial"/>
                <w:sz w:val="20"/>
                <w:szCs w:val="20"/>
              </w:rPr>
              <w:t>’</w:t>
            </w:r>
            <w:r w:rsidR="006366F4" w:rsidRPr="006366F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E6D5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366F4" w:rsidRPr="006366F4">
              <w:rPr>
                <w:rFonts w:ascii="Arial" w:hAnsi="Arial" w:cs="Arial"/>
                <w:sz w:val="20"/>
                <w:szCs w:val="20"/>
              </w:rPr>
              <w:t>With these few taps on a keyboard, the majority denies Kansans the very</w:t>
            </w:r>
            <w:r w:rsidR="006366F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366F4" w:rsidRPr="006366F4">
              <w:rPr>
                <w:rFonts w:ascii="Arial" w:hAnsi="Arial" w:cs="Arial"/>
                <w:sz w:val="20"/>
                <w:szCs w:val="20"/>
              </w:rPr>
              <w:t>thing our founders envisioned: a people's government that fervently guards the people's equal benefit from and</w:t>
            </w:r>
            <w:r w:rsidR="006366F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366F4" w:rsidRPr="006366F4">
              <w:rPr>
                <w:rFonts w:ascii="Arial" w:hAnsi="Arial" w:cs="Arial"/>
                <w:sz w:val="20"/>
                <w:szCs w:val="20"/>
              </w:rPr>
              <w:t>access to the law</w:t>
            </w:r>
            <w:r w:rsidR="00875C35">
              <w:rPr>
                <w:rFonts w:ascii="Arial" w:hAnsi="Arial" w:cs="Arial"/>
                <w:sz w:val="20"/>
                <w:szCs w:val="20"/>
              </w:rPr>
              <w:t>. . . .”</w:t>
            </w:r>
          </w:p>
          <w:p w14:paraId="49B59401" w14:textId="77777777" w:rsidR="009D5EB4" w:rsidRDefault="009D5EB4" w:rsidP="009D5EB4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9D5EB4">
              <w:rPr>
                <w:rFonts w:ascii="Arial" w:hAnsi="Arial" w:cs="Arial"/>
                <w:sz w:val="20"/>
                <w:szCs w:val="20"/>
              </w:rPr>
              <w:t>The first thing about section 2's text that the majority ignores is the most obvious: it is different from the text in the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D5EB4">
              <w:rPr>
                <w:rFonts w:ascii="Arial" w:hAnsi="Arial" w:cs="Arial"/>
                <w:sz w:val="20"/>
                <w:szCs w:val="20"/>
              </w:rPr>
              <w:t xml:space="preserve">Fourteenth Amendment. </w:t>
            </w:r>
          </w:p>
          <w:p w14:paraId="4058E0CB" w14:textId="05A94D46" w:rsidR="00227DFD" w:rsidRDefault="009D5EB4" w:rsidP="009D5EB4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9D5EB4">
              <w:rPr>
                <w:rFonts w:ascii="Arial" w:hAnsi="Arial" w:cs="Arial"/>
                <w:sz w:val="20"/>
                <w:szCs w:val="20"/>
              </w:rPr>
              <w:t>This—"[a]ll political power is inherent in the people, and all free governments are founded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D5EB4">
              <w:rPr>
                <w:rFonts w:ascii="Arial" w:hAnsi="Arial" w:cs="Arial"/>
                <w:sz w:val="20"/>
                <w:szCs w:val="20"/>
              </w:rPr>
              <w:t>on their authority, and are instituted for their equal protection and benefit"—is not the same as this—"No state shall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D5EB4">
              <w:rPr>
                <w:rFonts w:ascii="Arial" w:hAnsi="Arial" w:cs="Arial"/>
                <w:sz w:val="20"/>
                <w:szCs w:val="20"/>
              </w:rPr>
              <w:t>. . . deny to any person within its jurisdiction the equal protection of the laws."</w:t>
            </w:r>
          </w:p>
          <w:p w14:paraId="4B061F0A" w14:textId="6D29B046" w:rsidR="00114328" w:rsidRPr="00114328" w:rsidRDefault="00114328" w:rsidP="00114328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114328">
              <w:rPr>
                <w:rFonts w:ascii="Arial" w:hAnsi="Arial" w:cs="Arial"/>
                <w:sz w:val="20"/>
                <w:szCs w:val="20"/>
              </w:rPr>
              <w:t>One is a positive conferral of rights; the other is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14328">
              <w:rPr>
                <w:rFonts w:ascii="Arial" w:hAnsi="Arial" w:cs="Arial"/>
                <w:sz w:val="20"/>
                <w:szCs w:val="20"/>
              </w:rPr>
              <w:t>framed in the negative.</w:t>
            </w:r>
          </w:p>
          <w:p w14:paraId="67A49651" w14:textId="17BDBB7C" w:rsidR="00E92EB9" w:rsidRDefault="00EB2A35" w:rsidP="00AE131F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Kansas also ratified its Section 2 in 1859, nine years before the ratification of the Fourteenth Amendment</w:t>
            </w:r>
            <w:r w:rsidR="006A0C8D">
              <w:rPr>
                <w:rFonts w:ascii="Arial" w:hAnsi="Arial" w:cs="Arial"/>
                <w:sz w:val="20"/>
                <w:szCs w:val="20"/>
              </w:rPr>
              <w:t xml:space="preserve">; the historical origins and context also </w:t>
            </w:r>
            <w:r w:rsidR="006A0C8D" w:rsidRPr="006A0C8D">
              <w:rPr>
                <w:rFonts w:ascii="Arial" w:hAnsi="Arial" w:cs="Arial"/>
                <w:sz w:val="20"/>
                <w:szCs w:val="20"/>
              </w:rPr>
              <w:t>make it plain</w:t>
            </w:r>
            <w:r w:rsidR="00AE131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A0C8D" w:rsidRPr="00AE131F">
              <w:rPr>
                <w:rFonts w:ascii="Arial" w:hAnsi="Arial" w:cs="Arial"/>
                <w:sz w:val="20"/>
                <w:szCs w:val="20"/>
              </w:rPr>
              <w:t xml:space="preserve">that the declarations have separate meanings. </w:t>
            </w:r>
          </w:p>
          <w:p w14:paraId="3E8E0C72" w14:textId="68EF6136" w:rsidR="00CF51EF" w:rsidRPr="00F34496" w:rsidRDefault="00092E2C" w:rsidP="00F34496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Pr="00092E2C">
              <w:rPr>
                <w:rFonts w:ascii="Arial" w:hAnsi="Arial" w:cs="Arial"/>
                <w:sz w:val="20"/>
                <w:szCs w:val="20"/>
              </w:rPr>
              <w:t xml:space="preserve">I would have </w:t>
            </w:r>
            <w:r>
              <w:rPr>
                <w:rFonts w:ascii="Arial" w:hAnsi="Arial" w:cs="Arial"/>
                <w:sz w:val="20"/>
                <w:szCs w:val="20"/>
              </w:rPr>
              <w:t>. . .</w:t>
            </w:r>
            <w:r w:rsidRPr="00092E2C">
              <w:rPr>
                <w:rFonts w:ascii="Arial" w:hAnsi="Arial" w:cs="Arial"/>
                <w:sz w:val="20"/>
                <w:szCs w:val="20"/>
              </w:rPr>
              <w:t xml:space="preserve"> concluded that </w:t>
            </w:r>
            <w:r w:rsidR="00DC2189">
              <w:rPr>
                <w:rFonts w:ascii="Arial" w:hAnsi="Arial" w:cs="Arial"/>
                <w:sz w:val="20"/>
                <w:szCs w:val="20"/>
              </w:rPr>
              <w:t>[Section 2]</w:t>
            </w:r>
            <w:r w:rsidRPr="00092E2C">
              <w:rPr>
                <w:rFonts w:ascii="Arial" w:hAnsi="Arial" w:cs="Arial"/>
                <w:sz w:val="20"/>
                <w:szCs w:val="20"/>
              </w:rPr>
              <w:t xml:space="preserve"> is a rich and generous declaration that guarantees the people of Kansas protections</w:t>
            </w:r>
            <w:r w:rsidR="00A454C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454C1">
              <w:rPr>
                <w:rFonts w:ascii="Arial" w:hAnsi="Arial" w:cs="Arial"/>
                <w:sz w:val="20"/>
                <w:szCs w:val="20"/>
              </w:rPr>
              <w:t>that are broader than those found in the federal Equal Protection Clause. This reflection would support the legal</w:t>
            </w:r>
            <w:r w:rsidR="00A454C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454C1">
              <w:rPr>
                <w:rFonts w:ascii="Arial" w:hAnsi="Arial" w:cs="Arial"/>
                <w:sz w:val="20"/>
                <w:szCs w:val="20"/>
              </w:rPr>
              <w:t>framework and conclusion my dissenting colleagues present today: Ad Astra 2's invidious discrimination against</w:t>
            </w:r>
            <w:r w:rsidR="00252B2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52B2F">
              <w:rPr>
                <w:rFonts w:ascii="Arial" w:hAnsi="Arial" w:cs="Arial"/>
                <w:sz w:val="20"/>
                <w:szCs w:val="20"/>
              </w:rPr>
              <w:t xml:space="preserve">people based on past political speech and race </w:t>
            </w:r>
            <w:r w:rsidRPr="006740AC">
              <w:rPr>
                <w:rFonts w:ascii="Arial" w:hAnsi="Arial" w:cs="Arial"/>
                <w:sz w:val="20"/>
                <w:szCs w:val="20"/>
                <w:u w:val="single"/>
              </w:rPr>
              <w:t>certainly presents a justiciable question</w:t>
            </w:r>
            <w:r w:rsidRPr="00252B2F">
              <w:rPr>
                <w:rFonts w:ascii="Arial" w:hAnsi="Arial" w:cs="Arial"/>
                <w:sz w:val="20"/>
                <w:szCs w:val="20"/>
              </w:rPr>
              <w:t xml:space="preserve"> and clearly violates the</w:t>
            </w:r>
            <w:r w:rsidR="000B2A3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B2A3E">
              <w:rPr>
                <w:rFonts w:ascii="Arial" w:hAnsi="Arial" w:cs="Arial"/>
                <w:sz w:val="20"/>
                <w:szCs w:val="20"/>
              </w:rPr>
              <w:t>protections enshrined in the Kansas Constitution</w:t>
            </w:r>
            <w:r w:rsidR="00BA12A1">
              <w:rPr>
                <w:rFonts w:ascii="Arial" w:hAnsi="Arial" w:cs="Arial"/>
                <w:sz w:val="20"/>
                <w:szCs w:val="20"/>
              </w:rPr>
              <w:t xml:space="preserve"> [emphasis added]</w:t>
            </w:r>
            <w:r w:rsidRPr="000B2A3E">
              <w:rPr>
                <w:rFonts w:ascii="Arial" w:hAnsi="Arial" w:cs="Arial"/>
                <w:sz w:val="20"/>
                <w:szCs w:val="20"/>
              </w:rPr>
              <w:t>.</w:t>
            </w:r>
            <w:r w:rsidR="00F34496">
              <w:rPr>
                <w:rFonts w:ascii="Arial" w:hAnsi="Arial" w:cs="Arial"/>
                <w:sz w:val="20"/>
                <w:szCs w:val="20"/>
              </w:rPr>
              <w:t>”</w:t>
            </w:r>
          </w:p>
          <w:p w14:paraId="78162F26" w14:textId="374C4007" w:rsidR="00F917BF" w:rsidRPr="002275D9" w:rsidRDefault="00F917BF" w:rsidP="00F917B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671F" w:rsidRPr="008D467C" w14:paraId="7ADCBFFC" w14:textId="77777777" w:rsidTr="00B21129">
        <w:trPr>
          <w:trHeight w:val="71"/>
        </w:trPr>
        <w:tc>
          <w:tcPr>
            <w:tcW w:w="1998" w:type="dxa"/>
            <w:tcBorders>
              <w:left w:val="nil"/>
            </w:tcBorders>
          </w:tcPr>
          <w:p w14:paraId="6D5B1E9C" w14:textId="77777777" w:rsidR="004E57B1" w:rsidRDefault="004E57B1" w:rsidP="00ED671F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Concurring in Part, Dissenting in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Part: Biles, J., joined by Rosen and Standridge, J.J.</w:t>
            </w:r>
          </w:p>
          <w:p w14:paraId="4DC58A65" w14:textId="5A0783E0" w:rsidR="00ED671F" w:rsidRPr="008D467C" w:rsidRDefault="00ED671F" w:rsidP="00ED671F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D467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7470" w:type="dxa"/>
            <w:tcBorders>
              <w:right w:val="nil"/>
            </w:tcBorders>
          </w:tcPr>
          <w:p w14:paraId="7FF65741" w14:textId="77777777" w:rsidR="00665B43" w:rsidRDefault="00665B43" w:rsidP="00665B43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665B43">
              <w:rPr>
                <w:rFonts w:ascii="Arial" w:hAnsi="Arial" w:cs="Arial"/>
                <w:sz w:val="20"/>
                <w:szCs w:val="20"/>
              </w:rPr>
              <w:lastRenderedPageBreak/>
              <w:t xml:space="preserve">These circumstances cry out for judicial review. </w:t>
            </w:r>
          </w:p>
          <w:p w14:paraId="51E42D9E" w14:textId="77777777" w:rsidR="00ED671F" w:rsidRDefault="00665B43" w:rsidP="00665B43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665B43">
              <w:rPr>
                <w:rFonts w:ascii="Arial" w:hAnsi="Arial" w:cs="Arial"/>
                <w:sz w:val="20"/>
                <w:szCs w:val="20"/>
              </w:rPr>
              <w:lastRenderedPageBreak/>
              <w:t>The district court's factual findings lay bare how this "Ad Astra 2"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65B43">
              <w:rPr>
                <w:rFonts w:ascii="Arial" w:hAnsi="Arial" w:cs="Arial"/>
                <w:sz w:val="20"/>
                <w:szCs w:val="20"/>
              </w:rPr>
              <w:t>legislation intentionally targets fellow Kansans because of their voting history, their prior expression of political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65B43">
              <w:rPr>
                <w:rFonts w:ascii="Arial" w:hAnsi="Arial" w:cs="Arial"/>
                <w:sz w:val="20"/>
                <w:szCs w:val="20"/>
              </w:rPr>
              <w:t>views, their political affiliations, and the color of their skin.</w:t>
            </w:r>
          </w:p>
          <w:p w14:paraId="2680AB74" w14:textId="77777777" w:rsidR="00E9616B" w:rsidRDefault="000A4FC3" w:rsidP="000F6456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Pr="000A4FC3">
              <w:rPr>
                <w:rFonts w:ascii="Arial" w:hAnsi="Arial" w:cs="Arial"/>
                <w:sz w:val="20"/>
                <w:szCs w:val="20"/>
              </w:rPr>
              <w:t>I can't abide by the majority's decision to look the other way by invoking the political question doctrine for the first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A4FC3">
              <w:rPr>
                <w:rFonts w:ascii="Arial" w:hAnsi="Arial" w:cs="Arial"/>
                <w:sz w:val="20"/>
                <w:szCs w:val="20"/>
              </w:rPr>
              <w:t xml:space="preserve">time in this context.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A4FC3">
              <w:rPr>
                <w:rFonts w:ascii="Arial" w:hAnsi="Arial" w:cs="Arial"/>
                <w:sz w:val="20"/>
                <w:szCs w:val="20"/>
              </w:rPr>
              <w:t xml:space="preserve">And when I apply the legal analysis to the established facts, I don't like what I see.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A4FC3">
              <w:rPr>
                <w:rFonts w:ascii="Arial" w:hAnsi="Arial" w:cs="Arial"/>
                <w:sz w:val="20"/>
                <w:szCs w:val="20"/>
              </w:rPr>
              <w:t>I also would</w:t>
            </w:r>
            <w:r w:rsidR="000F645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F6456">
              <w:rPr>
                <w:rFonts w:ascii="Arial" w:hAnsi="Arial" w:cs="Arial"/>
                <w:sz w:val="20"/>
                <w:szCs w:val="20"/>
              </w:rPr>
              <w:t xml:space="preserve">apply a state-based analysis to the race-based claims under the Kansas Constitution. </w:t>
            </w:r>
            <w:r w:rsidR="003904D4" w:rsidRPr="000F645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F6456">
              <w:rPr>
                <w:rFonts w:ascii="Arial" w:hAnsi="Arial" w:cs="Arial"/>
                <w:sz w:val="20"/>
                <w:szCs w:val="20"/>
              </w:rPr>
              <w:t>I would affirm the</w:t>
            </w:r>
            <w:r w:rsidR="003904D4" w:rsidRPr="000F645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F6456">
              <w:rPr>
                <w:rFonts w:ascii="Arial" w:hAnsi="Arial" w:cs="Arial"/>
                <w:sz w:val="20"/>
                <w:szCs w:val="20"/>
              </w:rPr>
              <w:t>district court although my rationale differs in a few places.</w:t>
            </w:r>
            <w:r w:rsidR="000F6456" w:rsidRPr="000F6456">
              <w:rPr>
                <w:rFonts w:ascii="Arial" w:hAnsi="Arial" w:cs="Arial"/>
                <w:sz w:val="20"/>
                <w:szCs w:val="20"/>
              </w:rPr>
              <w:t>”</w:t>
            </w:r>
          </w:p>
          <w:p w14:paraId="3FB9BA59" w14:textId="77777777" w:rsidR="00EB1403" w:rsidRDefault="00EB1403" w:rsidP="00EB1403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EB1403">
              <w:rPr>
                <w:rFonts w:ascii="Arial" w:hAnsi="Arial" w:cs="Arial"/>
                <w:sz w:val="20"/>
                <w:szCs w:val="20"/>
              </w:rPr>
              <w:t xml:space="preserve">t is important to appreciate the judicial bait-and-switch that has happened. </w:t>
            </w:r>
          </w:p>
          <w:p w14:paraId="7448AEF1" w14:textId="7C1A72B6" w:rsidR="005979F7" w:rsidRDefault="00EB1403" w:rsidP="00EB1403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EB1403">
              <w:rPr>
                <w:rFonts w:ascii="Arial" w:hAnsi="Arial" w:cs="Arial"/>
                <w:sz w:val="20"/>
                <w:szCs w:val="20"/>
              </w:rPr>
              <w:t xml:space="preserve">First, the </w:t>
            </w:r>
            <w:r w:rsidR="006F3DD1">
              <w:rPr>
                <w:rFonts w:ascii="Arial" w:hAnsi="Arial" w:cs="Arial"/>
                <w:sz w:val="20"/>
                <w:szCs w:val="20"/>
              </w:rPr>
              <w:t>U.S.</w:t>
            </w:r>
            <w:r w:rsidRPr="00EB1403">
              <w:rPr>
                <w:rFonts w:ascii="Arial" w:hAnsi="Arial" w:cs="Arial"/>
                <w:sz w:val="20"/>
                <w:szCs w:val="20"/>
              </w:rPr>
              <w:t xml:space="preserve"> Supreme Court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B1403">
              <w:rPr>
                <w:rFonts w:ascii="Arial" w:hAnsi="Arial" w:cs="Arial"/>
                <w:sz w:val="20"/>
                <w:szCs w:val="20"/>
              </w:rPr>
              <w:t>held in a recent 5-4 decision that federal courts must avoid partisan gerrymandering claims from the various states.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B6DA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B6DAF">
              <w:rPr>
                <w:rFonts w:ascii="Arial" w:hAnsi="Arial" w:cs="Arial"/>
                <w:i/>
                <w:iCs/>
                <w:sz w:val="20"/>
                <w:szCs w:val="20"/>
              </w:rPr>
              <w:t>Rucho</w:t>
            </w:r>
            <w:r w:rsidRPr="00EB1403">
              <w:rPr>
                <w:rFonts w:ascii="Arial" w:hAnsi="Arial" w:cs="Arial"/>
                <w:sz w:val="20"/>
                <w:szCs w:val="20"/>
              </w:rPr>
              <w:t xml:space="preserve">.  </w:t>
            </w:r>
            <w:r w:rsidRPr="00EB1403">
              <w:rPr>
                <w:rFonts w:ascii="Arial" w:hAnsi="Arial" w:cs="Arial"/>
                <w:sz w:val="20"/>
                <w:szCs w:val="20"/>
              </w:rPr>
              <w:t>But in doing so, the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B1403">
              <w:rPr>
                <w:rFonts w:ascii="Arial" w:hAnsi="Arial" w:cs="Arial"/>
                <w:sz w:val="20"/>
                <w:szCs w:val="20"/>
              </w:rPr>
              <w:t>Court's majority noted state courts were still available to stand guard against constitutional mischief.</w:t>
            </w:r>
          </w:p>
          <w:p w14:paraId="57096007" w14:textId="5BA35771" w:rsidR="001B6DAF" w:rsidRDefault="001B6DAF" w:rsidP="001B6DAF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1B6DAF">
              <w:rPr>
                <w:rFonts w:ascii="Arial" w:hAnsi="Arial" w:cs="Arial"/>
                <w:sz w:val="20"/>
                <w:szCs w:val="20"/>
              </w:rPr>
              <w:t xml:space="preserve">Plaintiffs here dutifully followed </w:t>
            </w:r>
            <w:r w:rsidRPr="001B6DAF">
              <w:rPr>
                <w:rFonts w:ascii="Arial" w:hAnsi="Arial" w:cs="Arial"/>
                <w:i/>
                <w:iCs/>
                <w:sz w:val="20"/>
                <w:szCs w:val="20"/>
              </w:rPr>
              <w:t>Rucho</w:t>
            </w:r>
            <w:r w:rsidRPr="001B6DAF">
              <w:rPr>
                <w:rFonts w:ascii="Arial" w:hAnsi="Arial" w:cs="Arial"/>
                <w:sz w:val="20"/>
                <w:szCs w:val="20"/>
              </w:rPr>
              <w:t>'s prompt and brought their case against Ad Astra 2 to state court, even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B6DAF">
              <w:rPr>
                <w:rFonts w:ascii="Arial" w:hAnsi="Arial" w:cs="Arial"/>
                <w:sz w:val="20"/>
                <w:szCs w:val="20"/>
              </w:rPr>
              <w:t>though federal court is where these issues had been heard in our state over the past several decades.</w:t>
            </w:r>
          </w:p>
          <w:p w14:paraId="52CA23E3" w14:textId="789AFB18" w:rsidR="00F773E7" w:rsidRPr="00F773E7" w:rsidRDefault="004E28B0" w:rsidP="00F773E7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Then, </w:t>
            </w:r>
            <w:r w:rsidRPr="004E28B0">
              <w:rPr>
                <w:rFonts w:ascii="Arial" w:hAnsi="Arial" w:cs="Arial"/>
                <w:sz w:val="20"/>
                <w:szCs w:val="20"/>
              </w:rPr>
              <w:t>the majority slams the courthouse door shut by declaring: "[W]e can discern no judicially manageable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E28B0">
              <w:rPr>
                <w:rFonts w:ascii="Arial" w:hAnsi="Arial" w:cs="Arial"/>
                <w:sz w:val="20"/>
                <w:szCs w:val="20"/>
              </w:rPr>
              <w:t>standards by which to judge a claim that the Legislature relied too heavily on the otherwise lawful factor of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E28B0">
              <w:rPr>
                <w:rFonts w:ascii="Arial" w:hAnsi="Arial" w:cs="Arial"/>
                <w:sz w:val="20"/>
                <w:szCs w:val="20"/>
              </w:rPr>
              <w:t>partisanship when drawing [congressional] district lines."</w:t>
            </w:r>
          </w:p>
          <w:p w14:paraId="20C106F8" w14:textId="527AF9B3" w:rsidR="005E7360" w:rsidRDefault="00875F40" w:rsidP="00875F40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875F40">
              <w:rPr>
                <w:rFonts w:ascii="Arial" w:hAnsi="Arial" w:cs="Arial"/>
                <w:sz w:val="20"/>
                <w:szCs w:val="20"/>
              </w:rPr>
              <w:t>If these issues were political questions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75F40">
              <w:rPr>
                <w:rFonts w:ascii="Arial" w:hAnsi="Arial" w:cs="Arial"/>
                <w:sz w:val="20"/>
                <w:szCs w:val="20"/>
              </w:rPr>
              <w:t>without manageable judicial standards, why would our court so consistently have bothered to even acknowledge its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75F40">
              <w:rPr>
                <w:rFonts w:ascii="Arial" w:hAnsi="Arial" w:cs="Arial"/>
                <w:sz w:val="20"/>
                <w:szCs w:val="20"/>
              </w:rPr>
              <w:t>concern about partisan gerrymandering over so many prior decades?</w:t>
            </w:r>
          </w:p>
          <w:p w14:paraId="29B5F608" w14:textId="01F845F0" w:rsidR="00337DD2" w:rsidRDefault="00337DD2" w:rsidP="00337DD2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337DD2">
              <w:rPr>
                <w:rFonts w:ascii="Arial" w:hAnsi="Arial" w:cs="Arial"/>
                <w:sz w:val="20"/>
                <w:szCs w:val="20"/>
              </w:rPr>
              <w:t>The majority remains silent about that, but the answer is obvious from the caselaw.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37DD2">
              <w:rPr>
                <w:rFonts w:ascii="Arial" w:hAnsi="Arial" w:cs="Arial"/>
                <w:sz w:val="20"/>
                <w:szCs w:val="20"/>
              </w:rPr>
              <w:t xml:space="preserve"> Our court has had no difficulty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37DD2">
              <w:rPr>
                <w:rFonts w:ascii="Arial" w:hAnsi="Arial" w:cs="Arial"/>
                <w:sz w:val="20"/>
                <w:szCs w:val="20"/>
              </w:rPr>
              <w:t>seeing its job as protecting constitutional rights when redistricting comes around beyond just doing the population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37DD2">
              <w:rPr>
                <w:rFonts w:ascii="Arial" w:hAnsi="Arial" w:cs="Arial"/>
                <w:sz w:val="20"/>
                <w:szCs w:val="20"/>
              </w:rPr>
              <w:t>math.</w:t>
            </w:r>
            <w:r w:rsidR="003437D0">
              <w:rPr>
                <w:rFonts w:ascii="Arial" w:hAnsi="Arial" w:cs="Arial"/>
                <w:sz w:val="20"/>
                <w:szCs w:val="20"/>
              </w:rPr>
              <w:t xml:space="preserve">  (Dissent cites various cases where the judiciary intervened.</w:t>
            </w:r>
            <w:r w:rsidR="00C91E67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C91E67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Id. </w:t>
            </w:r>
            <w:r w:rsidR="00C91E67">
              <w:rPr>
                <w:rFonts w:ascii="Arial" w:hAnsi="Arial" w:cs="Arial"/>
                <w:sz w:val="20"/>
                <w:szCs w:val="20"/>
              </w:rPr>
              <w:t>at 206–07.</w:t>
            </w:r>
            <w:r w:rsidR="003437D0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2C9FAC61" w14:textId="7F8DC1BA" w:rsidR="00F47825" w:rsidRDefault="00D16F9C" w:rsidP="00F47825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F47825" w:rsidRPr="00F47825">
              <w:rPr>
                <w:rFonts w:ascii="Arial" w:hAnsi="Arial" w:cs="Arial"/>
                <w:sz w:val="20"/>
                <w:szCs w:val="20"/>
              </w:rPr>
              <w:t>The majority cannot square its retreat on this issue with our court's nine reapportionment cases since</w:t>
            </w:r>
            <w:r w:rsidR="00F4782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47825" w:rsidRPr="00F47825">
              <w:rPr>
                <w:rFonts w:ascii="Arial" w:hAnsi="Arial" w:cs="Arial"/>
                <w:sz w:val="20"/>
                <w:szCs w:val="20"/>
              </w:rPr>
              <w:t>1963.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  <w:p w14:paraId="7C4DE8B0" w14:textId="6D8A08DF" w:rsidR="008F5BE4" w:rsidRDefault="008F5BE4" w:rsidP="00793CC2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Pr="008F5BE4">
              <w:rPr>
                <w:rFonts w:ascii="Arial" w:hAnsi="Arial" w:cs="Arial"/>
                <w:sz w:val="20"/>
                <w:szCs w:val="20"/>
              </w:rPr>
              <w:t>he answer to the majority's question of how much is too much is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F5BE4">
              <w:rPr>
                <w:rFonts w:ascii="Arial" w:hAnsi="Arial" w:cs="Arial"/>
                <w:sz w:val="20"/>
                <w:szCs w:val="20"/>
              </w:rPr>
              <w:t>s</w:t>
            </w:r>
            <w:r w:rsidRPr="008F5BE4">
              <w:rPr>
                <w:rFonts w:ascii="Arial" w:hAnsi="Arial" w:cs="Arial"/>
                <w:sz w:val="20"/>
                <w:szCs w:val="20"/>
              </w:rPr>
              <w:t>traightforward: partisan gerrymandering is "too much" when partisanship motivated the state action in question</w:t>
            </w:r>
            <w:r w:rsidR="00793CC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93CC2">
              <w:rPr>
                <w:rFonts w:ascii="Arial" w:hAnsi="Arial" w:cs="Arial"/>
                <w:sz w:val="20"/>
                <w:szCs w:val="20"/>
              </w:rPr>
              <w:t>when there is no other legitimate rationale driving the outcome.</w:t>
            </w:r>
          </w:p>
          <w:p w14:paraId="638351CA" w14:textId="68A040FC" w:rsidR="00CF2210" w:rsidRDefault="00CF2210" w:rsidP="00CF2210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CF2210">
              <w:rPr>
                <w:rFonts w:ascii="Arial" w:hAnsi="Arial" w:cs="Arial"/>
                <w:sz w:val="20"/>
                <w:szCs w:val="20"/>
              </w:rPr>
              <w:t>Viewed in this manner, our court's role is confined not to determining the best policy, but to deciding whether the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F2210">
              <w:rPr>
                <w:rFonts w:ascii="Arial" w:hAnsi="Arial" w:cs="Arial"/>
                <w:sz w:val="20"/>
                <w:szCs w:val="20"/>
              </w:rPr>
              <w:t>Legislature's discretionary decisions can be explained by a lawful government aim.</w:t>
            </w:r>
          </w:p>
          <w:p w14:paraId="30281EDB" w14:textId="77777777" w:rsidR="00F773E7" w:rsidRPr="00644CEA" w:rsidRDefault="00F773E7" w:rsidP="00F773E7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District Court did not “go rogue.”  </w:t>
            </w:r>
            <w:r w:rsidRPr="00644CEA">
              <w:rPr>
                <w:rFonts w:ascii="Arial" w:hAnsi="Arial" w:cs="Arial"/>
                <w:sz w:val="20"/>
                <w:szCs w:val="20"/>
              </w:rPr>
              <w:t>It adopted a traditional equal protection framework firmly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44CEA">
              <w:rPr>
                <w:rFonts w:ascii="Arial" w:hAnsi="Arial" w:cs="Arial"/>
                <w:sz w:val="20"/>
                <w:szCs w:val="20"/>
              </w:rPr>
              <w:t>founded in our caselaw—triggered by its initial determination that the questioned state action, i.e., Ad Astra 2's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44CEA">
              <w:rPr>
                <w:rFonts w:ascii="Arial" w:hAnsi="Arial" w:cs="Arial"/>
                <w:sz w:val="20"/>
                <w:szCs w:val="20"/>
              </w:rPr>
              <w:t>enactment, resulted from the intentional targeting of constitutionally protected activities.</w:t>
            </w:r>
          </w:p>
          <w:p w14:paraId="0E3495D2" w14:textId="77777777" w:rsidR="00F773E7" w:rsidRDefault="00F773E7" w:rsidP="00F773E7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FE0588">
              <w:rPr>
                <w:rFonts w:ascii="Arial" w:hAnsi="Arial" w:cs="Arial"/>
                <w:sz w:val="20"/>
                <w:szCs w:val="20"/>
              </w:rPr>
              <w:t>The district court concluded "the Kansas Constitution's equal protection, free speech and assembly, and suffrage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E0588">
              <w:rPr>
                <w:rFonts w:ascii="Arial" w:hAnsi="Arial" w:cs="Arial"/>
                <w:sz w:val="20"/>
                <w:szCs w:val="20"/>
              </w:rPr>
              <w:t xml:space="preserve">provisions provide manageable standards to adjudicate partisan gerrymandering claims."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12646019" w14:textId="77777777" w:rsidR="00F773E7" w:rsidRDefault="00F773E7" w:rsidP="00F773E7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FE0588">
              <w:rPr>
                <w:rFonts w:ascii="Arial" w:hAnsi="Arial" w:cs="Arial"/>
                <w:sz w:val="20"/>
                <w:szCs w:val="20"/>
              </w:rPr>
              <w:t>It further noted, "The key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E0588">
              <w:rPr>
                <w:rFonts w:ascii="Arial" w:hAnsi="Arial" w:cs="Arial"/>
                <w:sz w:val="20"/>
                <w:szCs w:val="20"/>
              </w:rPr>
              <w:t>provisions here—involving equality, free speech, and suffrage—have long been the basis of litigation in state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E0588">
              <w:rPr>
                <w:rFonts w:ascii="Arial" w:hAnsi="Arial" w:cs="Arial"/>
                <w:sz w:val="20"/>
                <w:szCs w:val="20"/>
              </w:rPr>
              <w:t xml:space="preserve">courts, from which Kansas courts can draw and provide manageable standards." </w:t>
            </w:r>
          </w:p>
          <w:p w14:paraId="45B79DA8" w14:textId="3BA73BB8" w:rsidR="00F773E7" w:rsidRPr="00F773E7" w:rsidRDefault="00F773E7" w:rsidP="00F773E7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FE0588">
              <w:rPr>
                <w:rFonts w:ascii="Arial" w:hAnsi="Arial" w:cs="Arial"/>
                <w:sz w:val="20"/>
                <w:szCs w:val="20"/>
              </w:rPr>
              <w:lastRenderedPageBreak/>
              <w:t>And the court added, "[W]hile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E0588">
              <w:rPr>
                <w:rFonts w:ascii="Arial" w:hAnsi="Arial" w:cs="Arial"/>
                <w:sz w:val="20"/>
                <w:szCs w:val="20"/>
              </w:rPr>
              <w:t>federal courts may be unable to hear partisan gerrymandering claims under the federal Constitution, the Kansas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E0588">
              <w:rPr>
                <w:rFonts w:ascii="Arial" w:hAnsi="Arial" w:cs="Arial"/>
                <w:sz w:val="20"/>
                <w:szCs w:val="20"/>
              </w:rPr>
              <w:t>Constitution allows this [state] Court to hear those claims."</w:t>
            </w:r>
          </w:p>
          <w:p w14:paraId="02AECDDD" w14:textId="6C9FB38A" w:rsidR="00EF02F0" w:rsidRDefault="00526D57" w:rsidP="00526D57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Pr="00526D57">
              <w:rPr>
                <w:rFonts w:ascii="Arial" w:hAnsi="Arial" w:cs="Arial"/>
                <w:sz w:val="20"/>
                <w:szCs w:val="20"/>
              </w:rPr>
              <w:t>In updating district lines, the levers of government were not operated to achieve permissible ends, even with some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26D57">
              <w:rPr>
                <w:rFonts w:ascii="Arial" w:hAnsi="Arial" w:cs="Arial"/>
                <w:sz w:val="20"/>
                <w:szCs w:val="20"/>
              </w:rPr>
              <w:t xml:space="preserve">tolerance for incidental, political benefits.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26D57">
              <w:rPr>
                <w:rFonts w:ascii="Arial" w:hAnsi="Arial" w:cs="Arial"/>
                <w:sz w:val="20"/>
                <w:szCs w:val="20"/>
              </w:rPr>
              <w:t>And lacking an appropriate government interest to justify its effects, Ad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26D57">
              <w:rPr>
                <w:rFonts w:ascii="Arial" w:hAnsi="Arial" w:cs="Arial"/>
                <w:sz w:val="20"/>
                <w:szCs w:val="20"/>
              </w:rPr>
              <w:t>Astra 2 deprives Kansans the equal protection of the laws of this state.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  <w:p w14:paraId="1275BDA4" w14:textId="16F614A5" w:rsidR="00EA7F8C" w:rsidRPr="00D62571" w:rsidRDefault="00EA7F8C" w:rsidP="00526D57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D62571">
              <w:rPr>
                <w:rFonts w:ascii="Arial" w:hAnsi="Arial" w:cs="Arial"/>
                <w:sz w:val="20"/>
                <w:szCs w:val="20"/>
                <w:highlight w:val="yellow"/>
              </w:rPr>
              <w:t>[As a note, the Dissent’s discussion of racial gerrymandering and racial vote dilution was excluded, as beyond the scope of our review.]</w:t>
            </w:r>
          </w:p>
          <w:p w14:paraId="2E5B2D11" w14:textId="2E7C5EAC" w:rsidR="00EB1403" w:rsidRPr="00EB1403" w:rsidRDefault="00EB1403" w:rsidP="00EB1403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671F" w:rsidRPr="008D467C" w14:paraId="657474FF" w14:textId="77777777" w:rsidTr="00B07787">
        <w:trPr>
          <w:trHeight w:val="1692"/>
        </w:trPr>
        <w:tc>
          <w:tcPr>
            <w:tcW w:w="1998" w:type="dxa"/>
            <w:tcBorders>
              <w:left w:val="nil"/>
              <w:bottom w:val="nil"/>
            </w:tcBorders>
          </w:tcPr>
          <w:p w14:paraId="37041526" w14:textId="77777777" w:rsidR="00ED671F" w:rsidRPr="008D467C" w:rsidRDefault="00ED671F" w:rsidP="00ED671F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D467C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 xml:space="preserve">Notes/ </w:t>
            </w:r>
          </w:p>
          <w:p w14:paraId="58605F49" w14:textId="32AC2F7E" w:rsidR="00ED671F" w:rsidRPr="008D467C" w:rsidRDefault="00ED671F" w:rsidP="00ED671F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D467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Reactions </w:t>
            </w:r>
          </w:p>
        </w:tc>
        <w:tc>
          <w:tcPr>
            <w:tcW w:w="7470" w:type="dxa"/>
            <w:tcBorders>
              <w:bottom w:val="nil"/>
              <w:right w:val="nil"/>
            </w:tcBorders>
          </w:tcPr>
          <w:p w14:paraId="04344CD7" w14:textId="0056963F" w:rsidR="00ED671F" w:rsidRPr="008D467C" w:rsidRDefault="00512A2E" w:rsidP="00ED671F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N/a.</w:t>
            </w:r>
          </w:p>
        </w:tc>
      </w:tr>
    </w:tbl>
    <w:p w14:paraId="6EE97782" w14:textId="77777777" w:rsidR="00CA7970" w:rsidRPr="00750AC1" w:rsidRDefault="00CA7970">
      <w:pPr>
        <w:rPr>
          <w:color w:val="FF0000"/>
          <w:szCs w:val="20"/>
        </w:rPr>
      </w:pPr>
    </w:p>
    <w:sectPr w:rsidR="00CA7970" w:rsidRPr="00750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6F0AF" w14:textId="77777777" w:rsidR="001315C8" w:rsidRDefault="001315C8" w:rsidP="00ED2BCF">
      <w:pPr>
        <w:spacing w:line="240" w:lineRule="auto"/>
      </w:pPr>
      <w:r>
        <w:separator/>
      </w:r>
    </w:p>
  </w:endnote>
  <w:endnote w:type="continuationSeparator" w:id="0">
    <w:p w14:paraId="6DE7A080" w14:textId="77777777" w:rsidR="001315C8" w:rsidRDefault="001315C8" w:rsidP="00ED2B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A9367" w14:textId="77777777" w:rsidR="001315C8" w:rsidRDefault="001315C8" w:rsidP="00ED2BCF">
      <w:pPr>
        <w:spacing w:line="240" w:lineRule="auto"/>
      </w:pPr>
      <w:r>
        <w:separator/>
      </w:r>
    </w:p>
  </w:footnote>
  <w:footnote w:type="continuationSeparator" w:id="0">
    <w:p w14:paraId="1BE501D8" w14:textId="77777777" w:rsidR="001315C8" w:rsidRDefault="001315C8" w:rsidP="00ED2BCF">
      <w:pPr>
        <w:spacing w:line="240" w:lineRule="auto"/>
      </w:pPr>
      <w:r>
        <w:continuationSeparator/>
      </w:r>
    </w:p>
  </w:footnote>
  <w:footnote w:id="1">
    <w:p w14:paraId="54064439" w14:textId="77777777" w:rsidR="00341CBE" w:rsidRDefault="00341CBE" w:rsidP="00341CB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A6FC9">
        <w:t>The political party designations of the judges were obtained via Google desktop searches, which may not be entirely accurate.</w:t>
      </w:r>
    </w:p>
  </w:footnote>
  <w:footnote w:id="2">
    <w:p w14:paraId="433ACBC5" w14:textId="44AA5CA5" w:rsidR="00A419F4" w:rsidRDefault="00A419F4" w:rsidP="00C3151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The Guidelines</w:t>
      </w:r>
      <w:r>
        <w:t xml:space="preserve"> </w:t>
      </w:r>
      <w:r>
        <w:t>are a set of principles that set forth "traditional</w:t>
      </w:r>
      <w:r>
        <w:t xml:space="preserve"> </w:t>
      </w:r>
      <w:r>
        <w:t>redistricting criteria" substantively the same as those used in the 2012 redistricting cycle.</w:t>
      </w:r>
      <w:r w:rsidR="00C3151D">
        <w:t xml:space="preserve">  Its </w:t>
      </w:r>
      <w:r w:rsidR="00C3151D">
        <w:t>priorities include</w:t>
      </w:r>
      <w:r w:rsidR="00D3457E">
        <w:t>d</w:t>
      </w:r>
      <w:r w:rsidR="00C3151D">
        <w:t>: (1) basing districts on data from the 2020 Census; (2) crafting</w:t>
      </w:r>
      <w:r w:rsidR="00C3151D">
        <w:t xml:space="preserve"> </w:t>
      </w:r>
      <w:r w:rsidR="00C3151D">
        <w:t>districts as numerically as equal in population as practical; (3) the plan should have neither the purpose nor</w:t>
      </w:r>
      <w:r w:rsidR="00C3151D">
        <w:t xml:space="preserve"> </w:t>
      </w:r>
      <w:r w:rsidR="00C3151D">
        <w:t>effect of diluting minority voting strength; (4) the districts should be as compact and contiguous as possible; (5) th</w:t>
      </w:r>
      <w:r w:rsidR="00C3151D">
        <w:t xml:space="preserve">e </w:t>
      </w:r>
      <w:r w:rsidR="00C3151D">
        <w:t>integrity of existing political subdivisions should be preserved when possible; (6) the plan should recognize</w:t>
      </w:r>
      <w:r w:rsidR="00C3151D">
        <w:t xml:space="preserve"> </w:t>
      </w:r>
      <w:r w:rsidR="00C3151D">
        <w:t>communities of interest; (7) the plan should avoid contests between incumbents when possible; and (8) the</w:t>
      </w:r>
      <w:r w:rsidR="00C3151D">
        <w:t xml:space="preserve"> </w:t>
      </w:r>
      <w:r w:rsidR="00C3151D">
        <w:t>districts should be easily identifiable and understandable by voters.</w:t>
      </w:r>
    </w:p>
  </w:footnote>
  <w:footnote w:id="3">
    <w:p w14:paraId="2D04A68E" w14:textId="318EE762" w:rsidR="00F85205" w:rsidRDefault="00F8520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F60991">
        <w:rPr>
          <w:highlight w:val="yellow"/>
        </w:rPr>
        <w:t>As a note, I excluded from this brief the court’s rationale as to the question of racial gerrymandering</w:t>
      </w:r>
      <w:r>
        <w:rPr>
          <w:highlight w:val="yellow"/>
        </w:rPr>
        <w:t xml:space="preserve"> and racial vote dilution,</w:t>
      </w:r>
      <w:r w:rsidRPr="00F60991">
        <w:rPr>
          <w:highlight w:val="yellow"/>
        </w:rPr>
        <w:t xml:space="preserve"> as it was beyond the scope of our review</w:t>
      </w:r>
      <w:r>
        <w:t>.</w:t>
      </w:r>
    </w:p>
  </w:footnote>
  <w:footnote w:id="4">
    <w:p w14:paraId="74694A55" w14:textId="290D216C" w:rsidR="00760CFE" w:rsidRDefault="00760CFE" w:rsidP="00760CFE">
      <w:pPr>
        <w:pStyle w:val="FootnoteText"/>
      </w:pPr>
      <w:r>
        <w:rPr>
          <w:rStyle w:val="FootnoteReference"/>
        </w:rPr>
        <w:footnoteRef/>
      </w:r>
      <w:r>
        <w:t xml:space="preserve"> The majority also held that the district court erred in concluding that federal equal protection standards were inapplicable to the plaintiffs’ section 2 (of the Kansas Bill of Rights) arguments because "Kansas's guarantee of equal benefit 'affords separate, adequate, and greater rights than the federal Constitution.'" </w:t>
      </w:r>
      <w:r w:rsidR="005952B1">
        <w:t>Instead, the</w:t>
      </w:r>
      <w:r>
        <w:t xml:space="preserve"> majority held that the “equal protection guarantees contained in section 2 [of the Kansas Bill of Rights] are coextensive with the same equal protection guarantees enshrined in the Fourteenth Amendment.”</w:t>
      </w:r>
    </w:p>
  </w:footnote>
  <w:footnote w:id="5">
    <w:p w14:paraId="18CF060B" w14:textId="4BAED980" w:rsidR="000C017C" w:rsidRPr="00CE1B07" w:rsidRDefault="000C017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AE7E30">
        <w:t xml:space="preserve">The KS </w:t>
      </w:r>
      <w:r w:rsidR="00170A3C">
        <w:t>c</w:t>
      </w:r>
      <w:r>
        <w:t xml:space="preserve">ourt cites the Constitutions of </w:t>
      </w:r>
      <w:r w:rsidR="00E163AE">
        <w:t xml:space="preserve">FL, </w:t>
      </w:r>
      <w:r w:rsidR="00113CE1">
        <w:t xml:space="preserve">NC, </w:t>
      </w:r>
      <w:r>
        <w:t>OH, MD, MI, MO, IA, NY, and CO as states that have codified clear standards for determining extreme partisan gerrymandering.</w:t>
      </w:r>
      <w:r w:rsidR="00CE1B07">
        <w:t xml:space="preserve">  </w:t>
      </w:r>
      <w:r w:rsidR="00CE1B07">
        <w:rPr>
          <w:i/>
          <w:iCs/>
        </w:rPr>
        <w:t>Rivera</w:t>
      </w:r>
      <w:r w:rsidR="00CE1B07">
        <w:t xml:space="preserve">, 512 P.3d at </w:t>
      </w:r>
      <w:r w:rsidR="00E163AE">
        <w:t xml:space="preserve">183, </w:t>
      </w:r>
      <w:r w:rsidR="00CE1B07">
        <w:t>186.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94C10"/>
    <w:multiLevelType w:val="hybridMultilevel"/>
    <w:tmpl w:val="A0F8BB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19077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50D"/>
    <w:rsid w:val="000011E4"/>
    <w:rsid w:val="000064BE"/>
    <w:rsid w:val="00012F88"/>
    <w:rsid w:val="000147E5"/>
    <w:rsid w:val="00021A1C"/>
    <w:rsid w:val="00025532"/>
    <w:rsid w:val="00031879"/>
    <w:rsid w:val="00031BFF"/>
    <w:rsid w:val="0003271E"/>
    <w:rsid w:val="0003439B"/>
    <w:rsid w:val="000423F8"/>
    <w:rsid w:val="00050EFA"/>
    <w:rsid w:val="00053DC6"/>
    <w:rsid w:val="00057EAB"/>
    <w:rsid w:val="000609E5"/>
    <w:rsid w:val="000612B8"/>
    <w:rsid w:val="00061BAC"/>
    <w:rsid w:val="00061BC9"/>
    <w:rsid w:val="00071148"/>
    <w:rsid w:val="00077BBE"/>
    <w:rsid w:val="00086AFA"/>
    <w:rsid w:val="0009049E"/>
    <w:rsid w:val="00092E2C"/>
    <w:rsid w:val="000A1779"/>
    <w:rsid w:val="000A457C"/>
    <w:rsid w:val="000A4FC3"/>
    <w:rsid w:val="000A57D0"/>
    <w:rsid w:val="000B2A3E"/>
    <w:rsid w:val="000C017C"/>
    <w:rsid w:val="000C5240"/>
    <w:rsid w:val="000C62F3"/>
    <w:rsid w:val="000C6405"/>
    <w:rsid w:val="000C6E68"/>
    <w:rsid w:val="000C7EFA"/>
    <w:rsid w:val="000D18B7"/>
    <w:rsid w:val="000D6927"/>
    <w:rsid w:val="000E1185"/>
    <w:rsid w:val="000E2B5F"/>
    <w:rsid w:val="000E6A00"/>
    <w:rsid w:val="000E7E25"/>
    <w:rsid w:val="000F06B0"/>
    <w:rsid w:val="000F4D9E"/>
    <w:rsid w:val="000F6456"/>
    <w:rsid w:val="000F7680"/>
    <w:rsid w:val="000F7880"/>
    <w:rsid w:val="00102082"/>
    <w:rsid w:val="001021BD"/>
    <w:rsid w:val="00102A79"/>
    <w:rsid w:val="00105E45"/>
    <w:rsid w:val="00113CE1"/>
    <w:rsid w:val="00114328"/>
    <w:rsid w:val="001315C8"/>
    <w:rsid w:val="00135B6D"/>
    <w:rsid w:val="00137226"/>
    <w:rsid w:val="001455D2"/>
    <w:rsid w:val="0015052D"/>
    <w:rsid w:val="0015616A"/>
    <w:rsid w:val="0016027D"/>
    <w:rsid w:val="00162E20"/>
    <w:rsid w:val="00166C13"/>
    <w:rsid w:val="00167ED0"/>
    <w:rsid w:val="001703E2"/>
    <w:rsid w:val="00170A3C"/>
    <w:rsid w:val="00174F04"/>
    <w:rsid w:val="00181207"/>
    <w:rsid w:val="0018239E"/>
    <w:rsid w:val="00191BE3"/>
    <w:rsid w:val="001A027A"/>
    <w:rsid w:val="001A3FC8"/>
    <w:rsid w:val="001B41BF"/>
    <w:rsid w:val="001B45BC"/>
    <w:rsid w:val="001B51A9"/>
    <w:rsid w:val="001B6DAF"/>
    <w:rsid w:val="001D29D5"/>
    <w:rsid w:val="001D6910"/>
    <w:rsid w:val="001E6844"/>
    <w:rsid w:val="001F32D6"/>
    <w:rsid w:val="001F6BD0"/>
    <w:rsid w:val="00200213"/>
    <w:rsid w:val="00207D95"/>
    <w:rsid w:val="00211E23"/>
    <w:rsid w:val="00212664"/>
    <w:rsid w:val="002145A9"/>
    <w:rsid w:val="00215EC7"/>
    <w:rsid w:val="0022426A"/>
    <w:rsid w:val="00225810"/>
    <w:rsid w:val="002275D9"/>
    <w:rsid w:val="00227DFD"/>
    <w:rsid w:val="00252B2F"/>
    <w:rsid w:val="0025370D"/>
    <w:rsid w:val="00256F8A"/>
    <w:rsid w:val="00264C5A"/>
    <w:rsid w:val="00266ABC"/>
    <w:rsid w:val="00266FF1"/>
    <w:rsid w:val="00267920"/>
    <w:rsid w:val="00271211"/>
    <w:rsid w:val="00276A04"/>
    <w:rsid w:val="002812E1"/>
    <w:rsid w:val="0028289C"/>
    <w:rsid w:val="002856A4"/>
    <w:rsid w:val="00290BB0"/>
    <w:rsid w:val="00292548"/>
    <w:rsid w:val="002930DC"/>
    <w:rsid w:val="002B5446"/>
    <w:rsid w:val="002B562A"/>
    <w:rsid w:val="002C1FB3"/>
    <w:rsid w:val="002C20F4"/>
    <w:rsid w:val="002C2AAC"/>
    <w:rsid w:val="002D134A"/>
    <w:rsid w:val="002D3F7A"/>
    <w:rsid w:val="002E0856"/>
    <w:rsid w:val="002F086B"/>
    <w:rsid w:val="002F6361"/>
    <w:rsid w:val="00307115"/>
    <w:rsid w:val="00320C02"/>
    <w:rsid w:val="003229A0"/>
    <w:rsid w:val="00324073"/>
    <w:rsid w:val="0032595F"/>
    <w:rsid w:val="00330EC1"/>
    <w:rsid w:val="00334C92"/>
    <w:rsid w:val="00337DD2"/>
    <w:rsid w:val="003400F4"/>
    <w:rsid w:val="00341267"/>
    <w:rsid w:val="00341CBE"/>
    <w:rsid w:val="0034242C"/>
    <w:rsid w:val="003427AD"/>
    <w:rsid w:val="003437D0"/>
    <w:rsid w:val="00351772"/>
    <w:rsid w:val="003543FB"/>
    <w:rsid w:val="00357F59"/>
    <w:rsid w:val="00360B00"/>
    <w:rsid w:val="0036289D"/>
    <w:rsid w:val="00362F7B"/>
    <w:rsid w:val="0036326E"/>
    <w:rsid w:val="00366659"/>
    <w:rsid w:val="00372F65"/>
    <w:rsid w:val="0038342B"/>
    <w:rsid w:val="00387631"/>
    <w:rsid w:val="003904D4"/>
    <w:rsid w:val="003B0509"/>
    <w:rsid w:val="003B3C16"/>
    <w:rsid w:val="003D65B4"/>
    <w:rsid w:val="003E37D3"/>
    <w:rsid w:val="0040070E"/>
    <w:rsid w:val="00413BE4"/>
    <w:rsid w:val="00414906"/>
    <w:rsid w:val="0041780A"/>
    <w:rsid w:val="00424ED7"/>
    <w:rsid w:val="00451A98"/>
    <w:rsid w:val="0045618C"/>
    <w:rsid w:val="004701B0"/>
    <w:rsid w:val="0047192B"/>
    <w:rsid w:val="00471CFA"/>
    <w:rsid w:val="00472FED"/>
    <w:rsid w:val="00474A3C"/>
    <w:rsid w:val="004767F1"/>
    <w:rsid w:val="0047710B"/>
    <w:rsid w:val="00496BFC"/>
    <w:rsid w:val="004A2C87"/>
    <w:rsid w:val="004A2D82"/>
    <w:rsid w:val="004A5582"/>
    <w:rsid w:val="004A58D8"/>
    <w:rsid w:val="004B1D2F"/>
    <w:rsid w:val="004C7E14"/>
    <w:rsid w:val="004D31B0"/>
    <w:rsid w:val="004E1054"/>
    <w:rsid w:val="004E28B0"/>
    <w:rsid w:val="004E57B1"/>
    <w:rsid w:val="00512A2E"/>
    <w:rsid w:val="00515521"/>
    <w:rsid w:val="0052532C"/>
    <w:rsid w:val="00526D57"/>
    <w:rsid w:val="00536A9F"/>
    <w:rsid w:val="00537B72"/>
    <w:rsid w:val="00551CCE"/>
    <w:rsid w:val="005616AB"/>
    <w:rsid w:val="005771D8"/>
    <w:rsid w:val="00583AE3"/>
    <w:rsid w:val="005860AA"/>
    <w:rsid w:val="00591B3C"/>
    <w:rsid w:val="005952B1"/>
    <w:rsid w:val="005979F7"/>
    <w:rsid w:val="005A0373"/>
    <w:rsid w:val="005A4170"/>
    <w:rsid w:val="005A75C9"/>
    <w:rsid w:val="005B421F"/>
    <w:rsid w:val="005B7FFE"/>
    <w:rsid w:val="005D56EF"/>
    <w:rsid w:val="005D746D"/>
    <w:rsid w:val="005E6692"/>
    <w:rsid w:val="005E7360"/>
    <w:rsid w:val="005F4BD1"/>
    <w:rsid w:val="005F539F"/>
    <w:rsid w:val="005F7580"/>
    <w:rsid w:val="005F7C1D"/>
    <w:rsid w:val="00616232"/>
    <w:rsid w:val="00621B8D"/>
    <w:rsid w:val="006265E2"/>
    <w:rsid w:val="00631797"/>
    <w:rsid w:val="006366F4"/>
    <w:rsid w:val="00640AAB"/>
    <w:rsid w:val="006413D8"/>
    <w:rsid w:val="00643A05"/>
    <w:rsid w:val="00644CEA"/>
    <w:rsid w:val="00645E46"/>
    <w:rsid w:val="006502FF"/>
    <w:rsid w:val="006535B1"/>
    <w:rsid w:val="0066556F"/>
    <w:rsid w:val="00665B43"/>
    <w:rsid w:val="00671155"/>
    <w:rsid w:val="0067223B"/>
    <w:rsid w:val="006740AC"/>
    <w:rsid w:val="0068505E"/>
    <w:rsid w:val="00686FE9"/>
    <w:rsid w:val="00694E79"/>
    <w:rsid w:val="006A08C1"/>
    <w:rsid w:val="006A0C8D"/>
    <w:rsid w:val="006A6220"/>
    <w:rsid w:val="006B198A"/>
    <w:rsid w:val="006B1C61"/>
    <w:rsid w:val="006B2D20"/>
    <w:rsid w:val="006B4821"/>
    <w:rsid w:val="006E1A6A"/>
    <w:rsid w:val="006E7025"/>
    <w:rsid w:val="006F2C19"/>
    <w:rsid w:val="006F3DD1"/>
    <w:rsid w:val="006F7030"/>
    <w:rsid w:val="00704362"/>
    <w:rsid w:val="00713799"/>
    <w:rsid w:val="00724773"/>
    <w:rsid w:val="007310E0"/>
    <w:rsid w:val="00734C81"/>
    <w:rsid w:val="007477D2"/>
    <w:rsid w:val="00750AC1"/>
    <w:rsid w:val="00756326"/>
    <w:rsid w:val="00760CFE"/>
    <w:rsid w:val="0076220D"/>
    <w:rsid w:val="00765D3C"/>
    <w:rsid w:val="007713C1"/>
    <w:rsid w:val="0078504B"/>
    <w:rsid w:val="0079288A"/>
    <w:rsid w:val="0079324F"/>
    <w:rsid w:val="00793CC2"/>
    <w:rsid w:val="007B4380"/>
    <w:rsid w:val="007B78F0"/>
    <w:rsid w:val="007C220E"/>
    <w:rsid w:val="007D6285"/>
    <w:rsid w:val="007D63B1"/>
    <w:rsid w:val="007F4C02"/>
    <w:rsid w:val="007F5B5C"/>
    <w:rsid w:val="007F73F2"/>
    <w:rsid w:val="008042C7"/>
    <w:rsid w:val="00804BED"/>
    <w:rsid w:val="00804DC1"/>
    <w:rsid w:val="008141C4"/>
    <w:rsid w:val="0082097F"/>
    <w:rsid w:val="0082403E"/>
    <w:rsid w:val="008252B0"/>
    <w:rsid w:val="00825E45"/>
    <w:rsid w:val="00827C55"/>
    <w:rsid w:val="00834F2C"/>
    <w:rsid w:val="00847385"/>
    <w:rsid w:val="0084773C"/>
    <w:rsid w:val="00852EA3"/>
    <w:rsid w:val="00853FF2"/>
    <w:rsid w:val="00855625"/>
    <w:rsid w:val="00861E4A"/>
    <w:rsid w:val="00864205"/>
    <w:rsid w:val="0087014A"/>
    <w:rsid w:val="00875C35"/>
    <w:rsid w:val="00875F40"/>
    <w:rsid w:val="008775BD"/>
    <w:rsid w:val="00887DFA"/>
    <w:rsid w:val="0089084A"/>
    <w:rsid w:val="00895E30"/>
    <w:rsid w:val="0089629B"/>
    <w:rsid w:val="008A01C6"/>
    <w:rsid w:val="008A4D5F"/>
    <w:rsid w:val="008A505D"/>
    <w:rsid w:val="008B2553"/>
    <w:rsid w:val="008D467C"/>
    <w:rsid w:val="008D66FD"/>
    <w:rsid w:val="008D6C9D"/>
    <w:rsid w:val="008E1661"/>
    <w:rsid w:val="008E6D44"/>
    <w:rsid w:val="008F5BE4"/>
    <w:rsid w:val="00903B65"/>
    <w:rsid w:val="00905D1D"/>
    <w:rsid w:val="00906592"/>
    <w:rsid w:val="009108BB"/>
    <w:rsid w:val="00926704"/>
    <w:rsid w:val="00926A8F"/>
    <w:rsid w:val="00926DE5"/>
    <w:rsid w:val="00946582"/>
    <w:rsid w:val="009529F4"/>
    <w:rsid w:val="00964516"/>
    <w:rsid w:val="0097390A"/>
    <w:rsid w:val="009741AD"/>
    <w:rsid w:val="00986100"/>
    <w:rsid w:val="00987C78"/>
    <w:rsid w:val="0099185A"/>
    <w:rsid w:val="00992B19"/>
    <w:rsid w:val="009A6F30"/>
    <w:rsid w:val="009A72E8"/>
    <w:rsid w:val="009A7417"/>
    <w:rsid w:val="009B1A73"/>
    <w:rsid w:val="009B6A6C"/>
    <w:rsid w:val="009C6C77"/>
    <w:rsid w:val="009D093C"/>
    <w:rsid w:val="009D5EB4"/>
    <w:rsid w:val="009E0842"/>
    <w:rsid w:val="009E192E"/>
    <w:rsid w:val="009E69ED"/>
    <w:rsid w:val="00A016A7"/>
    <w:rsid w:val="00A04E56"/>
    <w:rsid w:val="00A10326"/>
    <w:rsid w:val="00A14EB7"/>
    <w:rsid w:val="00A175AC"/>
    <w:rsid w:val="00A22BD7"/>
    <w:rsid w:val="00A30892"/>
    <w:rsid w:val="00A33A59"/>
    <w:rsid w:val="00A419F4"/>
    <w:rsid w:val="00A454C1"/>
    <w:rsid w:val="00A522D6"/>
    <w:rsid w:val="00A56902"/>
    <w:rsid w:val="00A61043"/>
    <w:rsid w:val="00A648FB"/>
    <w:rsid w:val="00A64C3F"/>
    <w:rsid w:val="00A71C57"/>
    <w:rsid w:val="00A72616"/>
    <w:rsid w:val="00A90B0E"/>
    <w:rsid w:val="00A9672F"/>
    <w:rsid w:val="00AB7083"/>
    <w:rsid w:val="00AB79E0"/>
    <w:rsid w:val="00AC1E63"/>
    <w:rsid w:val="00AC57A6"/>
    <w:rsid w:val="00AD083C"/>
    <w:rsid w:val="00AE131F"/>
    <w:rsid w:val="00AE1FFA"/>
    <w:rsid w:val="00AE419A"/>
    <w:rsid w:val="00AE7E30"/>
    <w:rsid w:val="00AF20C5"/>
    <w:rsid w:val="00B00396"/>
    <w:rsid w:val="00B01256"/>
    <w:rsid w:val="00B07787"/>
    <w:rsid w:val="00B113BE"/>
    <w:rsid w:val="00B11B08"/>
    <w:rsid w:val="00B17476"/>
    <w:rsid w:val="00B21129"/>
    <w:rsid w:val="00B225AF"/>
    <w:rsid w:val="00B354E9"/>
    <w:rsid w:val="00B371F9"/>
    <w:rsid w:val="00B401E4"/>
    <w:rsid w:val="00B44B83"/>
    <w:rsid w:val="00B46465"/>
    <w:rsid w:val="00B665A3"/>
    <w:rsid w:val="00B66B83"/>
    <w:rsid w:val="00B80F13"/>
    <w:rsid w:val="00B8273D"/>
    <w:rsid w:val="00B8711F"/>
    <w:rsid w:val="00B932D8"/>
    <w:rsid w:val="00BA12A1"/>
    <w:rsid w:val="00BA4FAC"/>
    <w:rsid w:val="00BB2C11"/>
    <w:rsid w:val="00BB64F1"/>
    <w:rsid w:val="00BC15DD"/>
    <w:rsid w:val="00BC193C"/>
    <w:rsid w:val="00BD2987"/>
    <w:rsid w:val="00BD424A"/>
    <w:rsid w:val="00BD4C65"/>
    <w:rsid w:val="00BD5190"/>
    <w:rsid w:val="00BD5F8B"/>
    <w:rsid w:val="00BD6000"/>
    <w:rsid w:val="00BE28C8"/>
    <w:rsid w:val="00C16C8D"/>
    <w:rsid w:val="00C3151D"/>
    <w:rsid w:val="00C434A3"/>
    <w:rsid w:val="00C452B9"/>
    <w:rsid w:val="00C45E78"/>
    <w:rsid w:val="00C47548"/>
    <w:rsid w:val="00C552C0"/>
    <w:rsid w:val="00C607D9"/>
    <w:rsid w:val="00C73E50"/>
    <w:rsid w:val="00C74570"/>
    <w:rsid w:val="00C751FE"/>
    <w:rsid w:val="00C77F6D"/>
    <w:rsid w:val="00C831DF"/>
    <w:rsid w:val="00C842DB"/>
    <w:rsid w:val="00C91E67"/>
    <w:rsid w:val="00C95696"/>
    <w:rsid w:val="00CA1CBF"/>
    <w:rsid w:val="00CA7970"/>
    <w:rsid w:val="00CB1DF5"/>
    <w:rsid w:val="00CB51AA"/>
    <w:rsid w:val="00CC3FDC"/>
    <w:rsid w:val="00CC527C"/>
    <w:rsid w:val="00CC527E"/>
    <w:rsid w:val="00CC6C05"/>
    <w:rsid w:val="00CD451E"/>
    <w:rsid w:val="00CE1B07"/>
    <w:rsid w:val="00CF1A7C"/>
    <w:rsid w:val="00CF2210"/>
    <w:rsid w:val="00CF452E"/>
    <w:rsid w:val="00CF51EF"/>
    <w:rsid w:val="00D16F9C"/>
    <w:rsid w:val="00D269D4"/>
    <w:rsid w:val="00D34421"/>
    <w:rsid w:val="00D3457E"/>
    <w:rsid w:val="00D35FA4"/>
    <w:rsid w:val="00D36535"/>
    <w:rsid w:val="00D40A68"/>
    <w:rsid w:val="00D41F63"/>
    <w:rsid w:val="00D421FB"/>
    <w:rsid w:val="00D46032"/>
    <w:rsid w:val="00D561DC"/>
    <w:rsid w:val="00D61314"/>
    <w:rsid w:val="00D62571"/>
    <w:rsid w:val="00D632BA"/>
    <w:rsid w:val="00D67E4B"/>
    <w:rsid w:val="00D73B91"/>
    <w:rsid w:val="00D83EE8"/>
    <w:rsid w:val="00D851B9"/>
    <w:rsid w:val="00D866BD"/>
    <w:rsid w:val="00D90943"/>
    <w:rsid w:val="00D90BD4"/>
    <w:rsid w:val="00D92528"/>
    <w:rsid w:val="00D93880"/>
    <w:rsid w:val="00DA3847"/>
    <w:rsid w:val="00DA74BF"/>
    <w:rsid w:val="00DB5A54"/>
    <w:rsid w:val="00DC2189"/>
    <w:rsid w:val="00DC2CEB"/>
    <w:rsid w:val="00DC318D"/>
    <w:rsid w:val="00DC36D4"/>
    <w:rsid w:val="00DC6F51"/>
    <w:rsid w:val="00DD66C7"/>
    <w:rsid w:val="00DD7F5E"/>
    <w:rsid w:val="00DE1886"/>
    <w:rsid w:val="00DE2078"/>
    <w:rsid w:val="00DE6D51"/>
    <w:rsid w:val="00DF053E"/>
    <w:rsid w:val="00DF0717"/>
    <w:rsid w:val="00DF450D"/>
    <w:rsid w:val="00E03579"/>
    <w:rsid w:val="00E124D6"/>
    <w:rsid w:val="00E163AE"/>
    <w:rsid w:val="00E17536"/>
    <w:rsid w:val="00E21002"/>
    <w:rsid w:val="00E2275E"/>
    <w:rsid w:val="00E22B20"/>
    <w:rsid w:val="00E36A1E"/>
    <w:rsid w:val="00E4050B"/>
    <w:rsid w:val="00E46A7B"/>
    <w:rsid w:val="00E56D00"/>
    <w:rsid w:val="00E643F3"/>
    <w:rsid w:val="00E72722"/>
    <w:rsid w:val="00E72929"/>
    <w:rsid w:val="00E81990"/>
    <w:rsid w:val="00E92EB9"/>
    <w:rsid w:val="00E94EB6"/>
    <w:rsid w:val="00E9616B"/>
    <w:rsid w:val="00EA03C1"/>
    <w:rsid w:val="00EA7F8C"/>
    <w:rsid w:val="00EB1403"/>
    <w:rsid w:val="00EB2A35"/>
    <w:rsid w:val="00EB4075"/>
    <w:rsid w:val="00EB4F60"/>
    <w:rsid w:val="00EC1152"/>
    <w:rsid w:val="00EC6F59"/>
    <w:rsid w:val="00ED2BCF"/>
    <w:rsid w:val="00ED32B3"/>
    <w:rsid w:val="00ED671F"/>
    <w:rsid w:val="00EE2D91"/>
    <w:rsid w:val="00EE4689"/>
    <w:rsid w:val="00EE7C6C"/>
    <w:rsid w:val="00EF02F0"/>
    <w:rsid w:val="00EF6ECA"/>
    <w:rsid w:val="00F1414C"/>
    <w:rsid w:val="00F21798"/>
    <w:rsid w:val="00F34496"/>
    <w:rsid w:val="00F36DBB"/>
    <w:rsid w:val="00F407AC"/>
    <w:rsid w:val="00F423C6"/>
    <w:rsid w:val="00F47825"/>
    <w:rsid w:val="00F60991"/>
    <w:rsid w:val="00F61108"/>
    <w:rsid w:val="00F70F6D"/>
    <w:rsid w:val="00F73E82"/>
    <w:rsid w:val="00F773E7"/>
    <w:rsid w:val="00F85205"/>
    <w:rsid w:val="00F865CC"/>
    <w:rsid w:val="00F917BF"/>
    <w:rsid w:val="00FB0228"/>
    <w:rsid w:val="00FB1865"/>
    <w:rsid w:val="00FB3CDD"/>
    <w:rsid w:val="00FC1FCB"/>
    <w:rsid w:val="00FC6131"/>
    <w:rsid w:val="00FD0BC0"/>
    <w:rsid w:val="00FD7B38"/>
    <w:rsid w:val="00FE0588"/>
    <w:rsid w:val="00FE2F6B"/>
    <w:rsid w:val="00FE4207"/>
    <w:rsid w:val="00FE48BC"/>
    <w:rsid w:val="00FE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7A9EB"/>
  <w15:chartTrackingRefBased/>
  <w15:docId w15:val="{41018933-86A3-4997-AF5C-B16DF926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3B91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unhideWhenUsed/>
    <w:rsid w:val="00ED2BCF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D2BCF"/>
    <w:rPr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D2BC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FB093-FBA0-4C54-8E2F-B14726172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7</Pages>
  <Words>2664</Words>
  <Characters>15191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Matsuda</dc:creator>
  <cp:keywords/>
  <dc:description/>
  <cp:lastModifiedBy>Scott Matsuda</cp:lastModifiedBy>
  <cp:revision>347</cp:revision>
  <dcterms:created xsi:type="dcterms:W3CDTF">2022-10-04T22:56:00Z</dcterms:created>
  <dcterms:modified xsi:type="dcterms:W3CDTF">2022-10-08T00:25:00Z</dcterms:modified>
</cp:coreProperties>
</file>