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3660D016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8B5DC7">
        <w:rPr>
          <w:szCs w:val="20"/>
        </w:rPr>
        <w:t>11/29/2022</w:t>
      </w:r>
    </w:p>
    <w:p w14:paraId="385897F0" w14:textId="2DF0D9A4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F1543D">
        <w:rPr>
          <w:b/>
          <w:bCs/>
          <w:szCs w:val="20"/>
          <w:u w:val="single"/>
        </w:rPr>
        <w:t>KY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39602B">
        <w:trPr>
          <w:trHeight w:val="68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275F0043" w14:textId="3133C847" w:rsidR="005F539F" w:rsidRDefault="008B5DC7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9F266C">
              <w:rPr>
                <w:rFonts w:ascii="Arial" w:hAnsi="Arial" w:cs="Arial"/>
                <w:i/>
                <w:sz w:val="20"/>
                <w:szCs w:val="20"/>
              </w:rPr>
              <w:t>Graham v. Adams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790834" w:rsidRPr="00790834">
              <w:rPr>
                <w:rFonts w:ascii="Arial" w:hAnsi="Arial" w:cs="Arial"/>
                <w:iCs/>
                <w:sz w:val="20"/>
                <w:szCs w:val="20"/>
              </w:rPr>
              <w:t>No. 22-CI-</w:t>
            </w:r>
            <w:r w:rsidR="007B16DD" w:rsidRPr="00907184">
              <w:rPr>
                <w:rFonts w:ascii="Arial" w:hAnsi="Arial" w:cs="Arial"/>
                <w:iCs/>
                <w:sz w:val="20"/>
                <w:szCs w:val="20"/>
              </w:rPr>
              <w:t>000</w:t>
            </w:r>
            <w:r w:rsidR="00790834" w:rsidRPr="00907184">
              <w:rPr>
                <w:rFonts w:ascii="Arial" w:hAnsi="Arial" w:cs="Arial"/>
                <w:iCs/>
                <w:sz w:val="20"/>
                <w:szCs w:val="20"/>
              </w:rPr>
              <w:t xml:space="preserve">47 (Ky. Cir. Ct. </w:t>
            </w:r>
            <w:r w:rsidR="00790834" w:rsidRPr="00907184">
              <w:rPr>
                <w:rFonts w:ascii="Arial" w:hAnsi="Arial" w:cs="Arial"/>
                <w:iCs/>
                <w:sz w:val="20"/>
                <w:szCs w:val="20"/>
              </w:rPr>
              <w:t>Nov. 10</w:t>
            </w:r>
            <w:r w:rsidR="00790834" w:rsidRPr="00907184">
              <w:rPr>
                <w:rFonts w:ascii="Arial" w:hAnsi="Arial" w:cs="Arial"/>
                <w:iCs/>
                <w:sz w:val="20"/>
                <w:szCs w:val="20"/>
              </w:rPr>
              <w:t>, 2022)</w:t>
            </w:r>
            <w:r w:rsidR="00907184" w:rsidRPr="0090718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7A00851" w14:textId="3FCC9AE4" w:rsidR="009F266C" w:rsidRPr="00A64C3F" w:rsidRDefault="009F266C" w:rsidP="009F266C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4C14DE31" w14:textId="1D6F5FF6" w:rsidR="00474A3C" w:rsidRPr="00A64C3F" w:rsidRDefault="00AA7489" w:rsidP="00474A3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Franklin Cir. Ct. </w:t>
            </w:r>
            <w:r w:rsidR="007D3F37">
              <w:rPr>
                <w:rFonts w:ascii="Arial" w:hAnsi="Arial" w:cs="Arial"/>
                <w:iCs/>
                <w:sz w:val="20"/>
                <w:szCs w:val="20"/>
              </w:rPr>
              <w:t>Judge Thomas D. Wingate</w:t>
            </w:r>
            <w:r w:rsidR="003B2F77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  <w:r w:rsidR="001C2608">
              <w:rPr>
                <w:rFonts w:ascii="Arial" w:hAnsi="Arial" w:cs="Arial"/>
                <w:iCs/>
                <w:sz w:val="20"/>
                <w:szCs w:val="20"/>
              </w:rPr>
              <w:t xml:space="preserve"> issued the opinion.</w:t>
            </w: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6CC4E72E" w14:textId="58E5B490" w:rsidR="004B086B" w:rsidRDefault="00B731C0" w:rsidP="004B086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31C0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1/20/</w:t>
            </w:r>
            <w:r w:rsidRPr="00B731C0">
              <w:rPr>
                <w:rFonts w:ascii="Arial" w:hAnsi="Arial" w:cs="Arial"/>
                <w:sz w:val="20"/>
                <w:szCs w:val="20"/>
              </w:rPr>
              <w:t>2022, Plaintiffs initiated this action against Secretary of State</w:t>
            </w:r>
            <w:r w:rsidR="004B0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086B">
              <w:rPr>
                <w:rFonts w:ascii="Arial" w:hAnsi="Arial" w:cs="Arial"/>
                <w:sz w:val="20"/>
                <w:szCs w:val="20"/>
              </w:rPr>
              <w:t>Michael G. Adams (“Secretary Adams”) and the Kentucky State Board of Elections (“the</w:t>
            </w:r>
            <w:r w:rsidR="004B0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086B">
              <w:rPr>
                <w:rFonts w:ascii="Arial" w:hAnsi="Arial" w:cs="Arial"/>
                <w:sz w:val="20"/>
                <w:szCs w:val="20"/>
              </w:rPr>
              <w:t>SBE”) to challenge the constitutionality of HB 2 and SB 3.</w:t>
            </w:r>
          </w:p>
          <w:p w14:paraId="3F2F4199" w14:textId="77777777" w:rsidR="0094455F" w:rsidRDefault="00B731C0" w:rsidP="004B086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B086B">
              <w:rPr>
                <w:rFonts w:ascii="Arial" w:hAnsi="Arial" w:cs="Arial"/>
                <w:sz w:val="20"/>
                <w:szCs w:val="20"/>
              </w:rPr>
              <w:t>With respect to HB 2, Plaintiffs</w:t>
            </w:r>
            <w:r w:rsidR="004B0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086B">
              <w:rPr>
                <w:rFonts w:ascii="Arial" w:hAnsi="Arial" w:cs="Arial"/>
                <w:sz w:val="20"/>
                <w:szCs w:val="20"/>
              </w:rPr>
              <w:t xml:space="preserve">allege that HB 2 violates Sections 1, 2, 3, 6, and 33 of the Kentucky Constitution. </w:t>
            </w:r>
          </w:p>
          <w:p w14:paraId="7C42EE6C" w14:textId="0F52A013" w:rsidR="003F5E6A" w:rsidRDefault="00B731C0" w:rsidP="0094455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B086B">
              <w:rPr>
                <w:rFonts w:ascii="Arial" w:hAnsi="Arial" w:cs="Arial"/>
                <w:sz w:val="20"/>
                <w:szCs w:val="20"/>
              </w:rPr>
              <w:t>Plaintiffs</w:t>
            </w:r>
            <w:r w:rsidR="009445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455F">
              <w:rPr>
                <w:rFonts w:ascii="Arial" w:hAnsi="Arial" w:cs="Arial"/>
                <w:sz w:val="20"/>
                <w:szCs w:val="20"/>
              </w:rPr>
              <w:t>state that HB 2 is the result of extreme partisan gerrymandering, which they believe is</w:t>
            </w:r>
            <w:r w:rsidR="009445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455F">
              <w:rPr>
                <w:rFonts w:ascii="Arial" w:hAnsi="Arial" w:cs="Arial"/>
                <w:sz w:val="20"/>
                <w:szCs w:val="20"/>
              </w:rPr>
              <w:t xml:space="preserve">prohibited under Sections 1, 2, 3, and 6 of the </w:t>
            </w:r>
            <w:r w:rsidR="00EE3DC8">
              <w:rPr>
                <w:rFonts w:ascii="Arial" w:hAnsi="Arial" w:cs="Arial"/>
                <w:sz w:val="20"/>
                <w:szCs w:val="20"/>
              </w:rPr>
              <w:t>KY</w:t>
            </w:r>
            <w:r w:rsidRPr="0094455F">
              <w:rPr>
                <w:rFonts w:ascii="Arial" w:hAnsi="Arial" w:cs="Arial"/>
                <w:sz w:val="20"/>
                <w:szCs w:val="20"/>
              </w:rPr>
              <w:t xml:space="preserve"> Constitution. </w:t>
            </w:r>
          </w:p>
          <w:p w14:paraId="40C9D29B" w14:textId="0236E172" w:rsidR="00BD373F" w:rsidRDefault="00B731C0" w:rsidP="00BD373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4455F">
              <w:rPr>
                <w:rFonts w:ascii="Arial" w:hAnsi="Arial" w:cs="Arial"/>
                <w:sz w:val="20"/>
                <w:szCs w:val="20"/>
              </w:rPr>
              <w:t>Additionally,</w:t>
            </w:r>
            <w:r w:rsidR="003F5E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E6A">
              <w:rPr>
                <w:rFonts w:ascii="Arial" w:hAnsi="Arial" w:cs="Arial"/>
                <w:sz w:val="20"/>
                <w:szCs w:val="20"/>
              </w:rPr>
              <w:t xml:space="preserve">Plaintiffs contend that HB 2 violates Section 33 of the </w:t>
            </w:r>
            <w:r w:rsidR="00EE3DC8">
              <w:rPr>
                <w:rFonts w:ascii="Arial" w:hAnsi="Arial" w:cs="Arial"/>
                <w:sz w:val="20"/>
                <w:szCs w:val="20"/>
              </w:rPr>
              <w:t>KY</w:t>
            </w:r>
            <w:r w:rsidRPr="003F5E6A">
              <w:rPr>
                <w:rFonts w:ascii="Arial" w:hAnsi="Arial" w:cs="Arial"/>
                <w:sz w:val="20"/>
                <w:szCs w:val="20"/>
              </w:rPr>
              <w:t xml:space="preserve"> Constitution because it</w:t>
            </w:r>
            <w:r w:rsidR="00BD37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373F">
              <w:rPr>
                <w:rFonts w:ascii="Arial" w:hAnsi="Arial" w:cs="Arial"/>
                <w:sz w:val="20"/>
                <w:szCs w:val="20"/>
              </w:rPr>
              <w:t xml:space="preserve">excessively splits counties more times than necessary. </w:t>
            </w:r>
          </w:p>
          <w:p w14:paraId="5F2A4ACA" w14:textId="6DCDA46E" w:rsidR="00ED671F" w:rsidRDefault="00B731C0" w:rsidP="003C50F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D373F">
              <w:rPr>
                <w:rFonts w:ascii="Arial" w:hAnsi="Arial" w:cs="Arial"/>
                <w:sz w:val="20"/>
                <w:szCs w:val="20"/>
              </w:rPr>
              <w:t>With respect to SB 3, Plaintiffs</w:t>
            </w:r>
            <w:r w:rsidR="00BD37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373F">
              <w:rPr>
                <w:rFonts w:ascii="Arial" w:hAnsi="Arial" w:cs="Arial"/>
                <w:sz w:val="20"/>
                <w:szCs w:val="20"/>
              </w:rPr>
              <w:t>assert that it also is the result of extreme partisan gerrymandering and violates Sections 1,</w:t>
            </w:r>
            <w:r w:rsidR="003C50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50F3">
              <w:rPr>
                <w:rFonts w:ascii="Arial" w:hAnsi="Arial" w:cs="Arial"/>
                <w:sz w:val="20"/>
                <w:szCs w:val="20"/>
              </w:rPr>
              <w:t xml:space="preserve">2, 3, and 6 of the </w:t>
            </w:r>
            <w:r w:rsidR="0073595D">
              <w:rPr>
                <w:rFonts w:ascii="Arial" w:hAnsi="Arial" w:cs="Arial"/>
                <w:sz w:val="20"/>
                <w:szCs w:val="20"/>
              </w:rPr>
              <w:t>KY</w:t>
            </w:r>
            <w:r w:rsidRPr="003C50F3">
              <w:rPr>
                <w:rFonts w:ascii="Arial" w:hAnsi="Arial" w:cs="Arial"/>
                <w:sz w:val="20"/>
                <w:szCs w:val="20"/>
              </w:rPr>
              <w:t xml:space="preserve"> Constitution</w:t>
            </w:r>
            <w:r w:rsidR="003C50F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31A284" w14:textId="568F28CE" w:rsidR="008662C1" w:rsidRDefault="00AE2491" w:rsidP="008662C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2491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1/27/</w:t>
            </w:r>
            <w:r w:rsidRPr="00AE2491">
              <w:rPr>
                <w:rFonts w:ascii="Arial" w:hAnsi="Arial" w:cs="Arial"/>
                <w:sz w:val="20"/>
                <w:szCs w:val="20"/>
              </w:rPr>
              <w:t xml:space="preserve">2022, the Commonwealth of </w:t>
            </w:r>
            <w:r w:rsidR="006B46B2">
              <w:rPr>
                <w:rFonts w:ascii="Arial" w:hAnsi="Arial" w:cs="Arial"/>
                <w:sz w:val="20"/>
                <w:szCs w:val="20"/>
              </w:rPr>
              <w:t>KY</w:t>
            </w:r>
            <w:r w:rsidRPr="00AE2491">
              <w:rPr>
                <w:rFonts w:ascii="Arial" w:hAnsi="Arial" w:cs="Arial"/>
                <w:sz w:val="20"/>
                <w:szCs w:val="20"/>
              </w:rPr>
              <w:t>, by and through Attorney</w:t>
            </w:r>
            <w:r w:rsidR="008662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62C1">
              <w:rPr>
                <w:rFonts w:ascii="Arial" w:hAnsi="Arial" w:cs="Arial"/>
                <w:sz w:val="20"/>
                <w:szCs w:val="20"/>
              </w:rPr>
              <w:t>General Daniel Cameron (“the Commonwealth”), moved to intervene to defend the</w:t>
            </w:r>
            <w:r w:rsidR="008662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62C1">
              <w:rPr>
                <w:rFonts w:ascii="Arial" w:hAnsi="Arial" w:cs="Arial"/>
                <w:sz w:val="20"/>
                <w:szCs w:val="20"/>
              </w:rPr>
              <w:t xml:space="preserve">constitutionality of HB 2 and SB 3. </w:t>
            </w:r>
          </w:p>
          <w:p w14:paraId="1CA99D08" w14:textId="77777777" w:rsidR="00B9324F" w:rsidRDefault="00AE2491" w:rsidP="008662C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662C1">
              <w:rPr>
                <w:rFonts w:ascii="Arial" w:hAnsi="Arial" w:cs="Arial"/>
                <w:sz w:val="20"/>
                <w:szCs w:val="20"/>
              </w:rPr>
              <w:t>The Commonwealth’s Motion to Intervene was orally</w:t>
            </w:r>
            <w:r w:rsidR="008662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62C1">
              <w:rPr>
                <w:rFonts w:ascii="Arial" w:hAnsi="Arial" w:cs="Arial"/>
                <w:sz w:val="20"/>
                <w:szCs w:val="20"/>
              </w:rPr>
              <w:t xml:space="preserve">granted </w:t>
            </w:r>
            <w:r w:rsidR="008662C1">
              <w:rPr>
                <w:rFonts w:ascii="Arial" w:hAnsi="Arial" w:cs="Arial"/>
                <w:sz w:val="20"/>
                <w:szCs w:val="20"/>
              </w:rPr>
              <w:t>and entered on</w:t>
            </w:r>
            <w:r w:rsidRPr="008662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62C1">
              <w:rPr>
                <w:rFonts w:ascii="Arial" w:hAnsi="Arial" w:cs="Arial"/>
                <w:sz w:val="20"/>
                <w:szCs w:val="20"/>
              </w:rPr>
              <w:t>2/10/2022.</w:t>
            </w:r>
          </w:p>
          <w:p w14:paraId="75E881D0" w14:textId="38208B6A" w:rsidR="002F3011" w:rsidRPr="002F3011" w:rsidRDefault="002F3011" w:rsidP="002F301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1/28/</w:t>
            </w:r>
            <w:r w:rsidRPr="002F3011">
              <w:rPr>
                <w:rFonts w:ascii="Arial" w:hAnsi="Arial" w:cs="Arial"/>
                <w:sz w:val="20"/>
                <w:szCs w:val="20"/>
              </w:rPr>
              <w:t>2022,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3011">
              <w:rPr>
                <w:rFonts w:ascii="Arial" w:hAnsi="Arial" w:cs="Arial"/>
                <w:sz w:val="20"/>
                <w:szCs w:val="20"/>
              </w:rPr>
              <w:t>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3011">
              <w:rPr>
                <w:rFonts w:ascii="Arial" w:hAnsi="Arial" w:cs="Arial"/>
                <w:sz w:val="20"/>
                <w:szCs w:val="20"/>
              </w:rPr>
              <w:t>moved for injunctive relief to enjoin the use of HB 2 and SB 3 in the 2022 election cycle.</w:t>
            </w:r>
          </w:p>
          <w:p w14:paraId="1FF1B6AC" w14:textId="0BA0FC77" w:rsidR="005750C5" w:rsidRPr="00234500" w:rsidRDefault="002F3011" w:rsidP="0023450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AE25E7">
              <w:rPr>
                <w:rFonts w:ascii="Arial" w:hAnsi="Arial" w:cs="Arial"/>
                <w:sz w:val="20"/>
                <w:szCs w:val="20"/>
              </w:rPr>
              <w:t>2/4/</w:t>
            </w:r>
            <w:r w:rsidRPr="002F3011">
              <w:rPr>
                <w:rFonts w:ascii="Arial" w:hAnsi="Arial" w:cs="Arial"/>
                <w:sz w:val="20"/>
                <w:szCs w:val="20"/>
              </w:rPr>
              <w:t>2022, the Commonwealth filed a crossclaim and counterclaim</w:t>
            </w:r>
            <w:r w:rsidR="0023450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34500" w:rsidRPr="00234500">
              <w:rPr>
                <w:rFonts w:ascii="Arial" w:hAnsi="Arial" w:cs="Arial"/>
                <w:sz w:val="20"/>
                <w:szCs w:val="20"/>
              </w:rPr>
              <w:t>challenging the</w:t>
            </w:r>
            <w:r w:rsidR="002345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500" w:rsidRPr="00234500">
              <w:rPr>
                <w:rFonts w:ascii="Arial" w:hAnsi="Arial" w:cs="Arial"/>
                <w:sz w:val="20"/>
                <w:szCs w:val="20"/>
              </w:rPr>
              <w:t>constitutionality of the</w:t>
            </w:r>
            <w:r w:rsidR="000C576A">
              <w:rPr>
                <w:rFonts w:ascii="Arial" w:hAnsi="Arial" w:cs="Arial"/>
                <w:sz w:val="20"/>
                <w:szCs w:val="20"/>
              </w:rPr>
              <w:t xml:space="preserve"> prior</w:t>
            </w:r>
            <w:r w:rsidR="00234500" w:rsidRPr="00234500">
              <w:rPr>
                <w:rFonts w:ascii="Arial" w:hAnsi="Arial" w:cs="Arial"/>
                <w:sz w:val="20"/>
                <w:szCs w:val="20"/>
              </w:rPr>
              <w:t xml:space="preserve"> 2012/2013 districts</w:t>
            </w:r>
            <w:r w:rsidR="005E32FB">
              <w:rPr>
                <w:rFonts w:ascii="Arial" w:hAnsi="Arial" w:cs="Arial"/>
                <w:sz w:val="20"/>
                <w:szCs w:val="20"/>
              </w:rPr>
              <w:t xml:space="preserve"> and asking the court to </w:t>
            </w:r>
            <w:r w:rsidR="005E32FB" w:rsidRPr="005E32FB">
              <w:rPr>
                <w:rFonts w:ascii="Arial" w:hAnsi="Arial" w:cs="Arial"/>
                <w:sz w:val="20"/>
                <w:szCs w:val="20"/>
              </w:rPr>
              <w:t>permanently enjoin the use of those apportionment plans in any future election</w:t>
            </w:r>
            <w:r w:rsidR="005E32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8E255E" w14:textId="48DA13B5" w:rsidR="009206FC" w:rsidRDefault="009206FC" w:rsidP="009206F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206FC">
              <w:rPr>
                <w:rFonts w:ascii="Arial" w:hAnsi="Arial" w:cs="Arial"/>
                <w:sz w:val="20"/>
                <w:szCs w:val="20"/>
              </w:rPr>
              <w:t xml:space="preserve">Additionally, </w:t>
            </w:r>
            <w:r w:rsidR="00A51857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2/4/</w:t>
            </w:r>
            <w:r w:rsidRPr="009206FC">
              <w:rPr>
                <w:rFonts w:ascii="Arial" w:hAnsi="Arial" w:cs="Arial"/>
                <w:sz w:val="20"/>
                <w:szCs w:val="20"/>
              </w:rPr>
              <w:t>2022,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06FC">
              <w:rPr>
                <w:rFonts w:ascii="Arial" w:hAnsi="Arial" w:cs="Arial"/>
                <w:sz w:val="20"/>
                <w:szCs w:val="20"/>
              </w:rPr>
              <w:t>Commonwealth and Secretary Adams jointly filed a Motion to Dismiss.</w:t>
            </w:r>
          </w:p>
          <w:p w14:paraId="0E154E73" w14:textId="77777777" w:rsidR="001F3FA5" w:rsidRDefault="00C65754" w:rsidP="001F3FA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65754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2/10/</w:t>
            </w:r>
            <w:r w:rsidRPr="00C65754">
              <w:rPr>
                <w:rFonts w:ascii="Arial" w:hAnsi="Arial" w:cs="Arial"/>
                <w:sz w:val="20"/>
                <w:szCs w:val="20"/>
              </w:rPr>
              <w:t>2022</w:t>
            </w:r>
            <w:r w:rsidR="00C761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65754">
              <w:rPr>
                <w:rFonts w:ascii="Arial" w:hAnsi="Arial" w:cs="Arial"/>
                <w:sz w:val="20"/>
                <w:szCs w:val="20"/>
              </w:rPr>
              <w:t>the Court heard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5754">
              <w:rPr>
                <w:rFonts w:ascii="Arial" w:hAnsi="Arial" w:cs="Arial"/>
                <w:sz w:val="20"/>
                <w:szCs w:val="20"/>
              </w:rPr>
              <w:t>oral argument</w:t>
            </w:r>
            <w:r w:rsidR="001F3FA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90CA84" w14:textId="77777777" w:rsidR="000E67CE" w:rsidRDefault="001F3FA5" w:rsidP="000E67C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F3FA5">
              <w:rPr>
                <w:rFonts w:ascii="Arial" w:hAnsi="Arial" w:cs="Arial"/>
                <w:sz w:val="20"/>
                <w:szCs w:val="20"/>
              </w:rPr>
              <w:t xml:space="preserve">By Order </w:t>
            </w:r>
            <w:r>
              <w:rPr>
                <w:rFonts w:ascii="Arial" w:hAnsi="Arial" w:cs="Arial"/>
                <w:sz w:val="20"/>
                <w:szCs w:val="20"/>
              </w:rPr>
              <w:t>entered 2/17/</w:t>
            </w:r>
            <w:r w:rsidRPr="001F3FA5">
              <w:rPr>
                <w:rFonts w:ascii="Arial" w:hAnsi="Arial" w:cs="Arial"/>
                <w:sz w:val="20"/>
                <w:szCs w:val="20"/>
              </w:rPr>
              <w:t>2022,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3FA5">
              <w:rPr>
                <w:rFonts w:ascii="Arial" w:hAnsi="Arial" w:cs="Arial"/>
                <w:sz w:val="20"/>
                <w:szCs w:val="20"/>
              </w:rPr>
              <w:t>Court denied the Commonwealth’s and Secretary Adams’ Motion to Dismiss finding that</w:t>
            </w:r>
            <w:r w:rsidR="000E6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7CE">
              <w:rPr>
                <w:rFonts w:ascii="Arial" w:hAnsi="Arial" w:cs="Arial"/>
                <w:sz w:val="20"/>
                <w:szCs w:val="20"/>
              </w:rPr>
              <w:t xml:space="preserve">it was premature. </w:t>
            </w:r>
          </w:p>
          <w:p w14:paraId="76E36A9D" w14:textId="77777777" w:rsidR="000E67CE" w:rsidRDefault="001F3FA5" w:rsidP="000E67C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E67CE">
              <w:rPr>
                <w:rFonts w:ascii="Arial" w:hAnsi="Arial" w:cs="Arial"/>
                <w:sz w:val="20"/>
                <w:szCs w:val="20"/>
              </w:rPr>
              <w:t xml:space="preserve">Additionally, by separate Order entered </w:t>
            </w:r>
            <w:r w:rsidR="000E67CE">
              <w:rPr>
                <w:rFonts w:ascii="Arial" w:hAnsi="Arial" w:cs="Arial"/>
                <w:sz w:val="20"/>
                <w:szCs w:val="20"/>
              </w:rPr>
              <w:t>2/17/</w:t>
            </w:r>
            <w:r w:rsidRPr="000E67CE">
              <w:rPr>
                <w:rFonts w:ascii="Arial" w:hAnsi="Arial" w:cs="Arial"/>
                <w:sz w:val="20"/>
                <w:szCs w:val="20"/>
              </w:rPr>
              <w:t>2022, the Court</w:t>
            </w:r>
            <w:r w:rsidR="000E6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7CE">
              <w:rPr>
                <w:rFonts w:ascii="Arial" w:hAnsi="Arial" w:cs="Arial"/>
                <w:sz w:val="20"/>
                <w:szCs w:val="20"/>
              </w:rPr>
              <w:t xml:space="preserve">denied Plaintiffs’ Motion for Temporary Injunction. </w:t>
            </w:r>
          </w:p>
          <w:p w14:paraId="25B9998A" w14:textId="28B15EFA" w:rsidR="009206FC" w:rsidRDefault="001F3FA5" w:rsidP="000E67C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E67CE">
              <w:rPr>
                <w:rFonts w:ascii="Arial" w:hAnsi="Arial" w:cs="Arial"/>
                <w:sz w:val="20"/>
                <w:szCs w:val="20"/>
              </w:rPr>
              <w:t>The Court determined that “injunctive</w:t>
            </w:r>
            <w:r w:rsidR="000E6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7CE">
              <w:rPr>
                <w:rFonts w:ascii="Arial" w:hAnsi="Arial" w:cs="Arial"/>
                <w:sz w:val="20"/>
                <w:szCs w:val="20"/>
              </w:rPr>
              <w:t>relief would disrupt the status quo, would unduly harm Secretary Adams and other election</w:t>
            </w:r>
            <w:r w:rsidR="000E67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7CE">
              <w:rPr>
                <w:rFonts w:ascii="Arial" w:hAnsi="Arial" w:cs="Arial"/>
                <w:sz w:val="20"/>
                <w:szCs w:val="20"/>
              </w:rPr>
              <w:t>officials, and would disserve the public.”</w:t>
            </w:r>
          </w:p>
          <w:p w14:paraId="379569EC" w14:textId="09251070" w:rsidR="00796DFC" w:rsidRDefault="001D116C" w:rsidP="00796DF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D116C">
              <w:rPr>
                <w:rFonts w:ascii="Arial" w:hAnsi="Arial" w:cs="Arial"/>
                <w:sz w:val="20"/>
                <w:szCs w:val="20"/>
              </w:rPr>
              <w:t xml:space="preserve">A bench trial was held on </w:t>
            </w:r>
            <w:r>
              <w:rPr>
                <w:rFonts w:ascii="Arial" w:hAnsi="Arial" w:cs="Arial"/>
                <w:sz w:val="20"/>
                <w:szCs w:val="20"/>
              </w:rPr>
              <w:t>4/</w:t>
            </w:r>
            <w:r w:rsidRPr="001D116C">
              <w:rPr>
                <w:rFonts w:ascii="Arial" w:hAnsi="Arial" w:cs="Arial"/>
                <w:sz w:val="20"/>
                <w:szCs w:val="20"/>
              </w:rPr>
              <w:t>5</w:t>
            </w:r>
            <w:r w:rsidR="003C5B79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4/7/</w:t>
            </w:r>
            <w:r w:rsidRPr="001D116C">
              <w:rPr>
                <w:rFonts w:ascii="Arial" w:hAnsi="Arial" w:cs="Arial"/>
                <w:sz w:val="20"/>
                <w:szCs w:val="20"/>
              </w:rPr>
              <w:t>2022.</w:t>
            </w:r>
          </w:p>
          <w:p w14:paraId="7D810081" w14:textId="77777777" w:rsidR="007F4847" w:rsidRDefault="007F4847" w:rsidP="007F484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F4847">
              <w:rPr>
                <w:rFonts w:ascii="Arial" w:hAnsi="Arial" w:cs="Arial"/>
                <w:sz w:val="20"/>
                <w:szCs w:val="20"/>
              </w:rPr>
              <w:t xml:space="preserve">At trial, Plaintiffs offered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 exhibits into evidence and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Commonwealth offered </w:t>
            </w:r>
            <w:r>
              <w:rPr>
                <w:rFonts w:ascii="Arial" w:hAnsi="Arial" w:cs="Arial"/>
                <w:sz w:val="20"/>
                <w:szCs w:val="20"/>
              </w:rPr>
              <w:t xml:space="preserve">35 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exhibits. </w:t>
            </w:r>
          </w:p>
          <w:p w14:paraId="785B42A0" w14:textId="50D3FD5F" w:rsidR="007F4847" w:rsidRDefault="007F4847" w:rsidP="007F484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F4847">
              <w:rPr>
                <w:rFonts w:ascii="Arial" w:hAnsi="Arial" w:cs="Arial"/>
                <w:sz w:val="20"/>
                <w:szCs w:val="20"/>
              </w:rPr>
              <w:lastRenderedPageBreak/>
              <w:t>Additionally,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4847">
              <w:rPr>
                <w:rFonts w:ascii="Arial" w:hAnsi="Arial" w:cs="Arial"/>
                <w:sz w:val="20"/>
                <w:szCs w:val="20"/>
              </w:rPr>
              <w:t>proffered expert testimony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7F4847">
              <w:rPr>
                <w:rFonts w:ascii="Arial" w:hAnsi="Arial" w:cs="Arial"/>
                <w:sz w:val="20"/>
                <w:szCs w:val="20"/>
              </w:rPr>
              <w:t>witnesses: Dr. Kosuke Imai</w:t>
            </w:r>
            <w:r w:rsidR="00E86B0C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 and Dr. Devin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847">
              <w:rPr>
                <w:rFonts w:ascii="Arial" w:hAnsi="Arial" w:cs="Arial"/>
                <w:sz w:val="20"/>
                <w:szCs w:val="20"/>
              </w:rPr>
              <w:t>Caughey</w:t>
            </w:r>
            <w:proofErr w:type="spellEnd"/>
            <w:r w:rsidRPr="007F4847">
              <w:rPr>
                <w:rFonts w:ascii="Arial" w:hAnsi="Arial" w:cs="Arial"/>
                <w:sz w:val="20"/>
                <w:szCs w:val="20"/>
              </w:rPr>
              <w:t>,</w:t>
            </w:r>
            <w:r w:rsidR="006D53E9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 and lay testimony from three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 witnesses: Representative Derrick Graham, Jill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4847">
              <w:rPr>
                <w:rFonts w:ascii="Arial" w:hAnsi="Arial" w:cs="Arial"/>
                <w:sz w:val="20"/>
                <w:szCs w:val="20"/>
              </w:rPr>
              <w:t>Robinson, and Trey Heineman</w:t>
            </w:r>
            <w:r w:rsidR="00373F5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73F56" w:rsidRPr="00373F56">
              <w:rPr>
                <w:rFonts w:ascii="Arial" w:hAnsi="Arial" w:cs="Arial"/>
                <w:i/>
                <w:iCs/>
                <w:sz w:val="20"/>
                <w:szCs w:val="20"/>
              </w:rPr>
              <w:t>see</w:t>
            </w:r>
            <w:r w:rsidR="00373F56">
              <w:rPr>
                <w:rFonts w:ascii="Arial" w:hAnsi="Arial" w:cs="Arial"/>
                <w:sz w:val="20"/>
                <w:szCs w:val="20"/>
              </w:rPr>
              <w:t xml:space="preserve"> lay testimony at pp. 18–24).</w:t>
            </w:r>
          </w:p>
          <w:p w14:paraId="72F0A76C" w14:textId="142E1A47" w:rsidR="002C3DAF" w:rsidRPr="00E20D83" w:rsidRDefault="007F4847" w:rsidP="00E20D8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F4847">
              <w:rPr>
                <w:rFonts w:ascii="Arial" w:hAnsi="Arial" w:cs="Arial"/>
                <w:sz w:val="20"/>
                <w:szCs w:val="20"/>
              </w:rPr>
              <w:t>In rebuttal, the Commonwealth proffered expert testimony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witnesses: Sean </w:t>
            </w:r>
            <w:proofErr w:type="spellStart"/>
            <w:r w:rsidRPr="007F4847"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 w:rsidR="00D5160E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4"/>
            </w:r>
            <w:r w:rsidRPr="007F4847">
              <w:rPr>
                <w:rFonts w:ascii="Arial" w:hAnsi="Arial" w:cs="Arial"/>
                <w:sz w:val="20"/>
                <w:szCs w:val="20"/>
              </w:rPr>
              <w:t xml:space="preserve"> and Dr. Stephen Voss.</w:t>
            </w:r>
            <w:r w:rsidR="00D5160E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5"/>
            </w:r>
          </w:p>
        </w:tc>
      </w:tr>
      <w:tr w:rsidR="00ED671F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ED671F" w:rsidRPr="003F1125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3F1125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F11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Pr="003F1125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26E195EC" w14:textId="161C9305" w:rsidR="00ED671F" w:rsidRPr="003F1125" w:rsidRDefault="00F1768F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F1125">
              <w:rPr>
                <w:rFonts w:ascii="Arial" w:hAnsi="Arial" w:cs="Arial"/>
                <w:sz w:val="20"/>
                <w:szCs w:val="20"/>
              </w:rPr>
              <w:t xml:space="preserve">Judgment affirming </w:t>
            </w:r>
            <w:r w:rsidRPr="003F1125">
              <w:rPr>
                <w:rFonts w:ascii="Arial" w:hAnsi="Arial" w:cs="Arial"/>
                <w:sz w:val="20"/>
                <w:szCs w:val="20"/>
              </w:rPr>
              <w:t>the constitutionality of HB 2 and SB 3</w:t>
            </w:r>
            <w:r w:rsidR="00F3124C" w:rsidRPr="003F112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D73B91" w14:paraId="0AA16A26" w14:textId="77777777" w:rsidTr="00A522D6">
        <w:trPr>
          <w:trHeight w:val="1827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61703E2B" w14:textId="3095DC6D" w:rsidR="009D125C" w:rsidRPr="009D125C" w:rsidRDefault="009D125C" w:rsidP="009D125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125C">
              <w:rPr>
                <w:rFonts w:ascii="Arial" w:hAnsi="Arial" w:cs="Arial"/>
                <w:sz w:val="20"/>
                <w:szCs w:val="20"/>
              </w:rPr>
              <w:t xml:space="preserve">The 2020 Census determined that </w:t>
            </w:r>
            <w:r w:rsidR="000A7B81">
              <w:rPr>
                <w:rFonts w:ascii="Arial" w:hAnsi="Arial" w:cs="Arial"/>
                <w:sz w:val="20"/>
                <w:szCs w:val="20"/>
              </w:rPr>
              <w:t>KY’s</w:t>
            </w:r>
            <w:r w:rsidRPr="009D125C">
              <w:rPr>
                <w:rFonts w:ascii="Arial" w:hAnsi="Arial" w:cs="Arial"/>
                <w:sz w:val="20"/>
                <w:szCs w:val="20"/>
              </w:rPr>
              <w:t xml:space="preserve"> population </w:t>
            </w:r>
            <w:r w:rsidR="00625B2D">
              <w:rPr>
                <w:rFonts w:ascii="Arial" w:hAnsi="Arial" w:cs="Arial"/>
                <w:sz w:val="20"/>
                <w:szCs w:val="20"/>
              </w:rPr>
              <w:t>is</w:t>
            </w:r>
            <w:r w:rsidRPr="009D125C">
              <w:rPr>
                <w:rFonts w:ascii="Arial" w:hAnsi="Arial" w:cs="Arial"/>
                <w:sz w:val="20"/>
                <w:szCs w:val="20"/>
              </w:rPr>
              <w:t xml:space="preserve"> 4,505,836.</w:t>
            </w:r>
          </w:p>
          <w:p w14:paraId="39B41866" w14:textId="663BC8B0" w:rsidR="00ED671F" w:rsidRDefault="009D125C" w:rsidP="009D125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125C">
              <w:rPr>
                <w:rFonts w:ascii="Arial" w:hAnsi="Arial" w:cs="Arial"/>
                <w:sz w:val="20"/>
                <w:szCs w:val="20"/>
              </w:rPr>
              <w:t xml:space="preserve">Thus, </w:t>
            </w:r>
            <w:r w:rsidR="000A7B81">
              <w:rPr>
                <w:rFonts w:ascii="Arial" w:hAnsi="Arial" w:cs="Arial"/>
                <w:sz w:val="20"/>
                <w:szCs w:val="20"/>
              </w:rPr>
              <w:t>KY</w:t>
            </w:r>
            <w:r w:rsidRPr="009D12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70CA">
              <w:rPr>
                <w:rFonts w:ascii="Arial" w:hAnsi="Arial" w:cs="Arial"/>
                <w:sz w:val="20"/>
                <w:szCs w:val="20"/>
              </w:rPr>
              <w:t>is</w:t>
            </w:r>
            <w:r w:rsidRPr="009D125C">
              <w:rPr>
                <w:rFonts w:ascii="Arial" w:hAnsi="Arial" w:cs="Arial"/>
                <w:sz w:val="20"/>
                <w:szCs w:val="20"/>
              </w:rPr>
              <w:t xml:space="preserve"> entitled to </w:t>
            </w:r>
            <w:r w:rsidR="00AD1A1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125C">
              <w:rPr>
                <w:rFonts w:ascii="Arial" w:hAnsi="Arial" w:cs="Arial"/>
                <w:sz w:val="20"/>
                <w:szCs w:val="20"/>
              </w:rPr>
              <w:t>Congressional representatives.</w:t>
            </w:r>
          </w:p>
          <w:p w14:paraId="2BD2C5DF" w14:textId="7676CE7F" w:rsidR="009D125C" w:rsidRDefault="009E6F83" w:rsidP="009E6F8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E6F83">
              <w:rPr>
                <w:rFonts w:ascii="Arial" w:hAnsi="Arial" w:cs="Arial"/>
                <w:sz w:val="20"/>
                <w:szCs w:val="20"/>
              </w:rPr>
              <w:t xml:space="preserve">The ideal population for </w:t>
            </w:r>
            <w:r w:rsidR="00DA5809">
              <w:rPr>
                <w:rFonts w:ascii="Arial" w:hAnsi="Arial" w:cs="Arial"/>
                <w:sz w:val="20"/>
                <w:szCs w:val="20"/>
              </w:rPr>
              <w:t>the 6</w:t>
            </w:r>
            <w:r w:rsidRPr="009E6F83">
              <w:rPr>
                <w:rFonts w:ascii="Arial" w:hAnsi="Arial" w:cs="Arial"/>
                <w:sz w:val="20"/>
                <w:szCs w:val="20"/>
              </w:rPr>
              <w:t xml:space="preserve"> Congressional District</w:t>
            </w:r>
            <w:r w:rsidR="00284980">
              <w:rPr>
                <w:rFonts w:ascii="Arial" w:hAnsi="Arial" w:cs="Arial"/>
                <w:sz w:val="20"/>
                <w:szCs w:val="20"/>
              </w:rPr>
              <w:t>s</w:t>
            </w:r>
            <w:r w:rsidRPr="009E6F83">
              <w:rPr>
                <w:rFonts w:ascii="Arial" w:hAnsi="Arial" w:cs="Arial"/>
                <w:sz w:val="20"/>
                <w:szCs w:val="20"/>
              </w:rPr>
              <w:t xml:space="preserve"> is 750,973 people.</w:t>
            </w:r>
          </w:p>
          <w:p w14:paraId="419355E6" w14:textId="34E65635" w:rsidR="00E30FBC" w:rsidRPr="00E30FBC" w:rsidRDefault="00E30FBC" w:rsidP="00E30FB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30FBC">
              <w:rPr>
                <w:rFonts w:ascii="Arial" w:hAnsi="Arial" w:cs="Arial"/>
                <w:sz w:val="20"/>
                <w:szCs w:val="20"/>
              </w:rPr>
              <w:t xml:space="preserve">Section 33 of the </w:t>
            </w:r>
            <w:r w:rsidR="0055103B">
              <w:rPr>
                <w:rFonts w:ascii="Arial" w:hAnsi="Arial" w:cs="Arial"/>
                <w:sz w:val="20"/>
                <w:szCs w:val="20"/>
              </w:rPr>
              <w:t>KY</w:t>
            </w:r>
            <w:r w:rsidRPr="00E30FBC">
              <w:rPr>
                <w:rFonts w:ascii="Arial" w:hAnsi="Arial" w:cs="Arial"/>
                <w:sz w:val="20"/>
                <w:szCs w:val="20"/>
              </w:rPr>
              <w:t xml:space="preserve"> Constitution establishes 100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0FBC">
              <w:rPr>
                <w:rFonts w:ascii="Arial" w:hAnsi="Arial" w:cs="Arial"/>
                <w:sz w:val="20"/>
                <w:szCs w:val="20"/>
              </w:rPr>
              <w:t>state House Districts</w:t>
            </w:r>
          </w:p>
          <w:p w14:paraId="60A672B4" w14:textId="5ABA62C1" w:rsidR="00781D52" w:rsidRDefault="00781D52" w:rsidP="009E6F8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781D52">
              <w:rPr>
                <w:rFonts w:ascii="Arial" w:hAnsi="Arial" w:cs="Arial"/>
                <w:sz w:val="20"/>
                <w:szCs w:val="20"/>
              </w:rPr>
              <w:t xml:space="preserve">he ideal population for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DA5809">
              <w:rPr>
                <w:rFonts w:ascii="Arial" w:hAnsi="Arial" w:cs="Arial"/>
                <w:sz w:val="20"/>
                <w:szCs w:val="20"/>
              </w:rPr>
              <w:t xml:space="preserve"> 100 </w:t>
            </w:r>
            <w:r>
              <w:rPr>
                <w:rFonts w:ascii="Arial" w:hAnsi="Arial" w:cs="Arial"/>
                <w:sz w:val="20"/>
                <w:szCs w:val="20"/>
              </w:rPr>
              <w:t xml:space="preserve">[house] </w:t>
            </w:r>
            <w:r w:rsidRPr="00781D52">
              <w:rPr>
                <w:rFonts w:ascii="Arial" w:hAnsi="Arial" w:cs="Arial"/>
                <w:sz w:val="20"/>
                <w:szCs w:val="20"/>
              </w:rPr>
              <w:t xml:space="preserve">districts </w:t>
            </w:r>
            <w:r w:rsidR="007039DC">
              <w:rPr>
                <w:rFonts w:ascii="Arial" w:hAnsi="Arial" w:cs="Arial"/>
                <w:sz w:val="20"/>
                <w:szCs w:val="20"/>
              </w:rPr>
              <w:t>is</w:t>
            </w:r>
            <w:r w:rsidRPr="00781D52">
              <w:rPr>
                <w:rFonts w:ascii="Arial" w:hAnsi="Arial" w:cs="Arial"/>
                <w:sz w:val="20"/>
                <w:szCs w:val="20"/>
              </w:rPr>
              <w:t xml:space="preserve"> 45,058 people.</w:t>
            </w:r>
          </w:p>
          <w:p w14:paraId="5483CCBA" w14:textId="70F5975A" w:rsidR="00F10C33" w:rsidRDefault="00FC6520" w:rsidP="00F10C3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C6520">
              <w:rPr>
                <w:rFonts w:ascii="Arial" w:hAnsi="Arial" w:cs="Arial"/>
                <w:sz w:val="20"/>
                <w:szCs w:val="20"/>
              </w:rPr>
              <w:t>The General Assembly passed HB 2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A4B6E">
              <w:rPr>
                <w:rFonts w:ascii="Arial" w:hAnsi="Arial" w:cs="Arial"/>
                <w:sz w:val="20"/>
                <w:szCs w:val="20"/>
              </w:rPr>
              <w:t xml:space="preserve">maps for </w:t>
            </w:r>
            <w:r w:rsidR="00C808BD">
              <w:rPr>
                <w:rFonts w:ascii="Arial" w:hAnsi="Arial" w:cs="Arial"/>
                <w:sz w:val="20"/>
                <w:szCs w:val="20"/>
              </w:rPr>
              <w:t xml:space="preserve">state </w:t>
            </w:r>
            <w:r>
              <w:rPr>
                <w:rFonts w:ascii="Arial" w:hAnsi="Arial" w:cs="Arial"/>
                <w:sz w:val="20"/>
                <w:szCs w:val="20"/>
              </w:rPr>
              <w:t>house districts)</w:t>
            </w:r>
            <w:r w:rsidRPr="00FC6520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F5731C">
              <w:rPr>
                <w:rFonts w:ascii="Arial" w:hAnsi="Arial" w:cs="Arial"/>
                <w:sz w:val="20"/>
                <w:szCs w:val="20"/>
              </w:rPr>
              <w:t>1/8/</w:t>
            </w:r>
            <w:r w:rsidRPr="00FC6520">
              <w:rPr>
                <w:rFonts w:ascii="Arial" w:hAnsi="Arial" w:cs="Arial"/>
                <w:sz w:val="20"/>
                <w:szCs w:val="20"/>
              </w:rPr>
              <w:t>2022, and it was then delivered</w:t>
            </w:r>
            <w:r w:rsidR="00F10C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0C33">
              <w:rPr>
                <w:rFonts w:ascii="Arial" w:hAnsi="Arial" w:cs="Arial"/>
                <w:sz w:val="20"/>
                <w:szCs w:val="20"/>
              </w:rPr>
              <w:t xml:space="preserve">to Governor Andy </w:t>
            </w:r>
            <w:proofErr w:type="spellStart"/>
            <w:r w:rsidRPr="00F10C33">
              <w:rPr>
                <w:rFonts w:ascii="Arial" w:hAnsi="Arial" w:cs="Arial"/>
                <w:sz w:val="20"/>
                <w:szCs w:val="20"/>
              </w:rPr>
              <w:t>Besehar</w:t>
            </w:r>
            <w:proofErr w:type="spellEnd"/>
            <w:r w:rsidRPr="00F10C3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EBE1604" w14:textId="30FC0C81" w:rsidR="00254914" w:rsidRDefault="00FC6520" w:rsidP="002549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10C33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F10C33">
              <w:rPr>
                <w:rFonts w:ascii="Arial" w:hAnsi="Arial" w:cs="Arial"/>
                <w:sz w:val="20"/>
                <w:szCs w:val="20"/>
              </w:rPr>
              <w:t>1/19/</w:t>
            </w:r>
            <w:r w:rsidRPr="00F10C33">
              <w:rPr>
                <w:rFonts w:ascii="Arial" w:hAnsi="Arial" w:cs="Arial"/>
                <w:sz w:val="20"/>
                <w:szCs w:val="20"/>
              </w:rPr>
              <w:t xml:space="preserve">2022, </w:t>
            </w:r>
            <w:r w:rsidR="00C808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10C33">
              <w:rPr>
                <w:rFonts w:ascii="Arial" w:hAnsi="Arial" w:cs="Arial"/>
                <w:sz w:val="20"/>
                <w:szCs w:val="20"/>
              </w:rPr>
              <w:t xml:space="preserve">Governor </w:t>
            </w:r>
            <w:r w:rsidRPr="003D72F6">
              <w:rPr>
                <w:rFonts w:ascii="Arial" w:hAnsi="Arial" w:cs="Arial"/>
                <w:sz w:val="20"/>
                <w:szCs w:val="20"/>
              </w:rPr>
              <w:t>vetoed HB 2 opining that the redistricting plan is an</w:t>
            </w:r>
            <w:r w:rsidR="005618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18B0">
              <w:rPr>
                <w:rFonts w:ascii="Arial" w:hAnsi="Arial" w:cs="Arial"/>
                <w:sz w:val="20"/>
                <w:szCs w:val="20"/>
              </w:rPr>
              <w:t>unconstitutional partisan gerrymander, excessively splits counties, and dilutes the voices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of certain minority communities. </w:t>
            </w:r>
          </w:p>
          <w:p w14:paraId="5ED7AEBB" w14:textId="14F067ED" w:rsidR="00254914" w:rsidRDefault="00FC6520" w:rsidP="002549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4914">
              <w:rPr>
                <w:rFonts w:ascii="Arial" w:hAnsi="Arial" w:cs="Arial"/>
                <w:sz w:val="20"/>
                <w:szCs w:val="20"/>
              </w:rPr>
              <w:t>The General Assembly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overrode </w:t>
            </w:r>
            <w:r w:rsidR="00CB2BD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254914">
              <w:rPr>
                <w:rFonts w:ascii="Arial" w:hAnsi="Arial" w:cs="Arial"/>
                <w:sz w:val="20"/>
                <w:szCs w:val="20"/>
              </w:rPr>
              <w:t>Governor</w:t>
            </w:r>
            <w:r w:rsidR="00CB2BD9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veto on </w:t>
            </w:r>
            <w:r w:rsidR="00254914">
              <w:rPr>
                <w:rFonts w:ascii="Arial" w:hAnsi="Arial" w:cs="Arial"/>
                <w:sz w:val="20"/>
                <w:szCs w:val="20"/>
              </w:rPr>
              <w:t>1/20/</w:t>
            </w:r>
            <w:r w:rsidRPr="00254914">
              <w:rPr>
                <w:rFonts w:ascii="Arial" w:hAnsi="Arial" w:cs="Arial"/>
                <w:sz w:val="20"/>
                <w:szCs w:val="20"/>
              </w:rPr>
              <w:t>2022, and HB 2 became effective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4914">
              <w:rPr>
                <w:rFonts w:ascii="Arial" w:hAnsi="Arial" w:cs="Arial"/>
                <w:sz w:val="20"/>
                <w:szCs w:val="20"/>
              </w:rPr>
              <w:t>immediately</w:t>
            </w:r>
            <w:r w:rsidR="002549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963D75" w14:textId="2FB9B0CE" w:rsidR="00254914" w:rsidRDefault="00FC6520" w:rsidP="0025491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4914">
              <w:rPr>
                <w:rFonts w:ascii="Arial" w:hAnsi="Arial" w:cs="Arial"/>
                <w:sz w:val="20"/>
                <w:szCs w:val="20"/>
              </w:rPr>
              <w:t xml:space="preserve">Similarly, SB 3 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(maps for congressional districts) </w:t>
            </w:r>
            <w:r w:rsidRPr="00254914">
              <w:rPr>
                <w:rFonts w:ascii="Arial" w:hAnsi="Arial" w:cs="Arial"/>
                <w:sz w:val="20"/>
                <w:szCs w:val="20"/>
              </w:rPr>
              <w:t>was passed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and delivered to </w:t>
            </w:r>
            <w:r w:rsidR="009E781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Governor on </w:t>
            </w:r>
            <w:r w:rsidR="00254914">
              <w:rPr>
                <w:rFonts w:ascii="Arial" w:hAnsi="Arial" w:cs="Arial"/>
                <w:sz w:val="20"/>
                <w:szCs w:val="20"/>
              </w:rPr>
              <w:t>1/8/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2022. </w:t>
            </w:r>
          </w:p>
          <w:p w14:paraId="7E5BC7DD" w14:textId="747B33D6" w:rsidR="00FB1700" w:rsidRDefault="00FC6520" w:rsidP="00FB170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4914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254914">
              <w:rPr>
                <w:rFonts w:ascii="Arial" w:hAnsi="Arial" w:cs="Arial"/>
                <w:sz w:val="20"/>
                <w:szCs w:val="20"/>
              </w:rPr>
              <w:t>1/19/2</w:t>
            </w:r>
            <w:r w:rsidRPr="00254914">
              <w:rPr>
                <w:rFonts w:ascii="Arial" w:hAnsi="Arial" w:cs="Arial"/>
                <w:sz w:val="20"/>
                <w:szCs w:val="20"/>
              </w:rPr>
              <w:t xml:space="preserve">022, </w:t>
            </w:r>
            <w:r w:rsidR="00E53D0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254914">
              <w:rPr>
                <w:rFonts w:ascii="Arial" w:hAnsi="Arial" w:cs="Arial"/>
                <w:sz w:val="20"/>
                <w:szCs w:val="20"/>
              </w:rPr>
              <w:t>Governor</w:t>
            </w:r>
            <w:r w:rsidR="002549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4914">
              <w:rPr>
                <w:rFonts w:ascii="Arial" w:hAnsi="Arial" w:cs="Arial"/>
                <w:sz w:val="20"/>
                <w:szCs w:val="20"/>
              </w:rPr>
              <w:t>vetoed SB 3 claiming it was drafted</w:t>
            </w:r>
            <w:r w:rsidR="00FB17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1700">
              <w:rPr>
                <w:rFonts w:ascii="Arial" w:hAnsi="Arial" w:cs="Arial"/>
                <w:sz w:val="20"/>
                <w:szCs w:val="20"/>
              </w:rPr>
              <w:t>without public input and is an unconstitutional partisan gerrymander noting that the First</w:t>
            </w:r>
            <w:r w:rsidR="00FB17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1700">
              <w:rPr>
                <w:rFonts w:ascii="Arial" w:hAnsi="Arial" w:cs="Arial"/>
                <w:sz w:val="20"/>
                <w:szCs w:val="20"/>
              </w:rPr>
              <w:t>Congressional District uncharacteristically spans hundreds of miles from Fulton County to</w:t>
            </w:r>
            <w:r w:rsidR="00FB17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1700">
              <w:rPr>
                <w:rFonts w:ascii="Arial" w:hAnsi="Arial" w:cs="Arial"/>
                <w:sz w:val="20"/>
                <w:szCs w:val="20"/>
              </w:rPr>
              <w:t xml:space="preserve">Franklin County. </w:t>
            </w:r>
          </w:p>
          <w:p w14:paraId="65F891B1" w14:textId="0E550B0D" w:rsidR="002E2376" w:rsidRPr="00B731C0" w:rsidRDefault="00FC6520" w:rsidP="00B731C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B1700">
              <w:rPr>
                <w:rFonts w:ascii="Arial" w:hAnsi="Arial" w:cs="Arial"/>
                <w:sz w:val="20"/>
                <w:szCs w:val="20"/>
              </w:rPr>
              <w:t>The General Assembly overrode</w:t>
            </w:r>
            <w:r w:rsidR="00FB17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4D6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B1700">
              <w:rPr>
                <w:rFonts w:ascii="Arial" w:hAnsi="Arial" w:cs="Arial"/>
                <w:sz w:val="20"/>
                <w:szCs w:val="20"/>
              </w:rPr>
              <w:t>Governor</w:t>
            </w:r>
            <w:r w:rsidR="009F2C94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9F2C94">
              <w:rPr>
                <w:rFonts w:ascii="Arial" w:hAnsi="Arial" w:cs="Arial"/>
                <w:sz w:val="20"/>
                <w:szCs w:val="20"/>
              </w:rPr>
              <w:t xml:space="preserve">veto on </w:t>
            </w:r>
            <w:r w:rsidR="00FB1700" w:rsidRPr="009F2C94">
              <w:rPr>
                <w:rFonts w:ascii="Arial" w:hAnsi="Arial" w:cs="Arial"/>
                <w:sz w:val="20"/>
                <w:szCs w:val="20"/>
              </w:rPr>
              <w:t>1/20/</w:t>
            </w:r>
            <w:r w:rsidRPr="009F2C94">
              <w:rPr>
                <w:rFonts w:ascii="Arial" w:hAnsi="Arial" w:cs="Arial"/>
                <w:sz w:val="20"/>
                <w:szCs w:val="20"/>
              </w:rPr>
              <w:t>2022, and SB 3 became effective immediately</w:t>
            </w:r>
            <w:r w:rsidR="00FB1700" w:rsidRPr="009F2C9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639D96" w14:textId="5A715DBB" w:rsidR="004A1305" w:rsidRPr="009E6F83" w:rsidRDefault="004A1305" w:rsidP="000C079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06101088" w14:textId="30D261E6" w:rsidR="00A75B87" w:rsidRDefault="00A75B87" w:rsidP="00A75B8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>
              <w:rPr>
                <w:rFonts w:ascii="Arial" w:hAnsi="Arial" w:cs="Arial"/>
                <w:sz w:val="20"/>
                <w:szCs w:val="20"/>
              </w:rPr>
              <w:t>Whether</w:t>
            </w:r>
            <w:r>
              <w:rPr>
                <w:rFonts w:ascii="Arial" w:hAnsi="Arial" w:cs="Arial"/>
                <w:sz w:val="20"/>
                <w:szCs w:val="20"/>
              </w:rPr>
              <w:t xml:space="preserve"> House Bill 2 and Senate Bill 3 were partisan gerrymanders.  </w:t>
            </w:r>
          </w:p>
          <w:p w14:paraId="13F41303" w14:textId="747EE3D3" w:rsidR="00ED671F" w:rsidRDefault="00A75B87" w:rsidP="00A75B8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F73B16">
              <w:rPr>
                <w:rFonts w:ascii="Arial" w:hAnsi="Arial" w:cs="Arial"/>
                <w:sz w:val="20"/>
                <w:szCs w:val="20"/>
              </w:rPr>
              <w:t>Whether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9D0A01">
              <w:rPr>
                <w:rFonts w:ascii="Arial" w:hAnsi="Arial" w:cs="Arial"/>
                <w:sz w:val="20"/>
                <w:szCs w:val="20"/>
              </w:rPr>
              <w:t xml:space="preserve">he Kentucky Constitution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9D0A01">
              <w:rPr>
                <w:rFonts w:ascii="Arial" w:hAnsi="Arial" w:cs="Arial"/>
                <w:sz w:val="20"/>
                <w:szCs w:val="20"/>
              </w:rPr>
              <w:t xml:space="preserve">xpressly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D0A01">
              <w:rPr>
                <w:rFonts w:ascii="Arial" w:hAnsi="Arial" w:cs="Arial"/>
                <w:sz w:val="20"/>
                <w:szCs w:val="20"/>
              </w:rPr>
              <w:t>rohibit</w:t>
            </w:r>
            <w:r w:rsidR="00C07065">
              <w:rPr>
                <w:rFonts w:ascii="Arial" w:hAnsi="Arial" w:cs="Arial"/>
                <w:sz w:val="20"/>
                <w:szCs w:val="20"/>
              </w:rPr>
              <w:t>s</w:t>
            </w:r>
            <w:r w:rsidRPr="009D0A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D0A01">
              <w:rPr>
                <w:rFonts w:ascii="Arial" w:hAnsi="Arial" w:cs="Arial"/>
                <w:sz w:val="20"/>
                <w:szCs w:val="20"/>
              </w:rPr>
              <w:t>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  <w:r w:rsidRPr="009D0A01">
              <w:rPr>
                <w:rFonts w:ascii="Arial" w:hAnsi="Arial" w:cs="Arial"/>
                <w:sz w:val="20"/>
                <w:szCs w:val="20"/>
              </w:rPr>
              <w:t>errymandering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E9030" w14:textId="6DBA0238" w:rsidR="00A75B87" w:rsidRPr="008D467C" w:rsidRDefault="00A75B87" w:rsidP="00A75B8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36271834" w14:textId="77777777" w:rsidTr="00A10326">
        <w:trPr>
          <w:trHeight w:val="207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5761BAF8" w14:textId="77777777" w:rsidR="00ED671F" w:rsidRDefault="00BD6E11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Standing</w:t>
            </w:r>
          </w:p>
          <w:p w14:paraId="4F6C4A0D" w14:textId="77777777" w:rsidR="00474978" w:rsidRDefault="00BD6E11" w:rsidP="00BD6E1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D6E11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Pr="00BD6E11">
              <w:rPr>
                <w:rFonts w:ascii="Arial" w:hAnsi="Arial" w:cs="Arial"/>
                <w:i/>
                <w:iCs/>
                <w:sz w:val="20"/>
                <w:szCs w:val="20"/>
              </w:rPr>
              <w:t>Sexton</w:t>
            </w:r>
            <w:r w:rsidRPr="00BD6E11">
              <w:rPr>
                <w:rFonts w:ascii="Arial" w:hAnsi="Arial" w:cs="Arial"/>
                <w:sz w:val="20"/>
                <w:szCs w:val="20"/>
              </w:rPr>
              <w:t xml:space="preserve"> Court </w:t>
            </w:r>
            <w:r>
              <w:rPr>
                <w:rFonts w:ascii="Arial" w:hAnsi="Arial" w:cs="Arial"/>
                <w:sz w:val="20"/>
                <w:szCs w:val="20"/>
              </w:rPr>
              <w:t xml:space="preserve">adopted 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Lujan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and </w:t>
            </w:r>
            <w:r w:rsidRPr="00BD6E11">
              <w:rPr>
                <w:rFonts w:ascii="Arial" w:hAnsi="Arial" w:cs="Arial"/>
                <w:sz w:val="20"/>
                <w:szCs w:val="20"/>
              </w:rPr>
              <w:t>clarified that “for a party to sue in Kentucky,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6E11">
              <w:rPr>
                <w:rFonts w:ascii="Arial" w:hAnsi="Arial" w:cs="Arial"/>
                <w:sz w:val="20"/>
                <w:szCs w:val="20"/>
              </w:rPr>
              <w:t>the initiating party must have the requisite constitutional standing to do so, defined by three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6E11">
              <w:rPr>
                <w:rFonts w:ascii="Arial" w:hAnsi="Arial" w:cs="Arial"/>
                <w:sz w:val="20"/>
                <w:szCs w:val="20"/>
              </w:rPr>
              <w:t xml:space="preserve">requirements: </w:t>
            </w:r>
          </w:p>
          <w:p w14:paraId="25110BE5" w14:textId="77777777" w:rsidR="00474978" w:rsidRDefault="00BD6E11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D6E11">
              <w:rPr>
                <w:rFonts w:ascii="Arial" w:hAnsi="Arial" w:cs="Arial"/>
                <w:sz w:val="20"/>
                <w:szCs w:val="20"/>
              </w:rPr>
              <w:t xml:space="preserve">(1) injury, </w:t>
            </w:r>
          </w:p>
          <w:p w14:paraId="5B7B9B79" w14:textId="77777777" w:rsidR="00474978" w:rsidRDefault="00BD6E11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D6E11">
              <w:rPr>
                <w:rFonts w:ascii="Arial" w:hAnsi="Arial" w:cs="Arial"/>
                <w:sz w:val="20"/>
                <w:szCs w:val="20"/>
              </w:rPr>
              <w:t xml:space="preserve">(2) causation, and </w:t>
            </w:r>
          </w:p>
          <w:p w14:paraId="3F455850" w14:textId="1A020B63" w:rsidR="00BD6E11" w:rsidRDefault="00BD6E11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D6E11">
              <w:rPr>
                <w:rFonts w:ascii="Arial" w:hAnsi="Arial" w:cs="Arial"/>
                <w:sz w:val="20"/>
                <w:szCs w:val="20"/>
              </w:rPr>
              <w:t>(3) redressability.”</w:t>
            </w:r>
          </w:p>
          <w:p w14:paraId="37D6D0E4" w14:textId="709E5145" w:rsidR="000E55FC" w:rsidRDefault="000E55FC" w:rsidP="000E55F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Associational Standing</w:t>
            </w:r>
          </w:p>
          <w:p w14:paraId="1D4F467D" w14:textId="33570D45" w:rsidR="00474978" w:rsidRPr="00474978" w:rsidRDefault="00474978" w:rsidP="0047497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74978">
              <w:rPr>
                <w:rFonts w:ascii="Arial" w:hAnsi="Arial" w:cs="Arial"/>
                <w:sz w:val="20"/>
                <w:szCs w:val="20"/>
              </w:rPr>
              <w:t>At the federal level, the United States Supreme Court has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4978">
              <w:rPr>
                <w:rFonts w:ascii="Arial" w:hAnsi="Arial" w:cs="Arial"/>
                <w:sz w:val="20"/>
                <w:szCs w:val="20"/>
              </w:rPr>
              <w:t>established three requirements that must be met to demonstrate associational standing:</w:t>
            </w:r>
          </w:p>
          <w:p w14:paraId="6C5EEF3C" w14:textId="3382A831" w:rsidR="00474978" w:rsidRDefault="00474978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74978">
              <w:rPr>
                <w:rFonts w:ascii="Arial" w:hAnsi="Arial" w:cs="Arial"/>
                <w:sz w:val="20"/>
                <w:szCs w:val="20"/>
              </w:rPr>
              <w:t>(</w:t>
            </w:r>
            <w:r w:rsidR="00857A6C">
              <w:rPr>
                <w:rFonts w:ascii="Arial" w:hAnsi="Arial" w:cs="Arial"/>
                <w:sz w:val="20"/>
                <w:szCs w:val="20"/>
              </w:rPr>
              <w:t>1</w:t>
            </w:r>
            <w:r w:rsidRPr="00474978">
              <w:rPr>
                <w:rFonts w:ascii="Arial" w:hAnsi="Arial" w:cs="Arial"/>
                <w:sz w:val="20"/>
                <w:szCs w:val="20"/>
              </w:rPr>
              <w:t xml:space="preserve">) its members would otherwise have </w:t>
            </w:r>
            <w:proofErr w:type="gramStart"/>
            <w:r w:rsidRPr="00474978">
              <w:rPr>
                <w:rFonts w:ascii="Arial" w:hAnsi="Arial" w:cs="Arial"/>
                <w:sz w:val="20"/>
                <w:szCs w:val="20"/>
              </w:rPr>
              <w:t>standing</w:t>
            </w:r>
            <w:proofErr w:type="gramEnd"/>
            <w:r w:rsidRPr="00474978">
              <w:rPr>
                <w:rFonts w:ascii="Arial" w:hAnsi="Arial" w:cs="Arial"/>
                <w:sz w:val="20"/>
                <w:szCs w:val="20"/>
              </w:rPr>
              <w:t xml:space="preserve"> to sue in their own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4978">
              <w:rPr>
                <w:rFonts w:ascii="Arial" w:hAnsi="Arial" w:cs="Arial"/>
                <w:sz w:val="20"/>
                <w:szCs w:val="20"/>
              </w:rPr>
              <w:t xml:space="preserve">right; </w:t>
            </w:r>
          </w:p>
          <w:p w14:paraId="67860882" w14:textId="2DEF5651" w:rsidR="00474978" w:rsidRDefault="00474978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74978">
              <w:rPr>
                <w:rFonts w:ascii="Arial" w:hAnsi="Arial" w:cs="Arial"/>
                <w:sz w:val="20"/>
                <w:szCs w:val="20"/>
              </w:rPr>
              <w:t>(</w:t>
            </w:r>
            <w:r w:rsidR="00857A6C">
              <w:rPr>
                <w:rFonts w:ascii="Arial" w:hAnsi="Arial" w:cs="Arial"/>
                <w:sz w:val="20"/>
                <w:szCs w:val="20"/>
              </w:rPr>
              <w:t>2</w:t>
            </w:r>
            <w:r w:rsidRPr="00474978">
              <w:rPr>
                <w:rFonts w:ascii="Arial" w:hAnsi="Arial" w:cs="Arial"/>
                <w:sz w:val="20"/>
                <w:szCs w:val="20"/>
              </w:rPr>
              <w:t>) the interests it seeks to protect are germane 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4978">
              <w:rPr>
                <w:rFonts w:ascii="Arial" w:hAnsi="Arial" w:cs="Arial"/>
                <w:sz w:val="20"/>
                <w:szCs w:val="20"/>
              </w:rPr>
              <w:t xml:space="preserve">organization’s purpose; and </w:t>
            </w:r>
          </w:p>
          <w:p w14:paraId="31929BFB" w14:textId="12197FCE" w:rsidR="000E55FC" w:rsidRDefault="00474978" w:rsidP="0047497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74978">
              <w:rPr>
                <w:rFonts w:ascii="Arial" w:hAnsi="Arial" w:cs="Arial"/>
                <w:sz w:val="20"/>
                <w:szCs w:val="20"/>
              </w:rPr>
              <w:t>(</w:t>
            </w:r>
            <w:r w:rsidR="00857A6C">
              <w:rPr>
                <w:rFonts w:ascii="Arial" w:hAnsi="Arial" w:cs="Arial"/>
                <w:sz w:val="20"/>
                <w:szCs w:val="20"/>
              </w:rPr>
              <w:t>3</w:t>
            </w:r>
            <w:r w:rsidRPr="00474978">
              <w:rPr>
                <w:rFonts w:ascii="Arial" w:hAnsi="Arial" w:cs="Arial"/>
                <w:sz w:val="20"/>
                <w:szCs w:val="20"/>
              </w:rPr>
              <w:t xml:space="preserve">) neither the claim </w:t>
            </w:r>
            <w:proofErr w:type="gramStart"/>
            <w:r w:rsidRPr="00474978">
              <w:rPr>
                <w:rFonts w:ascii="Arial" w:hAnsi="Arial" w:cs="Arial"/>
                <w:sz w:val="20"/>
                <w:szCs w:val="20"/>
              </w:rPr>
              <w:t>asserted</w:t>
            </w:r>
            <w:proofErr w:type="gramEnd"/>
            <w:r w:rsidRPr="00474978">
              <w:rPr>
                <w:rFonts w:ascii="Arial" w:hAnsi="Arial" w:cs="Arial"/>
                <w:sz w:val="20"/>
                <w:szCs w:val="20"/>
              </w:rPr>
              <w:t xml:space="preserve"> nor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4978">
              <w:rPr>
                <w:rFonts w:ascii="Arial" w:hAnsi="Arial" w:cs="Arial"/>
                <w:sz w:val="20"/>
                <w:szCs w:val="20"/>
              </w:rPr>
              <w:t>relief requested requires the participation of the individual members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4978">
              <w:rPr>
                <w:rFonts w:ascii="Arial" w:hAnsi="Arial" w:cs="Arial"/>
                <w:sz w:val="20"/>
                <w:szCs w:val="20"/>
              </w:rPr>
              <w:t>in the lawsuit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ECC174" w14:textId="6E12CC47" w:rsidR="002D690B" w:rsidRDefault="001128BD" w:rsidP="002D690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2D690B">
              <w:rPr>
                <w:rFonts w:ascii="Arial" w:hAnsi="Arial" w:cs="Arial"/>
                <w:sz w:val="20"/>
                <w:szCs w:val="20"/>
              </w:rPr>
              <w:t xml:space="preserve">Note: 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>Although the Kentucky Supreme Court ha</w:t>
            </w:r>
            <w:r w:rsidR="002D690B">
              <w:rPr>
                <w:rFonts w:ascii="Arial" w:hAnsi="Arial" w:cs="Arial"/>
                <w:sz w:val="20"/>
                <w:szCs w:val="20"/>
              </w:rPr>
              <w:t>d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 xml:space="preserve"> not formally adopted the second and</w:t>
            </w:r>
            <w:r w:rsidR="002D69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>third prongs of the federal test for associational standing, because the Kentucky Democratic</w:t>
            </w:r>
            <w:r w:rsidR="002D69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>Party ha</w:t>
            </w:r>
            <w:r w:rsidR="0008155A">
              <w:rPr>
                <w:rFonts w:ascii="Arial" w:hAnsi="Arial" w:cs="Arial"/>
                <w:sz w:val="20"/>
                <w:szCs w:val="20"/>
              </w:rPr>
              <w:t>d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 xml:space="preserve"> met the first element for associational standing, the Court fe</w:t>
            </w:r>
            <w:r w:rsidR="002C4BB0">
              <w:rPr>
                <w:rFonts w:ascii="Arial" w:hAnsi="Arial" w:cs="Arial"/>
                <w:sz w:val="20"/>
                <w:szCs w:val="20"/>
              </w:rPr>
              <w:t>lt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 xml:space="preserve"> compelled to</w:t>
            </w:r>
            <w:r w:rsidR="002D69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 xml:space="preserve">assess whether the Kentucky Democratic Party </w:t>
            </w:r>
            <w:r w:rsidR="00977E22">
              <w:rPr>
                <w:rFonts w:ascii="Arial" w:hAnsi="Arial" w:cs="Arial"/>
                <w:sz w:val="20"/>
                <w:szCs w:val="20"/>
              </w:rPr>
              <w:t>met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 xml:space="preserve"> the remaining </w:t>
            </w:r>
            <w:proofErr w:type="gramStart"/>
            <w:r w:rsidR="002D690B" w:rsidRPr="00474978">
              <w:rPr>
                <w:rFonts w:ascii="Arial" w:hAnsi="Arial" w:cs="Arial"/>
                <w:sz w:val="20"/>
                <w:szCs w:val="20"/>
              </w:rPr>
              <w:t>elements</w:t>
            </w:r>
            <w:r w:rsidR="004B4B77">
              <w:rPr>
                <w:rFonts w:ascii="Arial" w:hAnsi="Arial" w:cs="Arial"/>
                <w:sz w:val="20"/>
                <w:szCs w:val="20"/>
              </w:rPr>
              <w:t>, and</w:t>
            </w:r>
            <w:proofErr w:type="gramEnd"/>
            <w:r w:rsidR="004B4B77">
              <w:rPr>
                <w:rFonts w:ascii="Arial" w:hAnsi="Arial" w:cs="Arial"/>
                <w:sz w:val="20"/>
                <w:szCs w:val="20"/>
              </w:rPr>
              <w:t xml:space="preserve"> determined that they had</w:t>
            </w:r>
            <w:r w:rsidR="002956EC">
              <w:rPr>
                <w:rFonts w:ascii="Arial" w:hAnsi="Arial" w:cs="Arial"/>
                <w:sz w:val="20"/>
                <w:szCs w:val="20"/>
              </w:rPr>
              <w:t xml:space="preserve"> done so</w:t>
            </w:r>
            <w:r w:rsidR="002D690B" w:rsidRPr="0047497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33AB2A" w14:textId="4549423C" w:rsidR="00367572" w:rsidRDefault="000238DB" w:rsidP="0036757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38DB">
              <w:rPr>
                <w:rFonts w:ascii="Arial" w:hAnsi="Arial" w:cs="Arial"/>
                <w:sz w:val="20"/>
                <w:szCs w:val="20"/>
              </w:rPr>
              <w:t>Presumed Constitutional</w:t>
            </w:r>
            <w:r>
              <w:rPr>
                <w:rFonts w:ascii="Arial" w:hAnsi="Arial" w:cs="Arial"/>
                <w:sz w:val="20"/>
                <w:szCs w:val="20"/>
              </w:rPr>
              <w:t>ity of Acts of the General Assembly</w:t>
            </w:r>
          </w:p>
          <w:p w14:paraId="267ED6CF" w14:textId="4975C829" w:rsidR="000238DB" w:rsidRDefault="008F5660" w:rsidP="000238D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F5660">
              <w:rPr>
                <w:rFonts w:ascii="Arial" w:hAnsi="Arial" w:cs="Arial"/>
                <w:sz w:val="20"/>
                <w:szCs w:val="20"/>
              </w:rPr>
              <w:t>Acts of the General Assembly are given a “strong presumption of constitutionality.”</w:t>
            </w:r>
          </w:p>
          <w:p w14:paraId="468C962D" w14:textId="33C5E3DF" w:rsidR="008F5660" w:rsidRDefault="00605AD2" w:rsidP="00605AD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05AD2">
              <w:rPr>
                <w:rFonts w:ascii="Arial" w:hAnsi="Arial" w:cs="Arial"/>
                <w:sz w:val="20"/>
                <w:szCs w:val="20"/>
              </w:rPr>
              <w:t xml:space="preserve"> party challenging a duly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5AD2">
              <w:rPr>
                <w:rFonts w:ascii="Arial" w:hAnsi="Arial" w:cs="Arial"/>
                <w:sz w:val="20"/>
                <w:szCs w:val="20"/>
              </w:rPr>
              <w:t>enacted statute by the General Assembly is faced with the burden of proving the challenged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5AD2">
              <w:rPr>
                <w:rFonts w:ascii="Arial" w:hAnsi="Arial" w:cs="Arial"/>
                <w:sz w:val="20"/>
                <w:szCs w:val="20"/>
              </w:rPr>
              <w:t>act unconstitutional</w:t>
            </w:r>
            <w:r w:rsidR="000549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C3C298" w14:textId="6D076F97" w:rsidR="00054971" w:rsidRDefault="00054971" w:rsidP="00F61EE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54971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Pr="00054971">
              <w:rPr>
                <w:rFonts w:ascii="Arial" w:hAnsi="Arial" w:cs="Arial"/>
                <w:sz w:val="20"/>
                <w:szCs w:val="20"/>
              </w:rPr>
              <w:t xml:space="preserve"> declare an act unconstitutional, the constitutional</w:t>
            </w:r>
            <w:r w:rsidR="00F61E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1EEE">
              <w:rPr>
                <w:rFonts w:ascii="Arial" w:hAnsi="Arial" w:cs="Arial"/>
                <w:sz w:val="20"/>
                <w:szCs w:val="20"/>
              </w:rPr>
              <w:t>violation “must be clear, complete and unmistakable.”</w:t>
            </w:r>
          </w:p>
          <w:p w14:paraId="5150ED17" w14:textId="459B07C4" w:rsidR="00DA2C58" w:rsidRDefault="00DA2C58" w:rsidP="00DA2C5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A2C58">
              <w:rPr>
                <w:rFonts w:ascii="Arial" w:hAnsi="Arial" w:cs="Arial"/>
                <w:sz w:val="20"/>
                <w:szCs w:val="20"/>
              </w:rPr>
              <w:t>The Court is bound to resolve “any doubt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2C58">
              <w:rPr>
                <w:rFonts w:ascii="Arial" w:hAnsi="Arial" w:cs="Arial"/>
                <w:sz w:val="20"/>
                <w:szCs w:val="20"/>
              </w:rPr>
              <w:t>in favor of constitutionality rather than unconstitutionality.”</w:t>
            </w:r>
          </w:p>
          <w:p w14:paraId="6785CFE1" w14:textId="3E539FC7" w:rsidR="00F958C2" w:rsidRPr="00077B9B" w:rsidRDefault="00F958C2" w:rsidP="00F958C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mallCaps/>
                <w:sz w:val="20"/>
                <w:szCs w:val="20"/>
              </w:rPr>
            </w:pPr>
            <w:r w:rsidRPr="00077B9B">
              <w:rPr>
                <w:rFonts w:ascii="Arial" w:hAnsi="Arial" w:cs="Arial"/>
                <w:smallCaps/>
                <w:sz w:val="20"/>
                <w:szCs w:val="20"/>
              </w:rPr>
              <w:t xml:space="preserve">Ky. Const. </w:t>
            </w:r>
          </w:p>
          <w:p w14:paraId="1E77A9EC" w14:textId="38CE6769" w:rsidR="00152FED" w:rsidRDefault="00F958C2" w:rsidP="00452C3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F50E7">
              <w:rPr>
                <w:rFonts w:ascii="Arial" w:hAnsi="Arial" w:cs="Arial"/>
                <w:b/>
                <w:bCs/>
                <w:sz w:val="20"/>
                <w:szCs w:val="20"/>
              </w:rPr>
              <w:t>§1</w:t>
            </w:r>
            <w:r w:rsidR="00452C3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45270">
              <w:rPr>
                <w:rFonts w:ascii="Arial" w:hAnsi="Arial" w:cs="Arial"/>
                <w:sz w:val="20"/>
                <w:szCs w:val="20"/>
              </w:rPr>
              <w:t>Free Speech/</w:t>
            </w:r>
            <w:r w:rsidR="00152FED">
              <w:rPr>
                <w:rFonts w:ascii="Arial" w:hAnsi="Arial" w:cs="Arial"/>
                <w:sz w:val="20"/>
                <w:szCs w:val="20"/>
              </w:rPr>
              <w:t>Disfavored Status Based on Political Affiliations</w:t>
            </w:r>
          </w:p>
          <w:p w14:paraId="29257281" w14:textId="53FFFC1C" w:rsidR="00F958C2" w:rsidRPr="00452C31" w:rsidRDefault="00452C31" w:rsidP="00152FE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452C31">
              <w:rPr>
                <w:rFonts w:ascii="Arial" w:hAnsi="Arial" w:cs="Arial"/>
                <w:sz w:val="20"/>
                <w:szCs w:val="20"/>
              </w:rPr>
              <w:t>rovides that all Kentuckians shall have the inalienable rights of “freely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C31">
              <w:rPr>
                <w:rFonts w:ascii="Arial" w:hAnsi="Arial" w:cs="Arial"/>
                <w:sz w:val="20"/>
                <w:szCs w:val="20"/>
              </w:rPr>
              <w:t>communicating their thoughts and opinions” and “assembling together in a peaceable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C31">
              <w:rPr>
                <w:rFonts w:ascii="Arial" w:hAnsi="Arial" w:cs="Arial"/>
                <w:sz w:val="20"/>
                <w:szCs w:val="20"/>
              </w:rPr>
              <w:t>manner for their common good, and of applying to those invested with the power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C31">
              <w:rPr>
                <w:rFonts w:ascii="Arial" w:hAnsi="Arial" w:cs="Arial"/>
                <w:sz w:val="20"/>
                <w:szCs w:val="20"/>
              </w:rPr>
              <w:t>government for redress of grievances or other proper purposes, by petition, address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C31">
              <w:rPr>
                <w:rFonts w:ascii="Arial" w:hAnsi="Arial" w:cs="Arial"/>
                <w:sz w:val="20"/>
                <w:szCs w:val="20"/>
              </w:rPr>
              <w:t>remonstranc</w:t>
            </w:r>
            <w:r w:rsidR="008C5C31">
              <w:rPr>
                <w:rFonts w:ascii="Arial" w:hAnsi="Arial" w:cs="Arial"/>
                <w:sz w:val="20"/>
                <w:szCs w:val="20"/>
              </w:rPr>
              <w:t>e</w:t>
            </w:r>
            <w:proofErr w:type="gramStart"/>
            <w:r w:rsidR="008C5C31"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 w:rsidRPr="00452C31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0034BD67" w14:textId="379CCE15" w:rsidR="00152FED" w:rsidRDefault="00F958C2" w:rsidP="008262E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65286">
              <w:rPr>
                <w:rFonts w:ascii="Arial" w:hAnsi="Arial" w:cs="Arial"/>
                <w:b/>
                <w:bCs/>
                <w:sz w:val="20"/>
                <w:szCs w:val="20"/>
              </w:rPr>
              <w:t>§2</w:t>
            </w:r>
            <w:r w:rsidR="00820E9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152FED">
              <w:rPr>
                <w:rFonts w:ascii="Arial" w:hAnsi="Arial" w:cs="Arial"/>
                <w:sz w:val="20"/>
                <w:szCs w:val="20"/>
              </w:rPr>
              <w:t>Arbitrary Exercise of Power</w:t>
            </w:r>
          </w:p>
          <w:p w14:paraId="17209310" w14:textId="6DD785CB" w:rsidR="00F958C2" w:rsidRPr="008262E6" w:rsidRDefault="008262E6" w:rsidP="00152FE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262E6">
              <w:rPr>
                <w:rFonts w:ascii="Arial" w:hAnsi="Arial" w:cs="Arial"/>
                <w:sz w:val="20"/>
                <w:szCs w:val="20"/>
              </w:rPr>
              <w:t>“Absolute and arbitrary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62E6">
              <w:rPr>
                <w:rFonts w:ascii="Arial" w:hAnsi="Arial" w:cs="Arial"/>
                <w:sz w:val="20"/>
                <w:szCs w:val="20"/>
              </w:rPr>
              <w:t>power over the lives, liberty and property of freemen exists nowhere in a republic, not even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62E6">
              <w:rPr>
                <w:rFonts w:ascii="Arial" w:hAnsi="Arial" w:cs="Arial"/>
                <w:sz w:val="20"/>
                <w:szCs w:val="20"/>
              </w:rPr>
              <w:t>in the largest majority.”</w:t>
            </w:r>
          </w:p>
          <w:p w14:paraId="6D80BDB5" w14:textId="0FBF0E74" w:rsidR="00F958C2" w:rsidRDefault="00F958C2" w:rsidP="00F958C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65286">
              <w:rPr>
                <w:rFonts w:ascii="Arial" w:hAnsi="Arial" w:cs="Arial"/>
                <w:b/>
                <w:bCs/>
                <w:sz w:val="20"/>
                <w:szCs w:val="20"/>
              </w:rPr>
              <w:t>§3</w:t>
            </w:r>
            <w:r w:rsidR="00820E9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D2441">
              <w:rPr>
                <w:rFonts w:ascii="Arial" w:hAnsi="Arial" w:cs="Arial"/>
                <w:sz w:val="20"/>
                <w:szCs w:val="20"/>
              </w:rPr>
              <w:t>Equal Protection</w:t>
            </w:r>
          </w:p>
          <w:p w14:paraId="2F9A42D8" w14:textId="179B5505" w:rsidR="009D2441" w:rsidRPr="009D2441" w:rsidRDefault="009D2441" w:rsidP="009D244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2441">
              <w:rPr>
                <w:rFonts w:ascii="Arial" w:hAnsi="Arial" w:cs="Arial"/>
                <w:sz w:val="20"/>
                <w:szCs w:val="20"/>
              </w:rPr>
              <w:t>All men, when they form a social compact, are equal; and no grant of exclusive,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441">
              <w:rPr>
                <w:rFonts w:ascii="Arial" w:hAnsi="Arial" w:cs="Arial"/>
                <w:sz w:val="20"/>
                <w:szCs w:val="20"/>
              </w:rPr>
              <w:t>separate public emoluments or privileges shall be made to any man or set of men, except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441">
              <w:rPr>
                <w:rFonts w:ascii="Arial" w:hAnsi="Arial" w:cs="Arial"/>
                <w:sz w:val="20"/>
                <w:szCs w:val="20"/>
              </w:rPr>
              <w:t>in consideration of public services; but no property shall be exempt from taxation except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441">
              <w:rPr>
                <w:rFonts w:ascii="Arial" w:hAnsi="Arial" w:cs="Arial"/>
                <w:sz w:val="20"/>
                <w:szCs w:val="20"/>
              </w:rPr>
              <w:t xml:space="preserve">as provided in this Constitution, </w:t>
            </w:r>
            <w:r w:rsidRPr="009D2441">
              <w:rPr>
                <w:rFonts w:ascii="Arial" w:hAnsi="Arial" w:cs="Arial"/>
                <w:sz w:val="20"/>
                <w:szCs w:val="20"/>
              </w:rPr>
              <w:lastRenderedPageBreak/>
              <w:t xml:space="preserve">and every grant of a franchise, </w:t>
            </w:r>
            <w:proofErr w:type="gramStart"/>
            <w:r w:rsidRPr="009D2441">
              <w:rPr>
                <w:rFonts w:ascii="Arial" w:hAnsi="Arial" w:cs="Arial"/>
                <w:sz w:val="20"/>
                <w:szCs w:val="20"/>
              </w:rPr>
              <w:t>privilege</w:t>
            </w:r>
            <w:proofErr w:type="gramEnd"/>
            <w:r w:rsidRPr="009D2441">
              <w:rPr>
                <w:rFonts w:ascii="Arial" w:hAnsi="Arial" w:cs="Arial"/>
                <w:sz w:val="20"/>
                <w:szCs w:val="20"/>
              </w:rPr>
              <w:t xml:space="preserve"> or exemption,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441">
              <w:rPr>
                <w:rFonts w:ascii="Arial" w:hAnsi="Arial" w:cs="Arial"/>
                <w:sz w:val="20"/>
                <w:szCs w:val="20"/>
              </w:rPr>
              <w:t>shall remain subject to revocation, alteration or amendment</w:t>
            </w:r>
            <w:r w:rsidRPr="009D24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F8441B" w14:textId="7190E907" w:rsidR="00B229CF" w:rsidRDefault="00F958C2" w:rsidP="00F958C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82A0E">
              <w:rPr>
                <w:rFonts w:ascii="Arial" w:hAnsi="Arial" w:cs="Arial"/>
                <w:b/>
                <w:bCs/>
                <w:sz w:val="20"/>
                <w:szCs w:val="20"/>
              </w:rPr>
              <w:t>§6</w:t>
            </w:r>
            <w:r w:rsidR="00582A0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B229CF">
              <w:rPr>
                <w:rFonts w:ascii="Arial" w:hAnsi="Arial" w:cs="Arial"/>
                <w:sz w:val="20"/>
                <w:szCs w:val="20"/>
              </w:rPr>
              <w:t>Free Elections</w:t>
            </w:r>
          </w:p>
          <w:p w14:paraId="297AF0DC" w14:textId="1154456E" w:rsidR="00F958C2" w:rsidRDefault="002B3236" w:rsidP="00B229C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B3236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B3236">
              <w:rPr>
                <w:rFonts w:ascii="Arial" w:hAnsi="Arial" w:cs="Arial"/>
                <w:sz w:val="20"/>
                <w:szCs w:val="20"/>
              </w:rPr>
              <w:t>ll elections shall be free and equal.”</w:t>
            </w:r>
          </w:p>
          <w:p w14:paraId="3EF3280D" w14:textId="7354B444" w:rsidR="00B229CF" w:rsidRDefault="00F958C2" w:rsidP="004668A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D6A08">
              <w:rPr>
                <w:rFonts w:ascii="Arial" w:hAnsi="Arial" w:cs="Arial"/>
                <w:b/>
                <w:bCs/>
                <w:sz w:val="20"/>
                <w:szCs w:val="20"/>
              </w:rPr>
              <w:t>§33</w:t>
            </w:r>
            <w:r w:rsidR="004668A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B229CF">
              <w:rPr>
                <w:rFonts w:ascii="Arial" w:hAnsi="Arial" w:cs="Arial"/>
                <w:sz w:val="20"/>
                <w:szCs w:val="20"/>
              </w:rPr>
              <w:t>Population Equality and County Integrity</w:t>
            </w:r>
          </w:p>
          <w:p w14:paraId="18324FEE" w14:textId="2626F0DD" w:rsidR="00474978" w:rsidRDefault="004668A1" w:rsidP="00B229C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668A1">
              <w:rPr>
                <w:rFonts w:ascii="Arial" w:hAnsi="Arial" w:cs="Arial"/>
                <w:sz w:val="20"/>
                <w:szCs w:val="20"/>
              </w:rPr>
              <w:t>The first General Assembly after the adoption of this Constitution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shall divide the State into thirty-eight Senatorial Districts, and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hundred Representative Districts, as nearly equal in population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may be without dividing any county, except where a county may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include more than one district, which districts shall constitute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Senatorial and Representative Districts for ten years. Not more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two counties shall be joined together to form a 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 xml:space="preserve">District: Provided, </w:t>
            </w:r>
            <w:proofErr w:type="gramStart"/>
            <w:r w:rsidRPr="004668A1"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 w:rsidRPr="004668A1">
              <w:rPr>
                <w:rFonts w:ascii="Arial" w:hAnsi="Arial" w:cs="Arial"/>
                <w:sz w:val="20"/>
                <w:szCs w:val="20"/>
              </w:rPr>
              <w:t xml:space="preserve"> doing so the principle requiring every district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be as nearly equal in population as may be shall not be violated. 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the expiration of that time, the General Assembly shall then,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every ten years thereafter, redistrict the State according to this rule,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and for the purposes expressed in this section. If, in making said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district, inequality of population should be unavoidable, any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advantage resulting therefrom shall be given to the district having the</w:t>
            </w:r>
            <w:r w:rsidRPr="004668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largest territory. No part of a county shall be added to another county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to make a district, and the counties forming a district shall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68A1">
              <w:rPr>
                <w:rFonts w:ascii="Arial" w:hAnsi="Arial" w:cs="Arial"/>
                <w:sz w:val="20"/>
                <w:szCs w:val="20"/>
              </w:rPr>
              <w:t>contiguous.</w:t>
            </w:r>
          </w:p>
          <w:p w14:paraId="6FF57219" w14:textId="18912FF4" w:rsidR="000E7C2E" w:rsidRPr="000E7C2E" w:rsidRDefault="000E7C2E" w:rsidP="00452B5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1996F75" w14:textId="6905C199" w:rsidR="005A54B3" w:rsidRDefault="005A54B3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 Court held that House Bill 2 and Senate Bill 3 were</w:t>
            </w:r>
            <w:r w:rsidR="002763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partisan gerrymanders.  </w:t>
            </w:r>
          </w:p>
          <w:p w14:paraId="47D26CFD" w14:textId="0376DF13" w:rsidR="00ED671F" w:rsidRPr="00D66E84" w:rsidRDefault="005A54B3" w:rsidP="00D66E8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 However, the Court held that</w:t>
            </w:r>
            <w:r w:rsidR="00163A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3AE6" w:rsidRPr="00163AE6">
              <w:rPr>
                <w:rFonts w:ascii="Arial" w:hAnsi="Arial" w:cs="Arial"/>
                <w:sz w:val="20"/>
                <w:szCs w:val="20"/>
              </w:rPr>
              <w:t xml:space="preserve">although HB 2 and SB 3 </w:t>
            </w:r>
            <w:r w:rsidR="00163AE6">
              <w:rPr>
                <w:rFonts w:ascii="Arial" w:hAnsi="Arial" w:cs="Arial"/>
                <w:sz w:val="20"/>
                <w:szCs w:val="20"/>
              </w:rPr>
              <w:t>were</w:t>
            </w:r>
            <w:r w:rsidR="00163AE6" w:rsidRPr="00163AE6">
              <w:rPr>
                <w:rFonts w:ascii="Arial" w:hAnsi="Arial" w:cs="Arial"/>
                <w:sz w:val="20"/>
                <w:szCs w:val="20"/>
              </w:rPr>
              <w:t xml:space="preserve"> partisan gerrymanders,</w:t>
            </w:r>
            <w:r w:rsidR="00163A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3AE6" w:rsidRPr="00163AE6">
              <w:rPr>
                <w:rFonts w:ascii="Arial" w:hAnsi="Arial" w:cs="Arial"/>
                <w:sz w:val="20"/>
                <w:szCs w:val="20"/>
              </w:rPr>
              <w:t>Plaintiffs failed to plead cognizable claims that HB 2 and SB 3 violate Sections 1, 2,</w:t>
            </w:r>
            <w:r w:rsidR="00163A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3AE6" w:rsidRPr="00163AE6">
              <w:rPr>
                <w:rFonts w:ascii="Arial" w:hAnsi="Arial" w:cs="Arial"/>
                <w:sz w:val="20"/>
                <w:szCs w:val="20"/>
              </w:rPr>
              <w:t xml:space="preserve">3, 6, or 33 of the </w:t>
            </w:r>
            <w:r w:rsidR="00163AE6" w:rsidRPr="00D23987">
              <w:rPr>
                <w:rFonts w:ascii="Arial" w:hAnsi="Arial" w:cs="Arial"/>
                <w:sz w:val="20"/>
                <w:szCs w:val="20"/>
              </w:rPr>
              <w:t>Kentucky Constitution</w:t>
            </w:r>
            <w:r w:rsidR="00163AE6" w:rsidRPr="00D23987">
              <w:rPr>
                <w:rFonts w:ascii="Arial" w:hAnsi="Arial" w:cs="Arial"/>
                <w:sz w:val="20"/>
                <w:szCs w:val="20"/>
              </w:rPr>
              <w:t xml:space="preserve">, because </w:t>
            </w:r>
            <w:r w:rsidRPr="00D23987">
              <w:rPr>
                <w:rFonts w:ascii="Arial" w:hAnsi="Arial" w:cs="Arial"/>
                <w:sz w:val="20"/>
                <w:szCs w:val="20"/>
              </w:rPr>
              <w:t>the Kentucky Constitution does not expressly prohibit partisan gerrymandering</w:t>
            </w:r>
            <w:r w:rsidR="00D66E84" w:rsidRPr="00D2398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66E84" w:rsidRPr="00D23987">
              <w:rPr>
                <w:rFonts w:ascii="Arial" w:hAnsi="Arial" w:cs="Arial"/>
                <w:sz w:val="20"/>
                <w:szCs w:val="20"/>
              </w:rPr>
              <w:t>does not require the General Assembly to minimize the number of times that the</w:t>
            </w:r>
            <w:r w:rsidR="00D66E84" w:rsidRPr="00D2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E84" w:rsidRPr="00D23987">
              <w:rPr>
                <w:rFonts w:ascii="Arial" w:hAnsi="Arial" w:cs="Arial"/>
                <w:sz w:val="20"/>
                <w:szCs w:val="20"/>
              </w:rPr>
              <w:t>required split counties are further divided</w:t>
            </w:r>
            <w:r w:rsidR="00D66E84" w:rsidRPr="00D2398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1942F7D3" w14:textId="017227B4" w:rsidR="00ED671F" w:rsidRPr="00C72AB2" w:rsidRDefault="008910DB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Plaintiffs’ claims are j</w:t>
            </w:r>
            <w:r w:rsidR="008D7979">
              <w:rPr>
                <w:rFonts w:ascii="Arial" w:hAnsi="Arial" w:cs="Arial"/>
                <w:b/>
                <w:bCs/>
                <w:sz w:val="20"/>
                <w:szCs w:val="20"/>
              </w:rPr>
              <w:t>usticiab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</w:t>
            </w:r>
            <w:r w:rsidR="00D44C2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7164A1CC" w14:textId="77777777" w:rsidR="00C72AB2" w:rsidRDefault="00E27391" w:rsidP="00E2739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27391">
              <w:rPr>
                <w:rFonts w:ascii="Arial" w:hAnsi="Arial" w:cs="Arial"/>
                <w:sz w:val="20"/>
                <w:szCs w:val="20"/>
              </w:rPr>
              <w:t>The judiciary has the ultimate power, and the duty, to apply, interpret,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391">
              <w:rPr>
                <w:rFonts w:ascii="Arial" w:hAnsi="Arial" w:cs="Arial"/>
                <w:sz w:val="20"/>
                <w:szCs w:val="20"/>
              </w:rPr>
              <w:t xml:space="preserve">define, construe all words, phrases, </w:t>
            </w:r>
            <w:proofErr w:type="gramStart"/>
            <w:r w:rsidRPr="00E27391">
              <w:rPr>
                <w:rFonts w:ascii="Arial" w:hAnsi="Arial" w:cs="Arial"/>
                <w:sz w:val="20"/>
                <w:szCs w:val="20"/>
              </w:rPr>
              <w:t>sentences</w:t>
            </w:r>
            <w:proofErr w:type="gramEnd"/>
            <w:r w:rsidRPr="00E27391">
              <w:rPr>
                <w:rFonts w:ascii="Arial" w:hAnsi="Arial" w:cs="Arial"/>
                <w:sz w:val="20"/>
                <w:szCs w:val="20"/>
              </w:rPr>
              <w:t xml:space="preserve"> and sections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391">
              <w:rPr>
                <w:rFonts w:ascii="Arial" w:hAnsi="Arial" w:cs="Arial"/>
                <w:sz w:val="20"/>
                <w:szCs w:val="20"/>
              </w:rPr>
              <w:t>Kentucky Constitution as necessitated by the controversies before it.</w:t>
            </w:r>
          </w:p>
          <w:p w14:paraId="0ECF71B1" w14:textId="0B10D0F4" w:rsidR="001846A0" w:rsidRDefault="001846A0" w:rsidP="001846A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846A0">
              <w:rPr>
                <w:rFonts w:ascii="Arial" w:hAnsi="Arial" w:cs="Arial"/>
                <w:sz w:val="20"/>
                <w:szCs w:val="20"/>
              </w:rPr>
              <w:t>Well over a century ago, Kentucky’s highest court rejected the general idea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46A0">
              <w:rPr>
                <w:rFonts w:ascii="Arial" w:hAnsi="Arial" w:cs="Arial"/>
                <w:sz w:val="20"/>
                <w:szCs w:val="20"/>
              </w:rPr>
              <w:t xml:space="preserve">redistricting is a political question not within the bounds of judicial review.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46A0">
              <w:rPr>
                <w:rFonts w:ascii="Arial" w:hAnsi="Arial" w:cs="Arial"/>
                <w:i/>
                <w:iCs/>
                <w:sz w:val="20"/>
                <w:szCs w:val="20"/>
              </w:rPr>
              <w:t>Ragland v.</w:t>
            </w:r>
            <w:r w:rsidRPr="001846A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846A0">
              <w:rPr>
                <w:rFonts w:ascii="Arial" w:hAnsi="Arial" w:cs="Arial"/>
                <w:i/>
                <w:iCs/>
                <w:sz w:val="20"/>
                <w:szCs w:val="20"/>
              </w:rPr>
              <w:t>Anderson</w:t>
            </w:r>
            <w:r w:rsidRPr="001846A0">
              <w:rPr>
                <w:rFonts w:ascii="Arial" w:hAnsi="Arial" w:cs="Arial"/>
                <w:sz w:val="20"/>
                <w:szCs w:val="20"/>
              </w:rPr>
              <w:t>, 100 S.W. 865, 867 (Ky. 1907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1F2CC6B5" w14:textId="7E36BA09" w:rsidR="00AB4642" w:rsidRDefault="00AB4642" w:rsidP="00AB464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B4642">
              <w:rPr>
                <w:rFonts w:ascii="Arial" w:hAnsi="Arial" w:cs="Arial"/>
                <w:sz w:val="20"/>
                <w:szCs w:val="20"/>
              </w:rPr>
              <w:t>As recently as the last round of redistricting in 2012,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4642">
              <w:rPr>
                <w:rFonts w:ascii="Arial" w:hAnsi="Arial" w:cs="Arial"/>
                <w:sz w:val="20"/>
                <w:szCs w:val="20"/>
              </w:rPr>
              <w:t>Kentucky Supreme Court reaffirmed the judiciary’s duty to “‘ascertain whether a particular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4642">
              <w:rPr>
                <w:rFonts w:ascii="Arial" w:hAnsi="Arial" w:cs="Arial"/>
                <w:sz w:val="20"/>
                <w:szCs w:val="20"/>
              </w:rPr>
              <w:t xml:space="preserve">redistricting plan passes constitutional muster [.]’” </w:t>
            </w:r>
            <w:r w:rsidRPr="00AB4642">
              <w:rPr>
                <w:rFonts w:ascii="Arial" w:hAnsi="Arial" w:cs="Arial"/>
                <w:i/>
                <w:iCs/>
                <w:sz w:val="20"/>
                <w:szCs w:val="20"/>
              </w:rPr>
              <w:t>Legislative Research Comm’n v.</w:t>
            </w:r>
            <w:r w:rsidRPr="00AB464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AB4642">
              <w:rPr>
                <w:rFonts w:ascii="Arial" w:hAnsi="Arial" w:cs="Arial"/>
                <w:i/>
                <w:iCs/>
                <w:sz w:val="20"/>
                <w:szCs w:val="20"/>
              </w:rPr>
              <w:t>Fischer</w:t>
            </w:r>
            <w:r w:rsidRPr="00AB4642">
              <w:rPr>
                <w:rFonts w:ascii="Arial" w:hAnsi="Arial" w:cs="Arial"/>
                <w:sz w:val="20"/>
                <w:szCs w:val="20"/>
              </w:rPr>
              <w:t>, 366 S.W.3d 905, 911 (Ky. 2012)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8BE089" w14:textId="69101645" w:rsidR="003F6B37" w:rsidRDefault="003F6B37" w:rsidP="003F6B3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“[T]</w:t>
            </w:r>
            <w:r w:rsidRPr="003F6B37">
              <w:rPr>
                <w:rFonts w:ascii="Arial" w:hAnsi="Arial" w:cs="Arial"/>
                <w:sz w:val="20"/>
                <w:szCs w:val="20"/>
              </w:rPr>
              <w:t>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6B37">
              <w:rPr>
                <w:rFonts w:ascii="Arial" w:hAnsi="Arial" w:cs="Arial"/>
                <w:sz w:val="20"/>
                <w:szCs w:val="20"/>
              </w:rPr>
              <w:t>judiciary will never force the General Assembly to adopt a specific redistricting plan, but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6B37">
              <w:rPr>
                <w:rFonts w:ascii="Arial" w:hAnsi="Arial" w:cs="Arial"/>
                <w:sz w:val="20"/>
                <w:szCs w:val="20"/>
              </w:rPr>
              <w:t>if an enacted redistricting plan violates a constitutional mandate, it is the judiciary’s</w:t>
            </w:r>
            <w:r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Pr="003F6B37">
              <w:rPr>
                <w:rFonts w:ascii="Arial" w:hAnsi="Arial" w:cs="Arial"/>
                <w:sz w:val="20"/>
                <w:szCs w:val="20"/>
              </w:rPr>
              <w:t>constitutional responsibilit</w:t>
            </w:r>
            <w:r>
              <w:rPr>
                <w:rFonts w:ascii="Arial" w:hAnsi="Arial" w:cs="Arial"/>
                <w:sz w:val="20"/>
                <w:szCs w:val="20"/>
              </w:rPr>
              <w:t xml:space="preserve">y . . . </w:t>
            </w:r>
            <w:r w:rsidRPr="003F6B37">
              <w:rPr>
                <w:rFonts w:ascii="Arial" w:hAnsi="Arial" w:cs="Arial"/>
                <w:sz w:val="20"/>
                <w:szCs w:val="20"/>
              </w:rPr>
              <w:t xml:space="preserve">to tell them what is the constitutional </w:t>
            </w:r>
            <w:r w:rsidR="00ED45C5">
              <w:rPr>
                <w:rFonts w:ascii="Arial" w:hAnsi="Arial" w:cs="Arial"/>
                <w:sz w:val="20"/>
                <w:szCs w:val="20"/>
              </w:rPr>
              <w:t>“</w:t>
            </w:r>
            <w:r w:rsidRPr="003F6B37">
              <w:rPr>
                <w:rFonts w:ascii="Arial" w:hAnsi="Arial" w:cs="Arial"/>
                <w:sz w:val="20"/>
                <w:szCs w:val="20"/>
              </w:rPr>
              <w:t>minimum.</w:t>
            </w:r>
            <w:proofErr w:type="gramStart"/>
            <w:r w:rsidR="00ED45C5">
              <w:rPr>
                <w:rFonts w:ascii="Arial" w:hAnsi="Arial" w:cs="Arial"/>
                <w:sz w:val="20"/>
                <w:szCs w:val="20"/>
              </w:rPr>
              <w:t>”</w:t>
            </w:r>
            <w:r w:rsidR="00321819">
              <w:rPr>
                <w:rFonts w:ascii="Arial" w:hAnsi="Arial" w:cs="Arial"/>
                <w:sz w:val="20"/>
                <w:szCs w:val="20"/>
              </w:rPr>
              <w:t xml:space="preserve"> ’</w:t>
            </w:r>
            <w:proofErr w:type="gramEnd"/>
            <w:r w:rsidR="0032181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38980ACE" w14:textId="5E23B5FA" w:rsidR="00FB12B8" w:rsidRPr="00A320C2" w:rsidRDefault="00A320C2" w:rsidP="003C397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20C2">
              <w:rPr>
                <w:rFonts w:ascii="Arial" w:hAnsi="Arial" w:cs="Arial"/>
                <w:b/>
                <w:bCs/>
                <w:sz w:val="20"/>
                <w:szCs w:val="20"/>
              </w:rPr>
              <w:t>Plaintiffs have standing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challenge </w:t>
            </w:r>
            <w:r w:rsidR="00E571FE">
              <w:rPr>
                <w:rFonts w:ascii="Arial" w:hAnsi="Arial" w:cs="Arial"/>
                <w:b/>
                <w:bCs/>
                <w:sz w:val="20"/>
                <w:szCs w:val="20"/>
              </w:rPr>
              <w:t>HB 2 and SB 3</w:t>
            </w:r>
            <w:r w:rsidR="00D44C2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B607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B60703" w:rsidRPr="00B6070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See id.</w:t>
            </w:r>
            <w:r w:rsidR="00B607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at 26–38.</w:t>
            </w:r>
          </w:p>
          <w:p w14:paraId="17D446BA" w14:textId="2D16423C" w:rsidR="003C3979" w:rsidRPr="002A18C5" w:rsidRDefault="00E61A43" w:rsidP="00D260D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61A43">
              <w:rPr>
                <w:rFonts w:ascii="Arial" w:hAnsi="Arial" w:cs="Arial"/>
                <w:sz w:val="20"/>
                <w:szCs w:val="20"/>
              </w:rPr>
              <w:t>here are over one hundred years of cases that support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1A43">
              <w:rPr>
                <w:rFonts w:ascii="Arial" w:hAnsi="Arial" w:cs="Arial"/>
                <w:sz w:val="20"/>
                <w:szCs w:val="20"/>
              </w:rPr>
              <w:t>challenging an apportionment plan as a citizen, taxpayer, and voter and pleading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1A43">
              <w:rPr>
                <w:rFonts w:ascii="Arial" w:hAnsi="Arial" w:cs="Arial"/>
                <w:sz w:val="20"/>
                <w:szCs w:val="20"/>
              </w:rPr>
              <w:t>constitutional violation caused by the apportionment plan establishes the requisite injury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1A43">
              <w:rPr>
                <w:rFonts w:ascii="Arial" w:hAnsi="Arial" w:cs="Arial"/>
                <w:sz w:val="20"/>
                <w:szCs w:val="20"/>
              </w:rPr>
              <w:t>to satisfy standing.</w:t>
            </w:r>
            <w:r w:rsidR="00D260D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260D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See </w:t>
            </w:r>
            <w:r w:rsidR="00D260D4" w:rsidRPr="00D260D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Ragland v. </w:t>
            </w:r>
            <w:r w:rsidR="00D260D4" w:rsidRPr="00D260D4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Anderson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>, 100 S.W. 865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>(Ky. 1907)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>;</w:t>
            </w:r>
            <w:r w:rsidR="00D260D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D260D4" w:rsidRPr="00D260D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Stiglitz v. </w:t>
            </w:r>
            <w:proofErr w:type="spellStart"/>
            <w:r w:rsidR="00D260D4" w:rsidRPr="00D260D4">
              <w:rPr>
                <w:rFonts w:ascii="Arial" w:hAnsi="Arial" w:cs="Arial"/>
                <w:i/>
                <w:iCs/>
                <w:sz w:val="20"/>
                <w:szCs w:val="20"/>
              </w:rPr>
              <w:t>Schardien</w:t>
            </w:r>
            <w:proofErr w:type="spellEnd"/>
            <w:r w:rsidR="00D260D4">
              <w:rPr>
                <w:rFonts w:ascii="Arial" w:hAnsi="Arial" w:cs="Arial"/>
                <w:sz w:val="20"/>
                <w:szCs w:val="20"/>
              </w:rPr>
              <w:t>,</w:t>
            </w:r>
            <w:r w:rsidR="00D260D4">
              <w:t xml:space="preserve"> 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>40 S.W.2d 315</w:t>
            </w:r>
            <w:r w:rsidR="00E478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0D4" w:rsidRPr="00D260D4">
              <w:rPr>
                <w:rFonts w:ascii="Arial" w:hAnsi="Arial" w:cs="Arial"/>
                <w:sz w:val="20"/>
                <w:szCs w:val="20"/>
              </w:rPr>
              <w:t>(Ky. 1931).</w:t>
            </w:r>
          </w:p>
          <w:p w14:paraId="1D7123A8" w14:textId="1C950772" w:rsidR="002A18C5" w:rsidRDefault="002A18C5" w:rsidP="002A18C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2A18C5">
              <w:rPr>
                <w:rFonts w:ascii="Arial" w:hAnsi="Arial" w:cs="Arial"/>
                <w:sz w:val="20"/>
                <w:szCs w:val="20"/>
              </w:rPr>
              <w:t>It is not merely the right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of the citizen under the Constitution to be fairly represented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government, but also his right to prevent unequal and unconstitutional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discrimination against his own favor of other districts, that enable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2A18C5">
              <w:rPr>
                <w:rFonts w:ascii="Arial" w:hAnsi="Arial" w:cs="Arial"/>
                <w:sz w:val="20"/>
                <w:szCs w:val="20"/>
              </w:rPr>
              <w:t>the court to intervene.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 xml:space="preserve"> Every citizen, taxpayer, and voter </w:t>
            </w:r>
            <w:proofErr w:type="gramStart"/>
            <w:r w:rsidRPr="002A18C5">
              <w:rPr>
                <w:rFonts w:ascii="Arial" w:hAnsi="Arial" w:cs="Arial"/>
                <w:sz w:val="20"/>
                <w:szCs w:val="20"/>
              </w:rPr>
              <w:t>has</w:t>
            </w:r>
            <w:proofErr w:type="gramEnd"/>
            <w:r w:rsidRPr="002A18C5">
              <w:rPr>
                <w:rFonts w:ascii="Arial" w:hAnsi="Arial" w:cs="Arial"/>
                <w:sz w:val="20"/>
                <w:szCs w:val="20"/>
              </w:rPr>
              <w:t xml:space="preserve">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undoubted right to have the districts for representatives and senators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created in accordance with the Constitutio</w:t>
            </w:r>
            <w:r>
              <w:rPr>
                <w:rFonts w:ascii="Arial" w:hAnsi="Arial" w:cs="Arial"/>
                <w:sz w:val="20"/>
                <w:szCs w:val="20"/>
              </w:rPr>
              <w:t xml:space="preserve">n . . . </w:t>
            </w:r>
            <w:r w:rsidRPr="002A18C5">
              <w:rPr>
                <w:rFonts w:ascii="Arial" w:hAnsi="Arial" w:cs="Arial"/>
                <w:sz w:val="20"/>
                <w:szCs w:val="20"/>
              </w:rPr>
              <w:t>The rights of the whole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8C5">
              <w:rPr>
                <w:rFonts w:ascii="Arial" w:hAnsi="Arial" w:cs="Arial"/>
                <w:sz w:val="20"/>
                <w:szCs w:val="20"/>
              </w:rPr>
              <w:t>state are linked up with the representation of the several districts.</w:t>
            </w:r>
            <w:r>
              <w:rPr>
                <w:rFonts w:ascii="Arial" w:hAnsi="Arial" w:cs="Arial"/>
                <w:sz w:val="20"/>
                <w:szCs w:val="20"/>
              </w:rPr>
              <w:t xml:space="preserve">”  </w:t>
            </w:r>
            <w:r w:rsidR="007705FE" w:rsidRPr="007705FE">
              <w:rPr>
                <w:rFonts w:ascii="Arial" w:hAnsi="Arial" w:cs="Arial"/>
                <w:i/>
                <w:iCs/>
                <w:sz w:val="20"/>
                <w:szCs w:val="20"/>
              </w:rPr>
              <w:t>Stiglitz</w:t>
            </w:r>
            <w:r w:rsidR="007705FE">
              <w:rPr>
                <w:rFonts w:ascii="Arial" w:hAnsi="Arial" w:cs="Arial"/>
                <w:sz w:val="20"/>
                <w:szCs w:val="20"/>
              </w:rPr>
              <w:t>, 40 S.W.2d at 317–18.</w:t>
            </w:r>
          </w:p>
          <w:p w14:paraId="1C4B57A4" w14:textId="19C57043" w:rsidR="00077227" w:rsidRPr="00B32F6B" w:rsidRDefault="00B32F6B" w:rsidP="0007722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F6B">
              <w:rPr>
                <w:rFonts w:ascii="Arial" w:hAnsi="Arial" w:cs="Arial"/>
                <w:b/>
                <w:bCs/>
                <w:sz w:val="20"/>
                <w:szCs w:val="20"/>
              </w:rPr>
              <w:t>HB</w:t>
            </w:r>
            <w:r w:rsidRPr="00B32F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 is a Partisan Gerrymander</w:t>
            </w:r>
            <w:r w:rsidRPr="00B32F6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9984ED1" w14:textId="77777777" w:rsidR="00F8113B" w:rsidRDefault="00F8113B" w:rsidP="00F8113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8113B">
              <w:rPr>
                <w:rFonts w:ascii="Arial" w:hAnsi="Arial" w:cs="Arial"/>
                <w:sz w:val="20"/>
                <w:szCs w:val="20"/>
              </w:rPr>
              <w:t>First, Dr. Imai testified that HB 2 is a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113B">
              <w:rPr>
                <w:rFonts w:ascii="Arial" w:hAnsi="Arial" w:cs="Arial"/>
                <w:sz w:val="20"/>
                <w:szCs w:val="20"/>
              </w:rPr>
              <w:t xml:space="preserve">gerrymander. </w:t>
            </w:r>
          </w:p>
          <w:p w14:paraId="4670693F" w14:textId="3081414E" w:rsidR="00B32F6B" w:rsidRDefault="00F8113B" w:rsidP="00F8113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8113B">
              <w:rPr>
                <w:rFonts w:ascii="Arial" w:hAnsi="Arial" w:cs="Arial"/>
                <w:sz w:val="20"/>
                <w:szCs w:val="20"/>
              </w:rPr>
              <w:t>After comparing HB 2 to 10,000 simulated plans, and ordering the districts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113B">
              <w:rPr>
                <w:rFonts w:ascii="Arial" w:hAnsi="Arial" w:cs="Arial"/>
                <w:sz w:val="20"/>
                <w:szCs w:val="20"/>
              </w:rPr>
              <w:t>based on Democratic vote share, his analysis showed that HB 2 is an outlier.</w:t>
            </w:r>
          </w:p>
          <w:p w14:paraId="7BBDC6FE" w14:textId="369AE77F" w:rsidR="008F6C97" w:rsidRPr="00A2608F" w:rsidRDefault="00A200F7" w:rsidP="00A2608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00F7">
              <w:rPr>
                <w:rFonts w:ascii="Arial" w:hAnsi="Arial" w:cs="Arial"/>
                <w:sz w:val="20"/>
                <w:szCs w:val="20"/>
              </w:rPr>
              <w:t>He also confirmed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0F7">
              <w:rPr>
                <w:rFonts w:ascii="Arial" w:hAnsi="Arial" w:cs="Arial"/>
                <w:sz w:val="20"/>
                <w:szCs w:val="20"/>
              </w:rPr>
              <w:t>that under HB 2, Democratic electors in Jefferson and Fayette Counties have been cracked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608F">
              <w:rPr>
                <w:rFonts w:ascii="Arial" w:hAnsi="Arial" w:cs="Arial"/>
                <w:sz w:val="20"/>
                <w:szCs w:val="20"/>
              </w:rPr>
              <w:t>and packed to create additional Republican safe districts.</w:t>
            </w:r>
          </w:p>
          <w:p w14:paraId="236ED8F1" w14:textId="2B6A0F2A" w:rsidR="00632EB3" w:rsidRDefault="00632EB3" w:rsidP="00632EB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Second, </w:t>
            </w:r>
            <w:r w:rsidRPr="00632EB3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Pr="00632EB3">
              <w:rPr>
                <w:rFonts w:ascii="Arial" w:hAnsi="Arial" w:cs="Arial"/>
                <w:sz w:val="20"/>
                <w:szCs w:val="20"/>
              </w:rPr>
              <w:t>Caughey’s</w:t>
            </w:r>
            <w:proofErr w:type="spellEnd"/>
            <w:r w:rsidRPr="00632EB3">
              <w:rPr>
                <w:rFonts w:ascii="Arial" w:hAnsi="Arial" w:cs="Arial"/>
                <w:sz w:val="20"/>
                <w:szCs w:val="20"/>
              </w:rPr>
              <w:t xml:space="preserve"> and Dr. Voss’s analyses of Kentucky’s Efficiency Gap demonstrate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2EB3">
              <w:rPr>
                <w:rFonts w:ascii="Arial" w:hAnsi="Arial" w:cs="Arial"/>
                <w:sz w:val="20"/>
                <w:szCs w:val="20"/>
              </w:rPr>
              <w:t>that although Kentucky should expect a higher Efficiency Gap given its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2EB3">
              <w:rPr>
                <w:rFonts w:ascii="Arial" w:hAnsi="Arial" w:cs="Arial"/>
                <w:sz w:val="20"/>
                <w:szCs w:val="20"/>
              </w:rPr>
              <w:t>geography, under HB 2, the Efficiency Gap is significantly higher.</w:t>
            </w:r>
          </w:p>
          <w:p w14:paraId="1ED49819" w14:textId="31E12993" w:rsidR="0090600A" w:rsidRDefault="00BB44B1" w:rsidP="00BB44B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B44B1">
              <w:rPr>
                <w:rFonts w:ascii="Arial" w:hAnsi="Arial" w:cs="Arial"/>
                <w:sz w:val="20"/>
                <w:szCs w:val="20"/>
              </w:rPr>
              <w:t>Dr. Imai’s work concludes that HB 2’s partisan skew is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44B1">
              <w:rPr>
                <w:rFonts w:ascii="Arial" w:hAnsi="Arial" w:cs="Arial"/>
                <w:sz w:val="20"/>
                <w:szCs w:val="20"/>
              </w:rPr>
              <w:t>due to Kentucky’s political geography, but due to the cracking and packing of Democratic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44B1">
              <w:rPr>
                <w:rFonts w:ascii="Arial" w:hAnsi="Arial" w:cs="Arial"/>
                <w:sz w:val="20"/>
                <w:szCs w:val="20"/>
              </w:rPr>
              <w:t>electors in districts to allow Republicans to maximize partisan gains statewide.</w:t>
            </w:r>
          </w:p>
          <w:p w14:paraId="2604BF46" w14:textId="5D8BDE7F" w:rsidR="008A5CDF" w:rsidRDefault="008A5CDF" w:rsidP="008A5CD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</w:t>
            </w:r>
            <w:r w:rsidRPr="008A5CDF">
              <w:rPr>
                <w:rFonts w:ascii="Arial" w:hAnsi="Arial" w:cs="Arial"/>
                <w:sz w:val="20"/>
                <w:szCs w:val="20"/>
              </w:rPr>
              <w:t xml:space="preserve">, after evaluating HB 2’s Declination, Dr. </w:t>
            </w:r>
            <w:proofErr w:type="spellStart"/>
            <w:r w:rsidRPr="008A5CDF">
              <w:rPr>
                <w:rFonts w:ascii="Arial" w:hAnsi="Arial" w:cs="Arial"/>
                <w:sz w:val="20"/>
                <w:szCs w:val="20"/>
              </w:rPr>
              <w:t>Caughey</w:t>
            </w:r>
            <w:proofErr w:type="spellEnd"/>
            <w:r w:rsidRPr="008A5CDF">
              <w:rPr>
                <w:rFonts w:ascii="Arial" w:hAnsi="Arial" w:cs="Arial"/>
                <w:sz w:val="20"/>
                <w:szCs w:val="20"/>
              </w:rPr>
              <w:t xml:space="preserve"> testified that HB 2’s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5CDF">
              <w:rPr>
                <w:rFonts w:ascii="Arial" w:hAnsi="Arial" w:cs="Arial"/>
                <w:sz w:val="20"/>
                <w:szCs w:val="20"/>
              </w:rPr>
              <w:t>Declination is “off the charts,” and shows a pro-Republican bias larger than he has ever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5CDF">
              <w:rPr>
                <w:rFonts w:ascii="Arial" w:hAnsi="Arial" w:cs="Arial"/>
                <w:sz w:val="20"/>
                <w:szCs w:val="20"/>
              </w:rPr>
              <w:t>seen.</w:t>
            </w:r>
          </w:p>
          <w:p w14:paraId="59E3A6EB" w14:textId="7655F594" w:rsidR="00EB0DC1" w:rsidRPr="00134440" w:rsidRDefault="00220599" w:rsidP="00EB0DC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4440">
              <w:rPr>
                <w:rFonts w:ascii="Arial" w:hAnsi="Arial" w:cs="Arial"/>
                <w:b/>
                <w:bCs/>
                <w:sz w:val="20"/>
                <w:szCs w:val="20"/>
              </w:rPr>
              <w:t>SB</w:t>
            </w:r>
            <w:r w:rsidRPr="001344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 is a Partisan Gerrymander</w:t>
            </w:r>
            <w:r w:rsidRPr="001344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C87B145" w14:textId="77777777" w:rsidR="00EB7A4A" w:rsidRDefault="00EB7A4A" w:rsidP="00EB7A4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EB7A4A">
              <w:rPr>
                <w:rFonts w:ascii="Arial" w:hAnsi="Arial" w:cs="Arial"/>
                <w:sz w:val="20"/>
                <w:szCs w:val="20"/>
              </w:rPr>
              <w:t>vidence presented at trial sufficiently demonstrates that SB 3 is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7A4A">
              <w:rPr>
                <w:rFonts w:ascii="Arial" w:hAnsi="Arial" w:cs="Arial"/>
                <w:sz w:val="20"/>
                <w:szCs w:val="20"/>
              </w:rPr>
              <w:t xml:space="preserve">partisan gerrymander. </w:t>
            </w:r>
          </w:p>
          <w:p w14:paraId="5ABB224E" w14:textId="28FAC220" w:rsidR="00220599" w:rsidRDefault="00EB7A4A" w:rsidP="00EB7A4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B7A4A">
              <w:rPr>
                <w:rFonts w:ascii="Arial" w:hAnsi="Arial" w:cs="Arial"/>
                <w:sz w:val="20"/>
                <w:szCs w:val="20"/>
              </w:rPr>
              <w:t>The Court finds Dr. Imai’s testimony extremely reliable and gives 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7A4A">
              <w:rPr>
                <w:rFonts w:ascii="Arial" w:hAnsi="Arial" w:cs="Arial"/>
                <w:sz w:val="20"/>
                <w:szCs w:val="20"/>
              </w:rPr>
              <w:t>significant weight.</w:t>
            </w:r>
          </w:p>
          <w:p w14:paraId="3B6BC5A0" w14:textId="77777777" w:rsidR="0010129D" w:rsidRDefault="0010129D" w:rsidP="0010129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0129D">
              <w:rPr>
                <w:rFonts w:ascii="Arial" w:hAnsi="Arial" w:cs="Arial"/>
                <w:sz w:val="20"/>
                <w:szCs w:val="20"/>
              </w:rPr>
              <w:t>Dr. Imai’s simulations found that SB 3’s First District is less compact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29D">
              <w:rPr>
                <w:rFonts w:ascii="Arial" w:hAnsi="Arial" w:cs="Arial"/>
                <w:sz w:val="20"/>
                <w:szCs w:val="20"/>
              </w:rPr>
              <w:t xml:space="preserve">than 99% of simulated plans that contain Franklin County. </w:t>
            </w:r>
          </w:p>
          <w:p w14:paraId="119D21C4" w14:textId="77777777" w:rsidR="0010129D" w:rsidRDefault="0010129D" w:rsidP="0010129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0129D">
              <w:rPr>
                <w:rFonts w:ascii="Arial" w:hAnsi="Arial" w:cs="Arial"/>
                <w:sz w:val="20"/>
                <w:szCs w:val="20"/>
              </w:rPr>
              <w:t>Dr. Imai criticized freezing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29D">
              <w:rPr>
                <w:rFonts w:ascii="Arial" w:hAnsi="Arial" w:cs="Arial"/>
                <w:sz w:val="20"/>
                <w:szCs w:val="20"/>
              </w:rPr>
              <w:t>previously enacted district because freezing a district has a direct impact on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29D">
              <w:rPr>
                <w:rFonts w:ascii="Arial" w:hAnsi="Arial" w:cs="Arial"/>
                <w:sz w:val="20"/>
                <w:szCs w:val="20"/>
              </w:rPr>
              <w:t xml:space="preserve">compactness of surrounding districts. </w:t>
            </w:r>
          </w:p>
          <w:p w14:paraId="36F6059D" w14:textId="6D887FB5" w:rsidR="00EB7A4A" w:rsidRDefault="0010129D" w:rsidP="0010129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0129D">
              <w:rPr>
                <w:rFonts w:ascii="Arial" w:hAnsi="Arial" w:cs="Arial"/>
                <w:sz w:val="20"/>
                <w:szCs w:val="20"/>
              </w:rPr>
              <w:t>Dr. Imai also testified that the Democratic vote share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29D">
              <w:rPr>
                <w:rFonts w:ascii="Arial" w:hAnsi="Arial" w:cs="Arial"/>
                <w:sz w:val="20"/>
                <w:szCs w:val="20"/>
              </w:rPr>
              <w:t>in SB 3’s First District is 35%, which is an extreme outlier.</w:t>
            </w:r>
          </w:p>
          <w:p w14:paraId="4583CE64" w14:textId="77777777" w:rsidR="0089594C" w:rsidRDefault="0089594C" w:rsidP="0089594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594C">
              <w:rPr>
                <w:rFonts w:ascii="Arial" w:hAnsi="Arial" w:cs="Arial"/>
                <w:sz w:val="20"/>
                <w:szCs w:val="20"/>
              </w:rPr>
              <w:t xml:space="preserve">The Commonwealth’s experts failed to rebut Dr. Imai’s findings. </w:t>
            </w:r>
          </w:p>
          <w:p w14:paraId="28982A9B" w14:textId="73DAF967" w:rsidR="008A1922" w:rsidRPr="00BB3E98" w:rsidRDefault="0089594C" w:rsidP="00BB3E9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594C"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 w:rsidRPr="0089594C"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 w:rsidRPr="0089594C">
              <w:rPr>
                <w:rFonts w:ascii="Arial" w:hAnsi="Arial" w:cs="Arial"/>
                <w:sz w:val="20"/>
                <w:szCs w:val="20"/>
              </w:rPr>
              <w:t xml:space="preserve"> failed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94C">
              <w:rPr>
                <w:rFonts w:ascii="Arial" w:hAnsi="Arial" w:cs="Arial"/>
                <w:sz w:val="20"/>
                <w:szCs w:val="20"/>
              </w:rPr>
              <w:t>to offer any explanation for the uncompact First District besides his belief that the Second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594C">
              <w:rPr>
                <w:rFonts w:ascii="Arial" w:hAnsi="Arial" w:cs="Arial"/>
                <w:sz w:val="20"/>
                <w:szCs w:val="20"/>
              </w:rPr>
              <w:t xml:space="preserve">District must remain gridlocked for William </w:t>
            </w:r>
            <w:proofErr w:type="spellStart"/>
            <w:r w:rsidRPr="0089594C">
              <w:rPr>
                <w:rFonts w:ascii="Arial" w:hAnsi="Arial" w:cs="Arial"/>
                <w:sz w:val="20"/>
                <w:szCs w:val="20"/>
              </w:rPr>
              <w:t>Natcher</w:t>
            </w:r>
            <w:proofErr w:type="spellEnd"/>
            <w:r w:rsidR="00BB3E98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B3E98" w:rsidRPr="00BB3E98">
              <w:rPr>
                <w:rFonts w:ascii="Arial" w:hAnsi="Arial" w:cs="Arial"/>
                <w:sz w:val="20"/>
                <w:szCs w:val="20"/>
              </w:rPr>
              <w:t>his testimony oddly focused on “freezing” the Second</w:t>
            </w:r>
            <w:r w:rsidR="00BB3E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E98" w:rsidRPr="00BB3E98">
              <w:rPr>
                <w:rFonts w:ascii="Arial" w:hAnsi="Arial" w:cs="Arial"/>
                <w:sz w:val="20"/>
                <w:szCs w:val="20"/>
              </w:rPr>
              <w:t>District in political consideration of a man who passed away in March 1994 and has not</w:t>
            </w:r>
            <w:r w:rsidR="00BB3E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E98" w:rsidRPr="00BB3E98">
              <w:rPr>
                <w:rFonts w:ascii="Arial" w:hAnsi="Arial" w:cs="Arial"/>
                <w:sz w:val="20"/>
                <w:szCs w:val="20"/>
              </w:rPr>
              <w:t>represented the Second District for almost thirty years.</w:t>
            </w:r>
          </w:p>
          <w:p w14:paraId="2F228CB3" w14:textId="1C243CCE" w:rsidR="0089594C" w:rsidRDefault="0002632F" w:rsidP="0002632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632F">
              <w:rPr>
                <w:rFonts w:ascii="Arial" w:hAnsi="Arial" w:cs="Arial"/>
                <w:sz w:val="20"/>
                <w:szCs w:val="20"/>
              </w:rPr>
              <w:t xml:space="preserve">In solely focusing on preserving the memory of William </w:t>
            </w:r>
            <w:proofErr w:type="spellStart"/>
            <w:r w:rsidRPr="0002632F">
              <w:rPr>
                <w:rFonts w:ascii="Arial" w:hAnsi="Arial" w:cs="Arial"/>
                <w:sz w:val="20"/>
                <w:szCs w:val="20"/>
              </w:rPr>
              <w:t>Natcher</w:t>
            </w:r>
            <w:proofErr w:type="spellEnd"/>
            <w:r w:rsidRPr="0002632F">
              <w:rPr>
                <w:rFonts w:ascii="Arial" w:hAnsi="Arial" w:cs="Arial"/>
                <w:sz w:val="20"/>
                <w:szCs w:val="20"/>
              </w:rPr>
              <w:t>, Mr.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2632F"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 w:rsidRPr="0002632F">
              <w:rPr>
                <w:rFonts w:ascii="Arial" w:hAnsi="Arial" w:cs="Arial"/>
                <w:sz w:val="20"/>
                <w:szCs w:val="20"/>
              </w:rPr>
              <w:t xml:space="preserve"> gave no consideration to Kentucky’s remaining five (5) districts, which share equal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632F">
              <w:rPr>
                <w:rFonts w:ascii="Arial" w:hAnsi="Arial" w:cs="Arial"/>
                <w:sz w:val="20"/>
                <w:szCs w:val="20"/>
              </w:rPr>
              <w:t>importance.</w:t>
            </w:r>
          </w:p>
          <w:p w14:paraId="353D638F" w14:textId="462F468B" w:rsidR="00DB6B2E" w:rsidRDefault="00DB6B2E" w:rsidP="00DB6B2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B6B2E"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 w:rsidRPr="00DB6B2E"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 w:rsidRPr="00DB6B2E">
              <w:rPr>
                <w:rFonts w:ascii="Arial" w:hAnsi="Arial" w:cs="Arial"/>
                <w:sz w:val="20"/>
                <w:szCs w:val="20"/>
              </w:rPr>
              <w:t xml:space="preserve"> also opined on “rules” that the General Assembly has when drawing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6B2E">
              <w:rPr>
                <w:rFonts w:ascii="Arial" w:hAnsi="Arial" w:cs="Arial"/>
                <w:sz w:val="20"/>
                <w:szCs w:val="20"/>
              </w:rPr>
              <w:t xml:space="preserve">maps but could not cite to any “rules” and </w:t>
            </w:r>
            <w:r w:rsidRPr="00DB6B2E">
              <w:rPr>
                <w:rFonts w:ascii="Arial" w:hAnsi="Arial" w:cs="Arial"/>
                <w:sz w:val="20"/>
                <w:szCs w:val="20"/>
              </w:rPr>
              <w:lastRenderedPageBreak/>
              <w:t>admitted that he had not consulted with any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6B2E">
              <w:rPr>
                <w:rFonts w:ascii="Arial" w:hAnsi="Arial" w:cs="Arial"/>
                <w:sz w:val="20"/>
                <w:szCs w:val="20"/>
              </w:rPr>
              <w:t>members of the General Assembly, so he did not know what criteria or “rules” they used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6B2E">
              <w:rPr>
                <w:rFonts w:ascii="Arial" w:hAnsi="Arial" w:cs="Arial"/>
                <w:sz w:val="20"/>
                <w:szCs w:val="20"/>
              </w:rPr>
              <w:t>when drawing SB 3.</w:t>
            </w:r>
          </w:p>
          <w:p w14:paraId="00BDA51A" w14:textId="067375C6" w:rsidR="00274D4F" w:rsidRDefault="00A20804" w:rsidP="00A20804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0804">
              <w:rPr>
                <w:rFonts w:ascii="Arial" w:hAnsi="Arial" w:cs="Arial"/>
                <w:sz w:val="20"/>
                <w:szCs w:val="20"/>
              </w:rPr>
              <w:t>His “rule” testimony mainly focused on preserving “historical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804">
              <w:rPr>
                <w:rFonts w:ascii="Arial" w:hAnsi="Arial" w:cs="Arial"/>
                <w:sz w:val="20"/>
                <w:szCs w:val="20"/>
              </w:rPr>
              <w:t>pairings,” clearly to support his belief that the Second District must remain as is forever.</w:t>
            </w:r>
          </w:p>
          <w:p w14:paraId="1679CE32" w14:textId="7D0F34D3" w:rsidR="00A20804" w:rsidRDefault="00A20804" w:rsidP="0091331F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A20804">
              <w:rPr>
                <w:rFonts w:ascii="Arial" w:hAnsi="Arial" w:cs="Arial"/>
                <w:sz w:val="20"/>
                <w:szCs w:val="20"/>
              </w:rPr>
              <w:t xml:space="preserve">he Court finds Mr. </w:t>
            </w:r>
            <w:proofErr w:type="spellStart"/>
            <w:r w:rsidRPr="00A20804">
              <w:rPr>
                <w:rFonts w:ascii="Arial" w:hAnsi="Arial" w:cs="Arial"/>
                <w:sz w:val="20"/>
                <w:szCs w:val="20"/>
              </w:rPr>
              <w:t>Trende’s</w:t>
            </w:r>
            <w:proofErr w:type="spellEnd"/>
            <w:r w:rsidRPr="00A20804">
              <w:rPr>
                <w:rFonts w:ascii="Arial" w:hAnsi="Arial" w:cs="Arial"/>
                <w:sz w:val="20"/>
                <w:szCs w:val="20"/>
              </w:rPr>
              <w:t xml:space="preserve"> testimony self-serving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804">
              <w:rPr>
                <w:rFonts w:ascii="Arial" w:hAnsi="Arial" w:cs="Arial"/>
                <w:sz w:val="20"/>
                <w:szCs w:val="20"/>
              </w:rPr>
              <w:t>unreliable.</w:t>
            </w:r>
          </w:p>
          <w:p w14:paraId="7A70689B" w14:textId="77777777" w:rsidR="002D782F" w:rsidRDefault="002D782F" w:rsidP="002D782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D782F">
              <w:rPr>
                <w:rFonts w:ascii="Arial" w:hAnsi="Arial" w:cs="Arial"/>
                <w:sz w:val="20"/>
                <w:szCs w:val="20"/>
              </w:rPr>
              <w:t xml:space="preserve">The Commonwealth’s other expert witness, Dr. Voss, </w:t>
            </w:r>
            <w:proofErr w:type="gramStart"/>
            <w:r w:rsidRPr="002D782F">
              <w:rPr>
                <w:rFonts w:ascii="Arial" w:hAnsi="Arial" w:cs="Arial"/>
                <w:sz w:val="20"/>
                <w:szCs w:val="20"/>
              </w:rPr>
              <w:t>actually supported</w:t>
            </w:r>
            <w:proofErr w:type="gramEnd"/>
            <w:r w:rsidRPr="002D782F">
              <w:rPr>
                <w:rFonts w:ascii="Arial" w:hAnsi="Arial" w:cs="Arial"/>
                <w:sz w:val="20"/>
                <w:szCs w:val="20"/>
              </w:rPr>
              <w:t xml:space="preserve"> Dr. Imai’s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82F">
              <w:rPr>
                <w:rFonts w:ascii="Arial" w:hAnsi="Arial" w:cs="Arial"/>
                <w:sz w:val="20"/>
                <w:szCs w:val="20"/>
              </w:rPr>
              <w:t xml:space="preserve">testimony. </w:t>
            </w:r>
          </w:p>
          <w:p w14:paraId="4B6A7CC9" w14:textId="0DF3C8D5" w:rsidR="00A20804" w:rsidRDefault="002D782F" w:rsidP="002D782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D782F">
              <w:rPr>
                <w:rFonts w:ascii="Arial" w:hAnsi="Arial" w:cs="Arial"/>
                <w:sz w:val="20"/>
                <w:szCs w:val="20"/>
              </w:rPr>
              <w:t>Dr. Voss testified that when the algorithm is instructed to keep Warren, Daviess,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82F">
              <w:rPr>
                <w:rFonts w:ascii="Arial" w:hAnsi="Arial" w:cs="Arial"/>
                <w:sz w:val="20"/>
                <w:szCs w:val="20"/>
              </w:rPr>
              <w:t>and Bullitt Counties together, rather than gridlocking the entire Second District, Franklin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82F">
              <w:rPr>
                <w:rFonts w:ascii="Arial" w:hAnsi="Arial" w:cs="Arial"/>
                <w:sz w:val="20"/>
                <w:szCs w:val="20"/>
              </w:rPr>
              <w:t>County does not end up in the First District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6C38D7" w14:textId="0F8F2CA0" w:rsidR="002D782F" w:rsidRDefault="002D782F" w:rsidP="002D782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D782F">
              <w:rPr>
                <w:rFonts w:ascii="Arial" w:hAnsi="Arial" w:cs="Arial"/>
                <w:sz w:val="20"/>
                <w:szCs w:val="20"/>
              </w:rPr>
              <w:t xml:space="preserve">Dr. Voss </w:t>
            </w:r>
            <w:r>
              <w:rPr>
                <w:rFonts w:ascii="Arial" w:hAnsi="Arial" w:cs="Arial"/>
                <w:sz w:val="20"/>
                <w:szCs w:val="20"/>
              </w:rPr>
              <w:t>also</w:t>
            </w:r>
            <w:r w:rsidRPr="002D782F">
              <w:rPr>
                <w:rFonts w:ascii="Arial" w:hAnsi="Arial" w:cs="Arial"/>
                <w:sz w:val="20"/>
                <w:szCs w:val="20"/>
              </w:rPr>
              <w:t xml:space="preserve"> disagreed with Mr. </w:t>
            </w:r>
            <w:proofErr w:type="spellStart"/>
            <w:r w:rsidRPr="002D782F">
              <w:rPr>
                <w:rFonts w:ascii="Arial" w:hAnsi="Arial" w:cs="Arial"/>
                <w:sz w:val="20"/>
                <w:szCs w:val="20"/>
              </w:rPr>
              <w:t>Trende’s</w:t>
            </w:r>
            <w:proofErr w:type="spellEnd"/>
            <w:r w:rsidRPr="002D782F">
              <w:rPr>
                <w:rFonts w:ascii="Arial" w:hAnsi="Arial" w:cs="Arial"/>
                <w:sz w:val="20"/>
                <w:szCs w:val="20"/>
              </w:rPr>
              <w:t xml:space="preserve"> obsession with freezing the Second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82F">
              <w:rPr>
                <w:rFonts w:ascii="Arial" w:hAnsi="Arial" w:cs="Arial"/>
                <w:sz w:val="20"/>
                <w:szCs w:val="20"/>
              </w:rPr>
              <w:t>District “for historical reasons” and said that rooting an analysis too deeply in past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782F">
              <w:rPr>
                <w:rFonts w:ascii="Arial" w:hAnsi="Arial" w:cs="Arial"/>
                <w:sz w:val="20"/>
                <w:szCs w:val="20"/>
              </w:rPr>
              <w:t>precedent and failing to give way to legal requirements and guidelines is an error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AFBC1D" w14:textId="092B795E" w:rsidR="0033024A" w:rsidRDefault="009D0A01" w:rsidP="009D0A0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Notwithstanding, t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 Kentucky Constitution does not </w:t>
            </w:r>
            <w:r w:rsidR="009438BC"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xpressly </w:t>
            </w:r>
            <w:r w:rsidR="009438BC"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rohibit </w:t>
            </w:r>
            <w:r w:rsidR="009438BC"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artisan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438BC"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errymandering</w:t>
            </w:r>
            <w:r w:rsidR="009438BC" w:rsidRPr="00163AE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3DBC79D" w14:textId="5BE7EE86" w:rsidR="00BB6E4F" w:rsidRPr="00163AE6" w:rsidRDefault="00BB6E4F" w:rsidP="00BB6E4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Section 33 Claim</w:t>
            </w:r>
            <w:r w:rsidR="00537119">
              <w:rPr>
                <w:rFonts w:ascii="Arial" w:hAnsi="Arial" w:cs="Arial"/>
                <w:b/>
                <w:bCs/>
                <w:sz w:val="20"/>
                <w:szCs w:val="20"/>
              </w:rPr>
              <w:t>, Population Equality and County Integrity</w:t>
            </w:r>
          </w:p>
          <w:p w14:paraId="15F991FD" w14:textId="77777777" w:rsidR="00452B53" w:rsidRDefault="00452B53" w:rsidP="00BB6E4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320E4">
              <w:rPr>
                <w:rFonts w:ascii="Arial" w:hAnsi="Arial" w:cs="Arial"/>
                <w:sz w:val="20"/>
                <w:szCs w:val="20"/>
              </w:rPr>
              <w:t xml:space="preserve">Since </w:t>
            </w:r>
            <w:r w:rsidRPr="002320E4">
              <w:rPr>
                <w:rFonts w:ascii="Arial" w:hAnsi="Arial" w:cs="Arial"/>
                <w:i/>
                <w:iCs/>
                <w:sz w:val="20"/>
                <w:szCs w:val="20"/>
              </w:rPr>
              <w:t>Fischer II</w:t>
            </w:r>
            <w:r w:rsidRPr="002320E4">
              <w:rPr>
                <w:rFonts w:ascii="Arial" w:hAnsi="Arial" w:cs="Arial"/>
                <w:sz w:val="20"/>
                <w:szCs w:val="20"/>
              </w:rPr>
              <w:t>’s release in 1992, the “dual mandate” of population equality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20E4">
              <w:rPr>
                <w:rFonts w:ascii="Arial" w:hAnsi="Arial" w:cs="Arial"/>
                <w:sz w:val="20"/>
                <w:szCs w:val="20"/>
              </w:rPr>
              <w:t xml:space="preserve">county integrity has held strong. </w:t>
            </w:r>
          </w:p>
          <w:p w14:paraId="22625DB8" w14:textId="77777777" w:rsidR="00452B53" w:rsidRDefault="00452B53" w:rsidP="00BB6E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320E4">
              <w:rPr>
                <w:rFonts w:ascii="Arial" w:hAnsi="Arial" w:cs="Arial"/>
                <w:sz w:val="20"/>
                <w:szCs w:val="20"/>
              </w:rPr>
              <w:t>The Kentucky Supreme Court has continued to uphold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20E4">
              <w:rPr>
                <w:rFonts w:ascii="Arial" w:hAnsi="Arial" w:cs="Arial"/>
                <w:sz w:val="20"/>
                <w:szCs w:val="20"/>
              </w:rPr>
              <w:t>strike down House redistricting plans solely based on whether the plan (1) splits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A190A">
              <w:rPr>
                <w:rFonts w:ascii="Arial" w:hAnsi="Arial" w:cs="Arial"/>
                <w:sz w:val="20"/>
                <w:szCs w:val="20"/>
              </w:rPr>
              <w:t>minimum number of counties required and (2) keeps a population variation between +/-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A190A">
              <w:rPr>
                <w:rFonts w:ascii="Arial" w:hAnsi="Arial" w:cs="Arial"/>
                <w:sz w:val="20"/>
                <w:szCs w:val="20"/>
              </w:rPr>
              <w:t xml:space="preserve">5%. </w:t>
            </w:r>
          </w:p>
          <w:p w14:paraId="32B22846" w14:textId="77777777" w:rsidR="00452B53" w:rsidRDefault="00452B53" w:rsidP="00BB6E4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A190A">
              <w:rPr>
                <w:rFonts w:ascii="Arial" w:hAnsi="Arial" w:cs="Arial"/>
                <w:sz w:val="20"/>
                <w:szCs w:val="20"/>
              </w:rPr>
              <w:t xml:space="preserve">Turning back to </w:t>
            </w:r>
            <w:r w:rsidRPr="00B54875">
              <w:rPr>
                <w:rFonts w:ascii="Arial" w:hAnsi="Arial" w:cs="Arial"/>
                <w:i/>
                <w:iCs/>
                <w:sz w:val="20"/>
                <w:szCs w:val="20"/>
              </w:rPr>
              <w:t>Jensen</w:t>
            </w:r>
            <w:r w:rsidRPr="003A190A">
              <w:rPr>
                <w:rFonts w:ascii="Arial" w:hAnsi="Arial" w:cs="Arial"/>
                <w:sz w:val="20"/>
                <w:szCs w:val="20"/>
              </w:rPr>
              <w:t>, the Kentucky Supreme Court specifically held that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4875">
              <w:rPr>
                <w:rFonts w:ascii="Arial" w:hAnsi="Arial" w:cs="Arial"/>
                <w:sz w:val="20"/>
                <w:szCs w:val="20"/>
              </w:rPr>
              <w:t>General Assembly is not constitutionally prohibited from dividing the minimum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7C2E">
              <w:rPr>
                <w:rFonts w:ascii="Arial" w:hAnsi="Arial" w:cs="Arial"/>
                <w:sz w:val="20"/>
                <w:szCs w:val="20"/>
              </w:rPr>
              <w:t>of counties multiple times.</w:t>
            </w:r>
          </w:p>
          <w:p w14:paraId="77BFC364" w14:textId="77777777" w:rsidR="00452B53" w:rsidRDefault="00452B53" w:rsidP="00BB6E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37F39">
              <w:rPr>
                <w:rFonts w:ascii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Jensen </w:t>
            </w:r>
            <w:r w:rsidRPr="00137F39">
              <w:rPr>
                <w:rFonts w:ascii="Arial" w:hAnsi="Arial" w:cs="Arial"/>
                <w:sz w:val="20"/>
                <w:szCs w:val="20"/>
              </w:rPr>
              <w:t>Court emphasized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7F39">
              <w:rPr>
                <w:rFonts w:ascii="Arial" w:hAnsi="Arial" w:cs="Arial"/>
                <w:sz w:val="20"/>
                <w:szCs w:val="20"/>
              </w:rPr>
              <w:t>“[t]here is a difference between what is perceived to be unfair and what is unconstitutional”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7F39">
              <w:rPr>
                <w:rFonts w:ascii="Arial" w:hAnsi="Arial" w:cs="Arial"/>
                <w:sz w:val="20"/>
                <w:szCs w:val="20"/>
              </w:rPr>
              <w:t>and “[a]</w:t>
            </w:r>
            <w:proofErr w:type="spellStart"/>
            <w:r w:rsidRPr="00137F39">
              <w:rPr>
                <w:rFonts w:ascii="Arial" w:hAnsi="Arial" w:cs="Arial"/>
                <w:sz w:val="20"/>
                <w:szCs w:val="20"/>
              </w:rPr>
              <w:t>pportionment</w:t>
            </w:r>
            <w:proofErr w:type="spellEnd"/>
            <w:r w:rsidRPr="00137F39">
              <w:rPr>
                <w:rFonts w:ascii="Arial" w:hAnsi="Arial" w:cs="Arial"/>
                <w:sz w:val="20"/>
                <w:szCs w:val="20"/>
              </w:rPr>
              <w:t xml:space="preserve"> is primarily a political and legislative process.” </w:t>
            </w:r>
          </w:p>
          <w:p w14:paraId="40299302" w14:textId="0535E9F9" w:rsidR="00452B53" w:rsidRPr="00ED33EB" w:rsidRDefault="00452B53" w:rsidP="00BB6E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37F39">
              <w:rPr>
                <w:rFonts w:ascii="Arial" w:hAnsi="Arial" w:cs="Arial"/>
                <w:sz w:val="20"/>
                <w:szCs w:val="20"/>
              </w:rPr>
              <w:t xml:space="preserve">Thus, 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Jensen </w:t>
            </w:r>
            <w:r w:rsidRPr="00137F39">
              <w:rPr>
                <w:rFonts w:ascii="Arial" w:hAnsi="Arial" w:cs="Arial"/>
                <w:sz w:val="20"/>
                <w:szCs w:val="20"/>
              </w:rPr>
              <w:t>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held</w:t>
            </w:r>
            <w:r w:rsidRPr="00137F39">
              <w:rPr>
                <w:rFonts w:ascii="Arial" w:hAnsi="Arial" w:cs="Arial"/>
                <w:sz w:val="20"/>
                <w:szCs w:val="20"/>
              </w:rPr>
              <w:t xml:space="preserve"> that under Section 33 of the Kentucky Constitution there is no prohibition against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5BBC">
              <w:rPr>
                <w:rFonts w:ascii="Arial" w:hAnsi="Arial" w:cs="Arial"/>
                <w:sz w:val="20"/>
                <w:szCs w:val="20"/>
              </w:rPr>
              <w:t>partisan gerrymandering or excessively dividing the split counties.</w:t>
            </w:r>
          </w:p>
          <w:p w14:paraId="49FC8973" w14:textId="13A871FC" w:rsidR="00226246" w:rsidRPr="00226246" w:rsidRDefault="00226246" w:rsidP="00BB6E4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26246">
              <w:rPr>
                <w:rFonts w:ascii="Arial" w:hAnsi="Arial" w:cs="Arial"/>
                <w:sz w:val="20"/>
                <w:szCs w:val="20"/>
              </w:rPr>
              <w:t>he Court must evaluate HB 2 under the standard set for Section 33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6246">
              <w:rPr>
                <w:rFonts w:ascii="Arial" w:hAnsi="Arial" w:cs="Arial"/>
                <w:sz w:val="20"/>
                <w:szCs w:val="20"/>
              </w:rPr>
              <w:t>challenges.</w:t>
            </w:r>
          </w:p>
          <w:p w14:paraId="1A336348" w14:textId="1DFE95E5" w:rsidR="007C7815" w:rsidRDefault="00194FFF" w:rsidP="00BB6E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4FFF">
              <w:rPr>
                <w:rFonts w:ascii="Arial" w:hAnsi="Arial" w:cs="Arial"/>
                <w:sz w:val="20"/>
                <w:szCs w:val="20"/>
              </w:rPr>
              <w:t>HB 2 divides exactly 23</w:t>
            </w:r>
            <w:r w:rsidR="00503F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3F56">
              <w:rPr>
                <w:rFonts w:ascii="Arial" w:hAnsi="Arial" w:cs="Arial"/>
                <w:sz w:val="20"/>
                <w:szCs w:val="20"/>
              </w:rPr>
              <w:t>coun</w:t>
            </w:r>
            <w:r w:rsidR="00503F56">
              <w:rPr>
                <w:rFonts w:ascii="Arial" w:hAnsi="Arial" w:cs="Arial"/>
                <w:sz w:val="20"/>
                <w:szCs w:val="20"/>
              </w:rPr>
              <w:t>ti</w:t>
            </w:r>
            <w:r w:rsidRPr="00503F56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7C7815">
              <w:rPr>
                <w:rFonts w:ascii="Arial" w:hAnsi="Arial" w:cs="Arial"/>
                <w:sz w:val="20"/>
                <w:szCs w:val="20"/>
              </w:rPr>
              <w:t xml:space="preserve">(the </w:t>
            </w:r>
            <w:r w:rsidR="007C7815" w:rsidRPr="00194FFF">
              <w:rPr>
                <w:rFonts w:ascii="Arial" w:hAnsi="Arial" w:cs="Arial"/>
                <w:sz w:val="20"/>
                <w:szCs w:val="20"/>
              </w:rPr>
              <w:t>minimum number of counties that must be</w:t>
            </w:r>
            <w:r w:rsidR="007C78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815" w:rsidRPr="00194FFF">
              <w:rPr>
                <w:rFonts w:ascii="Arial" w:hAnsi="Arial" w:cs="Arial"/>
                <w:sz w:val="20"/>
                <w:szCs w:val="20"/>
              </w:rPr>
              <w:t>divided</w:t>
            </w:r>
            <w:r w:rsidR="007C7815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503F56">
              <w:rPr>
                <w:rFonts w:ascii="Arial" w:hAnsi="Arial" w:cs="Arial"/>
                <w:sz w:val="20"/>
                <w:szCs w:val="20"/>
              </w:rPr>
              <w:t>and each district is within the +/-</w:t>
            </w:r>
            <w:r w:rsidR="005C2D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3F56">
              <w:rPr>
                <w:rFonts w:ascii="Arial" w:hAnsi="Arial" w:cs="Arial"/>
                <w:sz w:val="20"/>
                <w:szCs w:val="20"/>
              </w:rPr>
              <w:t xml:space="preserve">5% range of </w:t>
            </w:r>
            <w:r w:rsidR="007C7815">
              <w:rPr>
                <w:rFonts w:ascii="Arial" w:hAnsi="Arial" w:cs="Arial"/>
                <w:sz w:val="20"/>
                <w:szCs w:val="20"/>
              </w:rPr>
              <w:t xml:space="preserve">the required </w:t>
            </w:r>
            <w:r w:rsidRPr="00503F56">
              <w:rPr>
                <w:rFonts w:ascii="Arial" w:hAnsi="Arial" w:cs="Arial"/>
                <w:sz w:val="20"/>
                <w:szCs w:val="20"/>
              </w:rPr>
              <w:t xml:space="preserve">45,058 people. </w:t>
            </w:r>
          </w:p>
          <w:p w14:paraId="07EB4F99" w14:textId="0B979FC0" w:rsidR="00226246" w:rsidRDefault="005B5524" w:rsidP="00BB6E4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5524">
              <w:rPr>
                <w:rFonts w:ascii="Arial" w:hAnsi="Arial" w:cs="Arial"/>
                <w:sz w:val="20"/>
                <w:szCs w:val="20"/>
              </w:rPr>
              <w:t>Although Plaintiffs have demonstrated that HB 2 is a partisan gerrymander and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5524">
              <w:rPr>
                <w:rFonts w:ascii="Arial" w:hAnsi="Arial" w:cs="Arial"/>
                <w:sz w:val="20"/>
                <w:szCs w:val="20"/>
              </w:rPr>
              <w:t xml:space="preserve">HB 2 excessively splits the 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5B5524">
              <w:rPr>
                <w:rFonts w:ascii="Arial" w:hAnsi="Arial" w:cs="Arial"/>
                <w:sz w:val="20"/>
                <w:szCs w:val="20"/>
              </w:rPr>
              <w:t xml:space="preserve"> counties more times than necessary,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5524">
              <w:rPr>
                <w:rFonts w:ascii="Arial" w:hAnsi="Arial" w:cs="Arial"/>
                <w:sz w:val="20"/>
                <w:szCs w:val="20"/>
              </w:rPr>
              <w:t>Kentucky Supreme Court precedent, in this Court’s eyes, does not prohibit such.</w:t>
            </w:r>
          </w:p>
          <w:p w14:paraId="52D8394D" w14:textId="13986A6D" w:rsidR="00304808" w:rsidRDefault="00BB6E4F" w:rsidP="00BB6E4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Section </w:t>
            </w:r>
            <w:r w:rsidR="00421A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Claim</w:t>
            </w:r>
            <w:r w:rsidR="00B634C3">
              <w:rPr>
                <w:rFonts w:ascii="Arial" w:hAnsi="Arial" w:cs="Arial"/>
                <w:b/>
                <w:bCs/>
                <w:sz w:val="20"/>
                <w:szCs w:val="20"/>
              </w:rPr>
              <w:t>, Free Elections</w:t>
            </w:r>
          </w:p>
          <w:p w14:paraId="30945E39" w14:textId="7419A03E" w:rsidR="009851B0" w:rsidRDefault="00F14959" w:rsidP="00F1495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14959">
              <w:rPr>
                <w:rFonts w:ascii="Arial" w:hAnsi="Arial" w:cs="Arial"/>
                <w:sz w:val="20"/>
                <w:szCs w:val="20"/>
              </w:rPr>
              <w:lastRenderedPageBreak/>
              <w:t>Section 6 has no analogue in the federal Constitution, which signals it was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959">
              <w:rPr>
                <w:rFonts w:ascii="Arial" w:hAnsi="Arial" w:cs="Arial"/>
                <w:sz w:val="20"/>
                <w:szCs w:val="20"/>
              </w:rPr>
              <w:t>crafted to ensure greater protection for Kentuckians.</w:t>
            </w:r>
          </w:p>
          <w:p w14:paraId="5CDE364D" w14:textId="2F7E3E5E" w:rsidR="001B3724" w:rsidRPr="001B3724" w:rsidRDefault="001B3724" w:rsidP="001B3724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724">
              <w:rPr>
                <w:rFonts w:ascii="Arial" w:hAnsi="Arial" w:cs="Arial"/>
                <w:sz w:val="20"/>
                <w:szCs w:val="20"/>
              </w:rPr>
              <w:t>Other states’ constitutions have similar provisions to Kentucky’s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724">
              <w:rPr>
                <w:rFonts w:ascii="Arial" w:hAnsi="Arial" w:cs="Arial"/>
                <w:sz w:val="20"/>
                <w:szCs w:val="20"/>
              </w:rPr>
              <w:t>Section 6 that have recently been used to hold partisan gerrymandering unconstitutional.</w:t>
            </w:r>
          </w:p>
          <w:p w14:paraId="1625663C" w14:textId="60FB45A7" w:rsidR="00F14959" w:rsidRDefault="001B3724" w:rsidP="00D83EE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724">
              <w:rPr>
                <w:rFonts w:ascii="Arial" w:hAnsi="Arial" w:cs="Arial"/>
                <w:sz w:val="20"/>
                <w:szCs w:val="20"/>
              </w:rPr>
              <w:t>This Court, however, must examine Kentucky precedent and the 1890-91 constitutional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724">
              <w:rPr>
                <w:rFonts w:ascii="Arial" w:hAnsi="Arial" w:cs="Arial"/>
                <w:sz w:val="20"/>
                <w:szCs w:val="20"/>
              </w:rPr>
              <w:t>debates to find support for Plaintiffs’ claim that Section 6 prohibits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724">
              <w:rPr>
                <w:rFonts w:ascii="Arial" w:hAnsi="Arial" w:cs="Arial"/>
                <w:sz w:val="20"/>
                <w:szCs w:val="20"/>
              </w:rPr>
              <w:t>gerrymandering.</w:t>
            </w:r>
          </w:p>
          <w:p w14:paraId="22AC110E" w14:textId="332FBFFE" w:rsidR="00D83EE4" w:rsidRDefault="00D83EE4" w:rsidP="00D83EE4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83EE4">
              <w:rPr>
                <w:rFonts w:ascii="Arial" w:hAnsi="Arial" w:cs="Arial"/>
                <w:sz w:val="20"/>
                <w:szCs w:val="20"/>
              </w:rPr>
              <w:t>The Framers,</w:t>
            </w:r>
            <w:proofErr w:type="gramEnd"/>
            <w:r w:rsidRPr="00D83EE4">
              <w:rPr>
                <w:rFonts w:ascii="Arial" w:hAnsi="Arial" w:cs="Arial"/>
                <w:sz w:val="20"/>
                <w:szCs w:val="20"/>
              </w:rPr>
              <w:t xml:space="preserve"> concerned that others might struggle to ascertain the exact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meaning of the simple phrase “[a]</w:t>
            </w:r>
            <w:proofErr w:type="spellStart"/>
            <w:r w:rsidRPr="00D83EE4">
              <w:rPr>
                <w:rFonts w:ascii="Arial" w:hAnsi="Arial" w:cs="Arial"/>
                <w:sz w:val="20"/>
                <w:szCs w:val="20"/>
              </w:rPr>
              <w:t>ll</w:t>
            </w:r>
            <w:proofErr w:type="spellEnd"/>
            <w:r w:rsidRPr="00D83EE4">
              <w:rPr>
                <w:rFonts w:ascii="Arial" w:hAnsi="Arial" w:cs="Arial"/>
                <w:sz w:val="20"/>
                <w:szCs w:val="20"/>
              </w:rPr>
              <w:t xml:space="preserve"> elections shall be free and equal,” discussed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ad</w:t>
            </w:r>
            <w:r w:rsidR="00D21954">
              <w:rPr>
                <w:rFonts w:ascii="Arial" w:hAnsi="Arial" w:cs="Arial"/>
                <w:sz w:val="20"/>
                <w:szCs w:val="20"/>
              </w:rPr>
              <w:t>o</w:t>
            </w:r>
            <w:r w:rsidRPr="00D83EE4">
              <w:rPr>
                <w:rFonts w:ascii="Arial" w:hAnsi="Arial" w:cs="Arial"/>
                <w:sz w:val="20"/>
                <w:szCs w:val="20"/>
              </w:rPr>
              <w:t>ption of the phrase from the English Declaration of Rights.</w:t>
            </w:r>
          </w:p>
          <w:p w14:paraId="674147F9" w14:textId="2E8500CF" w:rsidR="00D83EE4" w:rsidRDefault="00D83EE4" w:rsidP="00D83EE4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D83EE4">
              <w:rPr>
                <w:rFonts w:ascii="Arial" w:hAnsi="Arial" w:cs="Arial"/>
                <w:sz w:val="20"/>
                <w:szCs w:val="20"/>
              </w:rPr>
              <w:t>They did not mean that all persons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should have a vote, or that no registration should be required. They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meant simply that no troops should intimidate voters.</w:t>
            </w:r>
            <w:r>
              <w:rPr>
                <w:rFonts w:ascii="Arial" w:hAnsi="Arial" w:cs="Arial"/>
                <w:sz w:val="20"/>
                <w:szCs w:val="20"/>
              </w:rPr>
              <w:t xml:space="preserve">”  </w:t>
            </w:r>
            <w:r w:rsidRPr="00D83EE4">
              <w:rPr>
                <w:rFonts w:ascii="Arial" w:hAnsi="Arial" w:cs="Arial"/>
                <w:i/>
                <w:iCs/>
                <w:sz w:val="20"/>
                <w:szCs w:val="20"/>
              </w:rPr>
              <w:t>1890-91 Debates</w:t>
            </w:r>
            <w:r w:rsidRPr="00D83EE4">
              <w:rPr>
                <w:rFonts w:ascii="Arial" w:hAnsi="Arial" w:cs="Arial"/>
                <w:sz w:val="20"/>
                <w:szCs w:val="20"/>
              </w:rPr>
              <w:t xml:space="preserve"> at 670</w:t>
            </w:r>
            <w:r w:rsidR="005A44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3E63BD" w14:textId="66BA9D66" w:rsidR="005A4406" w:rsidRDefault="00D83EE4" w:rsidP="006B22E2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83EE4">
              <w:rPr>
                <w:rFonts w:ascii="Arial" w:hAnsi="Arial" w:cs="Arial"/>
                <w:sz w:val="20"/>
                <w:szCs w:val="20"/>
              </w:rPr>
              <w:t>he consensus continued to be that Section 6 be enacted to prohibit election day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interferences at polling places that had disgraced English history and had even made way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EE4">
              <w:rPr>
                <w:rFonts w:ascii="Arial" w:hAnsi="Arial" w:cs="Arial"/>
                <w:sz w:val="20"/>
                <w:szCs w:val="20"/>
              </w:rPr>
              <w:t>to our great Commonwealth</w:t>
            </w:r>
            <w:r w:rsidR="005A44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35309E" w14:textId="0AB4760B" w:rsidR="005B4CFA" w:rsidRDefault="005B4CFA" w:rsidP="001A1BD2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4CFA">
              <w:rPr>
                <w:rFonts w:ascii="Arial" w:hAnsi="Arial" w:cs="Arial"/>
                <w:sz w:val="20"/>
                <w:szCs w:val="20"/>
              </w:rPr>
              <w:t>Kentucky precedent consistently supports that Section 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4CFA">
              <w:rPr>
                <w:rFonts w:ascii="Arial" w:hAnsi="Arial" w:cs="Arial"/>
                <w:sz w:val="20"/>
                <w:szCs w:val="20"/>
              </w:rPr>
              <w:t>has nothing to do with apportionment, but rather prohibition against interferences with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4CFA">
              <w:rPr>
                <w:rFonts w:ascii="Arial" w:hAnsi="Arial" w:cs="Arial"/>
                <w:sz w:val="20"/>
                <w:szCs w:val="20"/>
              </w:rPr>
              <w:t>vote-placement and vote-counting process.</w:t>
            </w:r>
          </w:p>
          <w:p w14:paraId="48212903" w14:textId="32F6372B" w:rsidR="001A554F" w:rsidRPr="001A554F" w:rsidRDefault="001A554F" w:rsidP="001A55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>The Court understands that partisan gerrymandering challenges have been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>sweeping the nation and that Plaintiffs want this Court to look at and rely upon decisions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>made by other states’ high courts, but this Court is only concerned with the Kentucky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1A554F">
              <w:rPr>
                <w:rFonts w:ascii="Arial" w:hAnsi="Arial" w:cs="Arial"/>
                <w:sz w:val="20"/>
                <w:szCs w:val="20"/>
                <w:u w:val="single"/>
              </w:rPr>
              <w:t>Constitution and what is permitted under it.</w:t>
            </w:r>
          </w:p>
          <w:p w14:paraId="646EC1BA" w14:textId="6DDD9629" w:rsidR="00387C48" w:rsidRDefault="00DE4D6E" w:rsidP="00DE4D6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E4D6E">
              <w:rPr>
                <w:rFonts w:ascii="Arial" w:hAnsi="Arial" w:cs="Arial"/>
                <w:sz w:val="20"/>
                <w:szCs w:val="20"/>
              </w:rPr>
              <w:t>Accordingly, the Court declines to address the validity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applicability of other states’ partisan gerrymandering decisions in this action because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Court finds that the 1890-91 constitutional debates, coupled with Section 6 precedent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authored by Kentucky’s high courts, satisfactorily lead the Court to conclude that Section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6 of the Kentucky Constitution does not prohibit partisan gerrymandering because it does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not apply to apportionment, but rather to interferences with the vote-placement and vote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DE4D6E">
              <w:rPr>
                <w:rFonts w:ascii="Arial" w:hAnsi="Arial" w:cs="Arial"/>
                <w:sz w:val="20"/>
                <w:szCs w:val="20"/>
              </w:rPr>
              <w:t>counting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4D6E">
              <w:rPr>
                <w:rFonts w:ascii="Arial" w:hAnsi="Arial" w:cs="Arial"/>
                <w:sz w:val="20"/>
                <w:szCs w:val="20"/>
              </w:rPr>
              <w:t>process.</w:t>
            </w:r>
          </w:p>
          <w:p w14:paraId="68D69921" w14:textId="436CA945" w:rsidR="00DE4D6E" w:rsidRDefault="00C14611" w:rsidP="00C1461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4611">
              <w:rPr>
                <w:rFonts w:ascii="Arial" w:hAnsi="Arial" w:cs="Arial"/>
                <w:sz w:val="20"/>
                <w:szCs w:val="20"/>
              </w:rPr>
              <w:t>Plaintiffs do not present a viable claim under Section 6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4611">
              <w:rPr>
                <w:rFonts w:ascii="Arial" w:hAnsi="Arial" w:cs="Arial"/>
                <w:sz w:val="20"/>
                <w:szCs w:val="20"/>
              </w:rPr>
              <w:t>HB 2 or SB 3 are unconstitutional because Plaintiffs have not alleged that HB 2 or SB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4611">
              <w:rPr>
                <w:rFonts w:ascii="Arial" w:hAnsi="Arial" w:cs="Arial"/>
                <w:sz w:val="20"/>
                <w:szCs w:val="20"/>
              </w:rPr>
              <w:t>interfere with the vote-placement or vote-counting process.</w:t>
            </w:r>
          </w:p>
          <w:p w14:paraId="3AA6984E" w14:textId="47C9AF5B" w:rsidR="00456B36" w:rsidRPr="00770401" w:rsidRDefault="003E031F" w:rsidP="00456B3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401">
              <w:rPr>
                <w:rFonts w:ascii="Arial" w:hAnsi="Arial" w:cs="Arial"/>
                <w:b/>
                <w:bCs/>
                <w:sz w:val="20"/>
                <w:szCs w:val="20"/>
              </w:rPr>
              <w:t>Equal Protection Claims, Sections 1, 2, and 3.</w:t>
            </w:r>
          </w:p>
          <w:p w14:paraId="6FE6AF4A" w14:textId="77777777" w:rsidR="00EC055C" w:rsidRDefault="00EC055C" w:rsidP="00EC055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C055C">
              <w:rPr>
                <w:rFonts w:ascii="Arial" w:hAnsi="Arial" w:cs="Arial"/>
                <w:sz w:val="20"/>
                <w:szCs w:val="20"/>
              </w:rPr>
              <w:t>he Court concludes Plaintiffs have failed to raise a viable equal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055C">
              <w:rPr>
                <w:rFonts w:ascii="Arial" w:hAnsi="Arial" w:cs="Arial"/>
                <w:sz w:val="20"/>
                <w:szCs w:val="20"/>
              </w:rPr>
              <w:t xml:space="preserve">claim. </w:t>
            </w:r>
          </w:p>
          <w:p w14:paraId="3BCE5A48" w14:textId="5C43B2C7" w:rsidR="0023051A" w:rsidRDefault="00EC055C" w:rsidP="000A6FAE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C055C">
              <w:rPr>
                <w:rFonts w:ascii="Arial" w:hAnsi="Arial" w:cs="Arial"/>
                <w:sz w:val="20"/>
                <w:szCs w:val="20"/>
              </w:rPr>
              <w:t>Kentucky law supports that an equal protection claim can be raised for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055C">
              <w:rPr>
                <w:rFonts w:ascii="Arial" w:hAnsi="Arial" w:cs="Arial"/>
                <w:sz w:val="20"/>
                <w:szCs w:val="20"/>
              </w:rPr>
              <w:t>or race inequality and Plaintiffs have not alleged such an equal protection violation for HB</w:t>
            </w:r>
            <w:r w:rsidR="000A6F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6FAE">
              <w:rPr>
                <w:rFonts w:ascii="Arial" w:hAnsi="Arial" w:cs="Arial"/>
                <w:sz w:val="20"/>
                <w:szCs w:val="20"/>
              </w:rPr>
              <w:t xml:space="preserve">2 or SB 3. </w:t>
            </w:r>
          </w:p>
          <w:p w14:paraId="24F53109" w14:textId="7C0AD857" w:rsidR="00D5040C" w:rsidRPr="00B711AA" w:rsidRDefault="00D5040C" w:rsidP="00B711AA">
            <w:pPr>
              <w:pStyle w:val="ListParagraph"/>
              <w:numPr>
                <w:ilvl w:val="4"/>
                <w:numId w:val="1"/>
              </w:num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“[V]</w:t>
            </w:r>
            <w:proofErr w:type="spellStart"/>
            <w:r w:rsidRPr="00D5040C">
              <w:rPr>
                <w:color w:val="000000"/>
                <w:szCs w:val="20"/>
              </w:rPr>
              <w:t>ote</w:t>
            </w:r>
            <w:proofErr w:type="spellEnd"/>
            <w:r w:rsidRPr="00D5040C">
              <w:rPr>
                <w:color w:val="000000"/>
                <w:szCs w:val="20"/>
              </w:rPr>
              <w:t xml:space="preserve"> dilution” to trigger an equal protection claim occurs only when the one-person, one-vote rule is not respected or when racial gerrymandering occurs.</w:t>
            </w:r>
          </w:p>
          <w:p w14:paraId="2E61ED60" w14:textId="77777777" w:rsidR="00C70F14" w:rsidRDefault="00EC055C" w:rsidP="00770401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A6FAE">
              <w:rPr>
                <w:rFonts w:ascii="Arial" w:hAnsi="Arial" w:cs="Arial"/>
                <w:sz w:val="20"/>
                <w:szCs w:val="20"/>
              </w:rPr>
              <w:t>Instead, Plaintiffs have only raised an unrecognized equal protection violation</w:t>
            </w:r>
            <w:r w:rsidR="009F5F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5FC2">
              <w:rPr>
                <w:rFonts w:ascii="Arial" w:hAnsi="Arial" w:cs="Arial"/>
                <w:sz w:val="20"/>
                <w:szCs w:val="20"/>
              </w:rPr>
              <w:t xml:space="preserve">of partisan gerrymandering, and, as the Court has opined, </w:t>
            </w:r>
            <w:r w:rsidRPr="00CF524F">
              <w:rPr>
                <w:rFonts w:ascii="Arial" w:hAnsi="Arial" w:cs="Arial"/>
                <w:sz w:val="20"/>
                <w:szCs w:val="20"/>
                <w:u w:val="single"/>
              </w:rPr>
              <w:t>Kentucky law has never</w:t>
            </w:r>
            <w:r w:rsidR="009F5FC2" w:rsidRPr="00CF52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CF524F">
              <w:rPr>
                <w:rFonts w:ascii="Arial" w:hAnsi="Arial" w:cs="Arial"/>
                <w:sz w:val="20"/>
                <w:szCs w:val="20"/>
                <w:u w:val="single"/>
              </w:rPr>
              <w:t>recognized such a claim and there is no judicially manageable standard to measure a</w:t>
            </w:r>
            <w:r w:rsidR="00C70F14" w:rsidRPr="00CF52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CF524F">
              <w:rPr>
                <w:rFonts w:ascii="Arial" w:hAnsi="Arial" w:cs="Arial"/>
                <w:sz w:val="20"/>
                <w:szCs w:val="20"/>
                <w:u w:val="single"/>
              </w:rPr>
              <w:t>partisan gerrymandering claim</w:t>
            </w:r>
            <w:r w:rsidRPr="00C70F1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BA326B9" w14:textId="401B71F5" w:rsidR="00275397" w:rsidRDefault="00D92B7D" w:rsidP="00B41DBB">
            <w:pPr>
              <w:pStyle w:val="Default"/>
              <w:numPr>
                <w:ilvl w:val="5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92B7D">
              <w:rPr>
                <w:rFonts w:ascii="Arial" w:hAnsi="Arial" w:cs="Arial"/>
                <w:sz w:val="20"/>
                <w:szCs w:val="20"/>
              </w:rPr>
              <w:t>he Kentucky Constitution is silent as to th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D92B7D">
              <w:rPr>
                <w:rFonts w:ascii="Arial" w:hAnsi="Arial" w:cs="Arial"/>
                <w:sz w:val="20"/>
                <w:szCs w:val="20"/>
              </w:rPr>
              <w:t>consideration of partisan interests in apportionment, which leads the Court to conclude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B7D">
              <w:rPr>
                <w:rFonts w:ascii="Arial" w:hAnsi="Arial" w:cs="Arial"/>
                <w:sz w:val="20"/>
                <w:szCs w:val="20"/>
              </w:rPr>
              <w:t>such consideration is not prohibited, otherwise, apportionment would not have been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B7D">
              <w:rPr>
                <w:rFonts w:ascii="Arial" w:hAnsi="Arial" w:cs="Arial"/>
                <w:sz w:val="20"/>
                <w:szCs w:val="20"/>
              </w:rPr>
              <w:t>assigned to the General Assembly—a political body—but rather to a politically neutral</w:t>
            </w:r>
            <w:r>
              <w:rPr>
                <w:rFonts w:ascii="Arial" w:hAnsi="Arial" w:cs="Arial"/>
                <w:sz w:val="20"/>
                <w:szCs w:val="20"/>
              </w:rPr>
              <w:t xml:space="preserve"> committee.</w:t>
            </w:r>
          </w:p>
          <w:p w14:paraId="77EF9DFD" w14:textId="22399505" w:rsidR="002360C6" w:rsidRPr="0063044B" w:rsidRDefault="002360C6" w:rsidP="0063044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Plaintiffs </w:t>
            </w:r>
            <w:r w:rsidRPr="002360C6">
              <w:rPr>
                <w:rFonts w:ascii="Arial" w:hAnsi="Arial" w:cs="Arial"/>
                <w:sz w:val="20"/>
                <w:szCs w:val="20"/>
              </w:rPr>
              <w:t>do not challenge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0C6">
              <w:rPr>
                <w:rFonts w:ascii="Arial" w:hAnsi="Arial" w:cs="Arial"/>
                <w:sz w:val="20"/>
                <w:szCs w:val="20"/>
              </w:rPr>
              <w:t>the population variation of these districts is unconstitutional,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360C6">
              <w:rPr>
                <w:rFonts w:ascii="Arial" w:hAnsi="Arial" w:cs="Arial"/>
                <w:sz w:val="20"/>
                <w:szCs w:val="20"/>
              </w:rPr>
              <w:t xml:space="preserve"> Plaintiffs have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0C6">
              <w:rPr>
                <w:rFonts w:ascii="Arial" w:hAnsi="Arial" w:cs="Arial"/>
                <w:sz w:val="20"/>
                <w:szCs w:val="20"/>
              </w:rPr>
              <w:t>alleged that SB 3 is a racial gerrymander</w:t>
            </w:r>
            <w:r w:rsidR="0063044B">
              <w:rPr>
                <w:rFonts w:ascii="Arial" w:hAnsi="Arial" w:cs="Arial"/>
                <w:sz w:val="20"/>
                <w:szCs w:val="20"/>
              </w:rPr>
              <w:t>; t</w:t>
            </w:r>
            <w:r w:rsidR="0063044B" w:rsidRPr="0063044B">
              <w:rPr>
                <w:rFonts w:ascii="Arial" w:hAnsi="Arial" w:cs="Arial"/>
                <w:sz w:val="20"/>
                <w:szCs w:val="20"/>
              </w:rPr>
              <w:t>herefore, HB 2 and SB 3 do not violate the Kentucky</w:t>
            </w:r>
            <w:r w:rsidR="006304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044B" w:rsidRPr="0063044B">
              <w:rPr>
                <w:rFonts w:ascii="Arial" w:hAnsi="Arial" w:cs="Arial"/>
                <w:sz w:val="20"/>
                <w:szCs w:val="20"/>
              </w:rPr>
              <w:t>Constitution’s guarantee of equal protection.</w:t>
            </w:r>
          </w:p>
          <w:p w14:paraId="1018FB33" w14:textId="5A958C35" w:rsidR="00B41DBB" w:rsidRPr="00F65C6B" w:rsidRDefault="002360C6" w:rsidP="00B41DB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C6B">
              <w:rPr>
                <w:rFonts w:ascii="Arial" w:hAnsi="Arial" w:cs="Arial"/>
                <w:b/>
                <w:bCs/>
                <w:sz w:val="20"/>
                <w:szCs w:val="20"/>
              </w:rPr>
              <w:t>Section I</w:t>
            </w:r>
            <w:r w:rsidR="00F65C6B" w:rsidRPr="00F65C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Claim, </w:t>
            </w:r>
            <w:r w:rsidR="00836701">
              <w:rPr>
                <w:rFonts w:ascii="Arial" w:hAnsi="Arial" w:cs="Arial"/>
                <w:b/>
                <w:bCs/>
                <w:sz w:val="20"/>
                <w:szCs w:val="20"/>
              </w:rPr>
              <w:t>Free Speech/</w:t>
            </w:r>
            <w:r w:rsidR="00F65C6B" w:rsidRPr="00F65C6B">
              <w:rPr>
                <w:rFonts w:ascii="Arial" w:hAnsi="Arial" w:cs="Arial"/>
                <w:b/>
                <w:bCs/>
                <w:sz w:val="20"/>
                <w:szCs w:val="20"/>
              </w:rPr>
              <w:t>Disfavored Status Based on Political Affiliation.</w:t>
            </w:r>
          </w:p>
          <w:p w14:paraId="0A39E876" w14:textId="77777777" w:rsidR="00AC0B4C" w:rsidRDefault="00C84E87" w:rsidP="00C84E8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4E87">
              <w:rPr>
                <w:rFonts w:ascii="Arial" w:hAnsi="Arial" w:cs="Arial"/>
                <w:sz w:val="20"/>
                <w:szCs w:val="20"/>
              </w:rPr>
              <w:t>The Court appreciates the opinion issued by the North Carolina Supreme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[of which Plaintiffs heavily rely]</w:t>
            </w:r>
            <w:r w:rsidRPr="00C84E87">
              <w:rPr>
                <w:rFonts w:ascii="Arial" w:hAnsi="Arial" w:cs="Arial"/>
                <w:sz w:val="20"/>
                <w:szCs w:val="20"/>
              </w:rPr>
              <w:t>, but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4E87">
              <w:rPr>
                <w:rFonts w:ascii="Arial" w:hAnsi="Arial" w:cs="Arial"/>
                <w:sz w:val="20"/>
                <w:szCs w:val="20"/>
              </w:rPr>
              <w:t xml:space="preserve">opinion was based on the North Carolina Constitution. </w:t>
            </w:r>
          </w:p>
          <w:p w14:paraId="1EA9DF3E" w14:textId="54255D2A" w:rsidR="00F65C6B" w:rsidRDefault="00C84E87" w:rsidP="00AC0B4C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4E87">
              <w:rPr>
                <w:rFonts w:ascii="Arial" w:hAnsi="Arial" w:cs="Arial"/>
                <w:sz w:val="20"/>
                <w:szCs w:val="20"/>
              </w:rPr>
              <w:t>Again, the Court must base its</w:t>
            </w:r>
            <w:r w:rsidR="00AC0B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B4C">
              <w:rPr>
                <w:rFonts w:ascii="Arial" w:hAnsi="Arial" w:cs="Arial"/>
                <w:sz w:val="20"/>
                <w:szCs w:val="20"/>
              </w:rPr>
              <w:t>findings on the Kentucky Constitution and Kentucky has long recognized that Section 33</w:t>
            </w:r>
            <w:r w:rsidR="00AC0B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B4C">
              <w:rPr>
                <w:rFonts w:ascii="Arial" w:hAnsi="Arial" w:cs="Arial"/>
                <w:sz w:val="20"/>
                <w:szCs w:val="20"/>
              </w:rPr>
              <w:t>of the Kentucky Constitution controls apportionment of state legislative districts.</w:t>
            </w:r>
          </w:p>
          <w:p w14:paraId="4A0C02C8" w14:textId="77777777" w:rsidR="009B5EB9" w:rsidRDefault="009B5EB9" w:rsidP="009B5EB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5EB9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EB9">
              <w:rPr>
                <w:rFonts w:ascii="Arial" w:hAnsi="Arial" w:cs="Arial"/>
                <w:sz w:val="20"/>
                <w:szCs w:val="20"/>
              </w:rPr>
              <w:t>Kentucky Constitution assigned the duty of apportionment to the General Assembly—a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EB9">
              <w:rPr>
                <w:rFonts w:ascii="Arial" w:hAnsi="Arial" w:cs="Arial"/>
                <w:sz w:val="20"/>
                <w:szCs w:val="20"/>
              </w:rPr>
              <w:t xml:space="preserve">partisan body. </w:t>
            </w:r>
          </w:p>
          <w:p w14:paraId="3873F943" w14:textId="4CFE883F" w:rsidR="00AC0B4C" w:rsidRDefault="009B5EB9" w:rsidP="009B5EB9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5EB9">
              <w:rPr>
                <w:rFonts w:ascii="Arial" w:hAnsi="Arial" w:cs="Arial"/>
                <w:sz w:val="20"/>
                <w:szCs w:val="20"/>
              </w:rPr>
              <w:t>Section 33 does not contain a requirement of political neutrality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5EB9">
              <w:rPr>
                <w:rFonts w:ascii="Arial" w:hAnsi="Arial" w:cs="Arial"/>
                <w:sz w:val="20"/>
                <w:szCs w:val="20"/>
              </w:rPr>
              <w:t>redistricting, nor does any other section of the Kentucky Constitution.</w:t>
            </w:r>
          </w:p>
          <w:p w14:paraId="5BBDC635" w14:textId="6F004FEF" w:rsidR="00377D8D" w:rsidRDefault="00377D8D" w:rsidP="00377D8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377D8D">
              <w:rPr>
                <w:rFonts w:ascii="Arial" w:hAnsi="Arial" w:cs="Arial"/>
                <w:sz w:val="20"/>
                <w:szCs w:val="20"/>
              </w:rPr>
              <w:t>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7D8D">
              <w:rPr>
                <w:rFonts w:ascii="Arial" w:hAnsi="Arial" w:cs="Arial"/>
                <w:sz w:val="20"/>
                <w:szCs w:val="20"/>
              </w:rPr>
              <w:t>Kentucky Supreme Court has recognized that “[a]</w:t>
            </w:r>
            <w:proofErr w:type="spellStart"/>
            <w:r w:rsidRPr="00377D8D">
              <w:rPr>
                <w:rFonts w:ascii="Arial" w:hAnsi="Arial" w:cs="Arial"/>
                <w:sz w:val="20"/>
                <w:szCs w:val="20"/>
              </w:rPr>
              <w:t>pportionment</w:t>
            </w:r>
            <w:proofErr w:type="spellEnd"/>
            <w:r w:rsidRPr="00377D8D">
              <w:rPr>
                <w:rFonts w:ascii="Arial" w:hAnsi="Arial" w:cs="Arial"/>
                <w:sz w:val="20"/>
                <w:szCs w:val="20"/>
              </w:rPr>
              <w:t xml:space="preserve"> is primarily a political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7D8D">
              <w:rPr>
                <w:rFonts w:ascii="Arial" w:hAnsi="Arial" w:cs="Arial"/>
                <w:sz w:val="20"/>
                <w:szCs w:val="20"/>
              </w:rPr>
              <w:t>legislative process,” which seemingly defeats any claim that partisan considerations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7D8D">
              <w:rPr>
                <w:rFonts w:ascii="Arial" w:hAnsi="Arial" w:cs="Arial"/>
                <w:sz w:val="20"/>
                <w:szCs w:val="20"/>
              </w:rPr>
              <w:t>redistricting are prohibited.</w:t>
            </w:r>
          </w:p>
          <w:p w14:paraId="7A076860" w14:textId="32E138B2" w:rsidR="00E93553" w:rsidRDefault="00E93553" w:rsidP="009B188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93553">
              <w:rPr>
                <w:rFonts w:ascii="Arial" w:hAnsi="Arial" w:cs="Arial"/>
                <w:sz w:val="20"/>
                <w:szCs w:val="20"/>
              </w:rPr>
              <w:t>Accordingly,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3553">
              <w:rPr>
                <w:rFonts w:ascii="Arial" w:hAnsi="Arial" w:cs="Arial"/>
                <w:sz w:val="20"/>
                <w:szCs w:val="20"/>
              </w:rPr>
              <w:t>Court must reject Plaintiffs’ Section 1 claim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48CD46" w14:textId="3B0B3E7D" w:rsidR="008B64C9" w:rsidRPr="001063F9" w:rsidRDefault="008B64C9" w:rsidP="008B64C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63F9">
              <w:rPr>
                <w:rFonts w:ascii="Arial" w:hAnsi="Arial" w:cs="Arial"/>
                <w:b/>
                <w:bCs/>
                <w:sz w:val="20"/>
                <w:szCs w:val="20"/>
              </w:rPr>
              <w:t>Section II Claim, Unconstitutional Arbitrary Exercise of Power.</w:t>
            </w:r>
          </w:p>
          <w:p w14:paraId="39690CDD" w14:textId="5B7EA28C" w:rsidR="008B64C9" w:rsidRDefault="008D0866" w:rsidP="008D086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D0866">
              <w:rPr>
                <w:rFonts w:ascii="Arial" w:hAnsi="Arial" w:cs="Arial"/>
                <w:sz w:val="20"/>
                <w:szCs w:val="20"/>
              </w:rPr>
              <w:t>As the Court has noted throughout its analysis of HB 2 and SB 3, there is no doubt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866">
              <w:rPr>
                <w:rFonts w:ascii="Arial" w:hAnsi="Arial" w:cs="Arial"/>
                <w:sz w:val="20"/>
                <w:szCs w:val="20"/>
              </w:rPr>
              <w:t xml:space="preserve">that HB 2 and SB 3 are partisan gerrymanders, </w:t>
            </w:r>
            <w:r w:rsidRPr="008D0866">
              <w:rPr>
                <w:rFonts w:ascii="Arial" w:hAnsi="Arial" w:cs="Arial"/>
                <w:i/>
                <w:iCs/>
                <w:sz w:val="20"/>
                <w:szCs w:val="20"/>
              </w:rPr>
              <w:t>but</w:t>
            </w:r>
            <w:r w:rsidRPr="008D0866">
              <w:rPr>
                <w:rFonts w:ascii="Arial" w:hAnsi="Arial" w:cs="Arial"/>
                <w:sz w:val="20"/>
                <w:szCs w:val="20"/>
              </w:rPr>
              <w:t xml:space="preserve"> the Court must recognize that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866">
              <w:rPr>
                <w:rFonts w:ascii="Arial" w:hAnsi="Arial" w:cs="Arial"/>
                <w:sz w:val="20"/>
                <w:szCs w:val="20"/>
              </w:rPr>
              <w:t>Kentucky Constitution instills the power of apportionment in the hands of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866">
              <w:rPr>
                <w:rFonts w:ascii="Arial" w:hAnsi="Arial" w:cs="Arial"/>
                <w:sz w:val="20"/>
                <w:szCs w:val="20"/>
              </w:rPr>
              <w:t>Assembly—a political body.</w:t>
            </w:r>
          </w:p>
          <w:p w14:paraId="242EC268" w14:textId="2DFB73CA" w:rsidR="008D0866" w:rsidRDefault="00767209" w:rsidP="00767209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767209">
              <w:rPr>
                <w:rFonts w:ascii="Arial" w:hAnsi="Arial" w:cs="Arial"/>
                <w:sz w:val="20"/>
                <w:szCs w:val="20"/>
              </w:rPr>
              <w:t>he Kentucky Constitution does not explicitly forbid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7209">
              <w:rPr>
                <w:rFonts w:ascii="Arial" w:hAnsi="Arial" w:cs="Arial"/>
                <w:sz w:val="20"/>
                <w:szCs w:val="20"/>
              </w:rPr>
              <w:t>consideration of partisan interests in apportioning representation.</w:t>
            </w:r>
          </w:p>
          <w:p w14:paraId="2295E92F" w14:textId="4E53D91B" w:rsidR="000316A7" w:rsidRDefault="000316A7" w:rsidP="000316A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316A7">
              <w:rPr>
                <w:rFonts w:ascii="Arial" w:hAnsi="Arial" w:cs="Arial"/>
                <w:sz w:val="20"/>
                <w:szCs w:val="20"/>
              </w:rPr>
              <w:lastRenderedPageBreak/>
              <w:t>Because HB 2 complies with Section 33 of the Kentucky Constitution, which provides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16A7">
              <w:rPr>
                <w:rFonts w:ascii="Arial" w:hAnsi="Arial" w:cs="Arial"/>
                <w:sz w:val="20"/>
                <w:szCs w:val="20"/>
              </w:rPr>
              <w:t>explicit direction for apportioning state legislative districts, the Court holds that HB 2 does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16A7">
              <w:rPr>
                <w:rFonts w:ascii="Arial" w:hAnsi="Arial" w:cs="Arial"/>
                <w:sz w:val="20"/>
                <w:szCs w:val="20"/>
              </w:rPr>
              <w:t>not violate Section 2 of the Kentucky Constitution because it is not arbitrary.</w:t>
            </w:r>
          </w:p>
          <w:p w14:paraId="01BCC2D2" w14:textId="31D68649" w:rsidR="00EE35CA" w:rsidRDefault="00EE35CA" w:rsidP="00EE35CA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35CA">
              <w:rPr>
                <w:rFonts w:ascii="Arial" w:hAnsi="Arial" w:cs="Arial"/>
                <w:sz w:val="20"/>
                <w:szCs w:val="20"/>
              </w:rPr>
              <w:t>Similarly,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35CA">
              <w:rPr>
                <w:rFonts w:ascii="Arial" w:hAnsi="Arial" w:cs="Arial"/>
                <w:sz w:val="20"/>
                <w:szCs w:val="20"/>
              </w:rPr>
              <w:t>because SB 3 meets the requirements of population and racial equality, the Court holds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35CA">
              <w:rPr>
                <w:rFonts w:ascii="Arial" w:hAnsi="Arial" w:cs="Arial"/>
                <w:sz w:val="20"/>
                <w:szCs w:val="20"/>
              </w:rPr>
              <w:t>SB 3 does not violate Section 2 of the Kentucky Constitution.</w:t>
            </w:r>
          </w:p>
          <w:p w14:paraId="0DEA6CAC" w14:textId="5E7D511B" w:rsidR="00EE35CA" w:rsidRDefault="00465B18" w:rsidP="00465B1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65B18">
              <w:rPr>
                <w:rFonts w:ascii="Arial" w:hAnsi="Arial" w:cs="Arial"/>
                <w:sz w:val="20"/>
                <w:szCs w:val="20"/>
              </w:rPr>
              <w:t>Court holds that Section 2 of the Kentucky Constitution is not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5B18">
              <w:rPr>
                <w:rFonts w:ascii="Arial" w:hAnsi="Arial" w:cs="Arial"/>
                <w:sz w:val="20"/>
                <w:szCs w:val="20"/>
              </w:rPr>
              <w:t>mechanism to render unconstitutional legitimate exercises of the General Assembly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5B18">
              <w:rPr>
                <w:rFonts w:ascii="Arial" w:hAnsi="Arial" w:cs="Arial"/>
                <w:sz w:val="20"/>
                <w:szCs w:val="20"/>
              </w:rPr>
              <w:t>are perceived as unfair.</w:t>
            </w:r>
          </w:p>
          <w:p w14:paraId="089D5DBE" w14:textId="3DFB7D8E" w:rsidR="00465B18" w:rsidRDefault="00D21DDE" w:rsidP="00D21DDE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1DDE">
              <w:rPr>
                <w:rFonts w:ascii="Arial" w:hAnsi="Arial" w:cs="Arial"/>
                <w:sz w:val="20"/>
                <w:szCs w:val="20"/>
              </w:rPr>
              <w:t>The Court respects the Kentucky Constitution’s strong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DDE">
              <w:rPr>
                <w:rFonts w:ascii="Arial" w:hAnsi="Arial" w:cs="Arial"/>
                <w:sz w:val="20"/>
                <w:szCs w:val="20"/>
              </w:rPr>
              <w:t xml:space="preserve">separation of powers and given the lack of obvious unconstitutionality to HB 2 and SB </w:t>
            </w:r>
            <w:proofErr w:type="gramStart"/>
            <w:r w:rsidRPr="00D21DDE">
              <w:rPr>
                <w:rFonts w:ascii="Arial" w:hAnsi="Arial" w:cs="Arial"/>
                <w:sz w:val="20"/>
                <w:szCs w:val="20"/>
              </w:rPr>
              <w:t>3,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DDE">
              <w:rPr>
                <w:rFonts w:ascii="Arial" w:hAnsi="Arial" w:cs="Arial"/>
                <w:sz w:val="20"/>
                <w:szCs w:val="20"/>
              </w:rPr>
              <w:t>the Court will not overstep the explicit role given to the judiciary in assessing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1DDE">
              <w:rPr>
                <w:rFonts w:ascii="Arial" w:hAnsi="Arial" w:cs="Arial"/>
                <w:sz w:val="20"/>
                <w:szCs w:val="20"/>
              </w:rPr>
              <w:t>constitutionality of an apportionment scheme by delving into legislative motive.</w:t>
            </w:r>
          </w:p>
          <w:p w14:paraId="740C948A" w14:textId="5B588CD7" w:rsidR="00B92E87" w:rsidRPr="006727AF" w:rsidRDefault="00B33A5E" w:rsidP="00B33A5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27AF">
              <w:rPr>
                <w:rFonts w:ascii="Arial" w:hAnsi="Arial" w:cs="Arial"/>
                <w:b/>
                <w:bCs/>
                <w:sz w:val="20"/>
                <w:szCs w:val="20"/>
              </w:rPr>
              <w:t>Commonwealth’s crossclaim and</w:t>
            </w:r>
            <w:r w:rsidRPr="006727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727AF">
              <w:rPr>
                <w:rFonts w:ascii="Arial" w:hAnsi="Arial" w:cs="Arial"/>
                <w:b/>
                <w:bCs/>
                <w:sz w:val="20"/>
                <w:szCs w:val="20"/>
              </w:rPr>
              <w:t>counterclaim is</w:t>
            </w:r>
            <w:r w:rsidR="003D4A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rendered</w:t>
            </w:r>
            <w:r w:rsidRPr="006727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moot</w:t>
            </w:r>
            <w:r w:rsidRPr="006727A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E51EA90" w14:textId="3D1B010B" w:rsidR="00B33A5E" w:rsidRPr="00F30665" w:rsidRDefault="00B33A5E" w:rsidP="00F3066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3A5E">
              <w:rPr>
                <w:rFonts w:ascii="Arial" w:hAnsi="Arial" w:cs="Arial"/>
                <w:sz w:val="20"/>
                <w:szCs w:val="20"/>
              </w:rPr>
              <w:t>Court holds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3A5E">
              <w:rPr>
                <w:rFonts w:ascii="Arial" w:hAnsi="Arial" w:cs="Arial"/>
                <w:sz w:val="20"/>
                <w:szCs w:val="20"/>
              </w:rPr>
              <w:t>that the Commonwealth is not entitled to judgment on its crossclaim and counterclaim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3A5E">
              <w:rPr>
                <w:rFonts w:ascii="Arial" w:hAnsi="Arial" w:cs="Arial"/>
                <w:sz w:val="20"/>
                <w:szCs w:val="20"/>
              </w:rPr>
              <w:t>because, given the holding in this Opinion and Order</w:t>
            </w:r>
            <w:r w:rsidR="00F30665">
              <w:rPr>
                <w:rFonts w:ascii="Arial" w:hAnsi="Arial" w:cs="Arial"/>
                <w:sz w:val="20"/>
                <w:szCs w:val="20"/>
              </w:rPr>
              <w:t xml:space="preserve"> [affirming</w:t>
            </w:r>
            <w:r w:rsidR="00F30665" w:rsidRPr="00F30665">
              <w:rPr>
                <w:rFonts w:ascii="Arial" w:hAnsi="Arial" w:cs="Arial"/>
                <w:sz w:val="20"/>
                <w:szCs w:val="20"/>
              </w:rPr>
              <w:t xml:space="preserve"> the constitutionality of HB 2 and</w:t>
            </w:r>
            <w:r w:rsidR="00F306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0665" w:rsidRPr="00F30665">
              <w:rPr>
                <w:rFonts w:ascii="Arial" w:hAnsi="Arial" w:cs="Arial"/>
                <w:sz w:val="20"/>
                <w:szCs w:val="20"/>
              </w:rPr>
              <w:t>SB 3</w:t>
            </w:r>
            <w:r w:rsidR="00F30665" w:rsidRPr="00F30665">
              <w:rPr>
                <w:rFonts w:ascii="Arial" w:hAnsi="Arial" w:cs="Arial"/>
                <w:sz w:val="20"/>
                <w:szCs w:val="20"/>
              </w:rPr>
              <w:t>]</w:t>
            </w:r>
            <w:r w:rsidRPr="00F30665">
              <w:rPr>
                <w:rFonts w:ascii="Arial" w:hAnsi="Arial" w:cs="Arial"/>
                <w:sz w:val="20"/>
                <w:szCs w:val="20"/>
              </w:rPr>
              <w:t>, the Commonwealth’s crossclaim and</w:t>
            </w:r>
            <w:r w:rsidRPr="00F306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0665">
              <w:rPr>
                <w:rFonts w:ascii="Arial" w:hAnsi="Arial" w:cs="Arial"/>
                <w:sz w:val="20"/>
                <w:szCs w:val="20"/>
              </w:rPr>
              <w:t>counterclaim is moot as it pertains to the relief sought, is not otherwise</w:t>
            </w:r>
            <w:r w:rsidRPr="00F306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0665">
              <w:rPr>
                <w:rFonts w:ascii="Arial" w:hAnsi="Arial" w:cs="Arial"/>
                <w:sz w:val="20"/>
                <w:szCs w:val="20"/>
              </w:rPr>
              <w:t>independently ripe for review, and this Court does not issue advisory opinions.</w:t>
            </w:r>
          </w:p>
          <w:p w14:paraId="5782D514" w14:textId="0A523DC9" w:rsidR="002360C6" w:rsidRPr="00D92B7D" w:rsidRDefault="002360C6" w:rsidP="002360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0011E4">
        <w:trPr>
          <w:trHeight w:val="1242"/>
        </w:trPr>
        <w:tc>
          <w:tcPr>
            <w:tcW w:w="1998" w:type="dxa"/>
            <w:tcBorders>
              <w:left w:val="nil"/>
              <w:bottom w:val="nil"/>
            </w:tcBorders>
          </w:tcPr>
          <w:p w14:paraId="063E9EB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513E26D" w14:textId="77777777" w:rsidR="00ED671F" w:rsidRDefault="002F6D2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Commonwealth</w:t>
            </w:r>
          </w:p>
          <w:p w14:paraId="61C3CCD0" w14:textId="77777777" w:rsidR="002F6D26" w:rsidRDefault="002F6D26" w:rsidP="002F6D2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6D26">
              <w:rPr>
                <w:rFonts w:ascii="Arial" w:hAnsi="Arial" w:cs="Arial"/>
                <w:sz w:val="20"/>
                <w:szCs w:val="20"/>
              </w:rPr>
              <w:t>sserts that because Section 33 of the Kentucky Constitution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D26">
              <w:rPr>
                <w:rFonts w:ascii="Arial" w:hAnsi="Arial" w:cs="Arial"/>
                <w:sz w:val="20"/>
                <w:szCs w:val="20"/>
              </w:rPr>
              <w:t>sets out specifics for redistricting that the Court cannot consider any other section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D26">
              <w:rPr>
                <w:rFonts w:ascii="Arial" w:hAnsi="Arial" w:cs="Arial"/>
                <w:sz w:val="20"/>
                <w:szCs w:val="20"/>
              </w:rPr>
              <w:t>Kentucky Constitution with respect to HB 2.</w:t>
            </w:r>
          </w:p>
          <w:p w14:paraId="3A5EDDFD" w14:textId="156600FA" w:rsidR="00796C10" w:rsidRPr="00796C10" w:rsidRDefault="00796C10" w:rsidP="00796C1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96C10">
              <w:rPr>
                <w:rFonts w:ascii="Arial" w:hAnsi="Arial" w:cs="Arial"/>
                <w:sz w:val="20"/>
                <w:szCs w:val="20"/>
              </w:rPr>
              <w:t>rgues that Plaintiffs lack standing to challenge HB 2 and SB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6C10"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  <w:p w14:paraId="13013225" w14:textId="236EDED2" w:rsidR="00796C10" w:rsidRDefault="00796C10" w:rsidP="00891B5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96C10">
              <w:rPr>
                <w:rFonts w:ascii="Arial" w:hAnsi="Arial" w:cs="Arial"/>
                <w:sz w:val="20"/>
                <w:szCs w:val="20"/>
              </w:rPr>
              <w:t>Essentially, the Commonwealth takes the position that Plaintiffs have only offered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6C10">
              <w:rPr>
                <w:rFonts w:ascii="Arial" w:hAnsi="Arial" w:cs="Arial"/>
                <w:sz w:val="20"/>
                <w:szCs w:val="20"/>
              </w:rPr>
              <w:t>“generalized grievances” and have failed to offer specific constitutional issues</w:t>
            </w:r>
            <w:r w:rsidR="00891B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B57" w:rsidRPr="00891B57">
              <w:rPr>
                <w:rFonts w:ascii="Arial" w:hAnsi="Arial" w:cs="Arial"/>
                <w:sz w:val="20"/>
                <w:szCs w:val="20"/>
              </w:rPr>
              <w:t>with District</w:t>
            </w:r>
            <w:r w:rsidR="00891B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B57" w:rsidRPr="00891B57">
              <w:rPr>
                <w:rFonts w:ascii="Arial" w:hAnsi="Arial" w:cs="Arial"/>
                <w:sz w:val="20"/>
                <w:szCs w:val="20"/>
              </w:rPr>
              <w:t>57—the Representative district that all Plaintiffs reside in.</w:t>
            </w:r>
          </w:p>
          <w:p w14:paraId="6F66D210" w14:textId="2E9E95AD" w:rsidR="00C91757" w:rsidRPr="00B92E87" w:rsidRDefault="00B92E87" w:rsidP="00B92E8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92E87">
              <w:rPr>
                <w:rFonts w:ascii="Arial" w:hAnsi="Arial" w:cs="Arial"/>
                <w:sz w:val="20"/>
                <w:szCs w:val="20"/>
              </w:rPr>
              <w:t>rgues that applying current Census population data to the 2012/2013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2E87">
              <w:rPr>
                <w:rFonts w:ascii="Arial" w:hAnsi="Arial" w:cs="Arial"/>
                <w:sz w:val="20"/>
                <w:szCs w:val="20"/>
              </w:rPr>
              <w:t>districts plainly shows that the 2012/2013 districts violate provisions of both the Kentucky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2E87">
              <w:rPr>
                <w:rFonts w:ascii="Arial" w:hAnsi="Arial" w:cs="Arial"/>
                <w:sz w:val="20"/>
                <w:szCs w:val="20"/>
              </w:rPr>
              <w:t>Constitution and the United States Constitution.</w:t>
            </w:r>
          </w:p>
          <w:p w14:paraId="39585A1B" w14:textId="77777777" w:rsidR="00E8093F" w:rsidRDefault="00E8093F" w:rsidP="00E8093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</w:t>
            </w:r>
          </w:p>
          <w:p w14:paraId="0AA985B5" w14:textId="77777777" w:rsidR="005D08D9" w:rsidRDefault="005D08D9" w:rsidP="005D08D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D08D9">
              <w:rPr>
                <w:rFonts w:ascii="Arial" w:hAnsi="Arial" w:cs="Arial"/>
                <w:sz w:val="20"/>
                <w:szCs w:val="20"/>
              </w:rPr>
              <w:t>ontend that HB 2 repeatedly violates Section 33 of the Kentucky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08D9">
              <w:rPr>
                <w:rFonts w:ascii="Arial" w:hAnsi="Arial" w:cs="Arial"/>
                <w:sz w:val="20"/>
                <w:szCs w:val="20"/>
              </w:rPr>
              <w:t>Constitution because it disrupts Section 33’s dual mandate of achieving approximate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08D9">
              <w:rPr>
                <w:rFonts w:ascii="Arial" w:hAnsi="Arial" w:cs="Arial"/>
                <w:sz w:val="20"/>
                <w:szCs w:val="20"/>
              </w:rPr>
              <w:t xml:space="preserve">population equality while maintaining county integrity. </w:t>
            </w:r>
          </w:p>
          <w:p w14:paraId="05B91C15" w14:textId="77777777" w:rsidR="00E8093F" w:rsidRDefault="005D08D9" w:rsidP="005D08D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D08D9">
              <w:rPr>
                <w:rFonts w:ascii="Arial" w:hAnsi="Arial" w:cs="Arial"/>
                <w:sz w:val="20"/>
                <w:szCs w:val="20"/>
              </w:rPr>
              <w:t>Plaintiffs believe that Section 33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08D9">
              <w:rPr>
                <w:rFonts w:ascii="Arial" w:hAnsi="Arial" w:cs="Arial"/>
                <w:sz w:val="20"/>
                <w:szCs w:val="20"/>
              </w:rPr>
              <w:t>requires the General Assembly to multi-split counties as few times as possible to maintain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08D9">
              <w:rPr>
                <w:rFonts w:ascii="Arial" w:hAnsi="Arial" w:cs="Arial"/>
                <w:sz w:val="20"/>
                <w:szCs w:val="20"/>
              </w:rPr>
              <w:t>county integrity.</w:t>
            </w:r>
          </w:p>
          <w:p w14:paraId="4410C8A5" w14:textId="4E3C818A" w:rsidR="006E3F04" w:rsidRDefault="00433FF8" w:rsidP="00421AE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33FF8">
              <w:rPr>
                <w:rFonts w:ascii="Arial" w:hAnsi="Arial" w:cs="Arial"/>
                <w:sz w:val="20"/>
                <w:szCs w:val="20"/>
              </w:rPr>
              <w:t>lleged that because HB 2 and SB 3 are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FF8">
              <w:rPr>
                <w:rFonts w:ascii="Arial" w:hAnsi="Arial" w:cs="Arial"/>
                <w:sz w:val="20"/>
                <w:szCs w:val="20"/>
              </w:rPr>
              <w:t>gerrymanders, the apportionment plans violate Sections 1, 2, 3, and 6 of the Kentucky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FF8">
              <w:rPr>
                <w:rFonts w:ascii="Arial" w:hAnsi="Arial" w:cs="Arial"/>
                <w:sz w:val="20"/>
                <w:szCs w:val="20"/>
              </w:rPr>
              <w:t>Constitution.</w:t>
            </w:r>
          </w:p>
          <w:p w14:paraId="024262CE" w14:textId="09D2534F" w:rsidR="009E0ACF" w:rsidRDefault="004D0D3C" w:rsidP="004D0D3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4D0D3C">
              <w:rPr>
                <w:rFonts w:ascii="Arial" w:hAnsi="Arial" w:cs="Arial"/>
                <w:sz w:val="20"/>
                <w:szCs w:val="20"/>
              </w:rPr>
              <w:t>artisan gerrymandering creates the same harm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0D3C">
              <w:rPr>
                <w:rFonts w:ascii="Arial" w:hAnsi="Arial" w:cs="Arial"/>
                <w:sz w:val="20"/>
                <w:szCs w:val="20"/>
              </w:rPr>
              <w:t xml:space="preserve">malapportionment by giving certain electors’ votes more power than others. </w:t>
            </w:r>
          </w:p>
          <w:p w14:paraId="64D2AACE" w14:textId="05905B30" w:rsidR="004D0D3C" w:rsidRDefault="00D933DB" w:rsidP="00D933D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933DB">
              <w:rPr>
                <w:rFonts w:ascii="Arial" w:hAnsi="Arial" w:cs="Arial"/>
                <w:sz w:val="20"/>
                <w:szCs w:val="20"/>
              </w:rPr>
              <w:t>artisan gerrymandering violates the guarantee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33DB">
              <w:rPr>
                <w:rFonts w:ascii="Arial" w:hAnsi="Arial" w:cs="Arial"/>
                <w:sz w:val="20"/>
                <w:szCs w:val="20"/>
              </w:rPr>
              <w:t xml:space="preserve">equal protection because drawing districts based on partisan </w:t>
            </w:r>
            <w:r w:rsidRPr="00D933DB">
              <w:rPr>
                <w:rFonts w:ascii="Arial" w:hAnsi="Arial" w:cs="Arial"/>
                <w:sz w:val="20"/>
                <w:szCs w:val="20"/>
              </w:rPr>
              <w:lastRenderedPageBreak/>
              <w:t>affiliation denies certain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33DB">
              <w:rPr>
                <w:rFonts w:ascii="Arial" w:hAnsi="Arial" w:cs="Arial"/>
                <w:sz w:val="20"/>
                <w:szCs w:val="20"/>
              </w:rPr>
              <w:t>electors equal voting power and dilutes their votes, preventing them from aggregating their</w:t>
            </w:r>
            <w:r w:rsidR="004173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399" w:rsidRPr="00417399">
              <w:rPr>
                <w:rFonts w:ascii="Arial" w:hAnsi="Arial" w:cs="Arial"/>
                <w:sz w:val="20"/>
                <w:szCs w:val="20"/>
              </w:rPr>
              <w:t>votes to elect a desired representative</w:t>
            </w:r>
            <w:r w:rsidR="007133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EF8915" w14:textId="77777777" w:rsidR="00C317E3" w:rsidRDefault="00C317E3" w:rsidP="00C317E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C317E3">
              <w:rPr>
                <w:rFonts w:ascii="Arial" w:hAnsi="Arial" w:cs="Arial"/>
                <w:sz w:val="20"/>
                <w:szCs w:val="20"/>
              </w:rPr>
              <w:t>artisan gerrymandering targets certain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17E3">
              <w:rPr>
                <w:rFonts w:ascii="Arial" w:hAnsi="Arial" w:cs="Arial"/>
                <w:sz w:val="20"/>
                <w:szCs w:val="20"/>
              </w:rPr>
              <w:t>electors and subjects them to disfavored status based on their political affiliation and voting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17E3">
              <w:rPr>
                <w:rFonts w:ascii="Arial" w:hAnsi="Arial" w:cs="Arial"/>
                <w:sz w:val="20"/>
                <w:szCs w:val="20"/>
              </w:rPr>
              <w:t xml:space="preserve">history. </w:t>
            </w:r>
          </w:p>
          <w:p w14:paraId="0E06E229" w14:textId="709CBB40" w:rsidR="00C317E3" w:rsidRDefault="00C317E3" w:rsidP="00C317E3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17E3">
              <w:rPr>
                <w:rFonts w:ascii="Arial" w:hAnsi="Arial" w:cs="Arial"/>
                <w:sz w:val="20"/>
                <w:szCs w:val="20"/>
              </w:rPr>
              <w:t>Plaintiffs thus allege that partisan gerrymandering violates free speech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17E3">
              <w:rPr>
                <w:rFonts w:ascii="Arial" w:hAnsi="Arial" w:cs="Arial"/>
                <w:sz w:val="20"/>
                <w:szCs w:val="20"/>
              </w:rPr>
              <w:t>association protected by Section 1 of the Kentucky Constitution.</w:t>
            </w:r>
          </w:p>
          <w:p w14:paraId="47C889C0" w14:textId="6F127CC1" w:rsidR="009B1886" w:rsidRPr="009B1886" w:rsidRDefault="009B1886" w:rsidP="009B188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B1886">
              <w:rPr>
                <w:rFonts w:ascii="Arial" w:hAnsi="Arial" w:cs="Arial"/>
                <w:sz w:val="20"/>
                <w:szCs w:val="20"/>
              </w:rPr>
              <w:t>artisan gerrymanders that were crafted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1886">
              <w:rPr>
                <w:rFonts w:ascii="Arial" w:hAnsi="Arial" w:cs="Arial"/>
                <w:sz w:val="20"/>
                <w:szCs w:val="20"/>
              </w:rPr>
              <w:t>General Assembly in an arbitrary exercise of power to ensure a Republican supermajority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1886">
              <w:rPr>
                <w:rFonts w:ascii="Arial" w:hAnsi="Arial" w:cs="Arial"/>
                <w:sz w:val="20"/>
                <w:szCs w:val="20"/>
              </w:rPr>
              <w:t>for the next decade and dilute the votes of Democratic electors.</w:t>
            </w:r>
          </w:p>
          <w:p w14:paraId="2B5C0BDB" w14:textId="019EB910" w:rsidR="00F24537" w:rsidRPr="00433FF8" w:rsidRDefault="00F24537" w:rsidP="00F2453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1E6B1386" w:rsidR="00ED671F" w:rsidRPr="008D467C" w:rsidRDefault="00F82FD0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2B88" w14:textId="77777777" w:rsidR="00512BC6" w:rsidRDefault="00512BC6" w:rsidP="00E86B0C">
      <w:pPr>
        <w:spacing w:line="240" w:lineRule="auto"/>
      </w:pPr>
      <w:r>
        <w:separator/>
      </w:r>
    </w:p>
  </w:endnote>
  <w:endnote w:type="continuationSeparator" w:id="0">
    <w:p w14:paraId="2199B7DE" w14:textId="77777777" w:rsidR="00512BC6" w:rsidRDefault="00512BC6" w:rsidP="00E86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0493644"/>
      <w:docPartObj>
        <w:docPartGallery w:val="Page Numbers (Bottom of Page)"/>
        <w:docPartUnique/>
      </w:docPartObj>
    </w:sdtPr>
    <w:sdtContent>
      <w:p w14:paraId="4D7981F4" w14:textId="18B733C4" w:rsidR="006C5B1A" w:rsidRDefault="006C5B1A" w:rsidP="002507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D055D4" w14:textId="77777777" w:rsidR="006C5B1A" w:rsidRDefault="006C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9547526"/>
      <w:docPartObj>
        <w:docPartGallery w:val="Page Numbers (Bottom of Page)"/>
        <w:docPartUnique/>
      </w:docPartObj>
    </w:sdtPr>
    <w:sdtContent>
      <w:p w14:paraId="0363C13D" w14:textId="31EFF66E" w:rsidR="006C5B1A" w:rsidRDefault="006C5B1A" w:rsidP="002507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631D31" w14:textId="77777777" w:rsidR="006C5B1A" w:rsidRDefault="006C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D60D" w14:textId="77777777" w:rsidR="00512BC6" w:rsidRDefault="00512BC6" w:rsidP="00E86B0C">
      <w:pPr>
        <w:spacing w:line="240" w:lineRule="auto"/>
      </w:pPr>
      <w:r>
        <w:separator/>
      </w:r>
    </w:p>
  </w:footnote>
  <w:footnote w:type="continuationSeparator" w:id="0">
    <w:p w14:paraId="7968C709" w14:textId="77777777" w:rsidR="00512BC6" w:rsidRDefault="00512BC6" w:rsidP="00E86B0C">
      <w:pPr>
        <w:spacing w:line="240" w:lineRule="auto"/>
      </w:pPr>
      <w:r>
        <w:continuationSeparator/>
      </w:r>
    </w:p>
  </w:footnote>
  <w:footnote w:id="1">
    <w:p w14:paraId="54C11A83" w14:textId="66CB653F" w:rsidR="003B2F77" w:rsidRDefault="003B2F77">
      <w:pPr>
        <w:pStyle w:val="FootnoteText"/>
      </w:pPr>
      <w:r>
        <w:rPr>
          <w:rStyle w:val="FootnoteReference"/>
        </w:rPr>
        <w:footnoteRef/>
      </w:r>
      <w:r>
        <w:t xml:space="preserve"> Information regarding Judge Wingate’s political affiliation was not available via a desktop search.  </w:t>
      </w:r>
      <w:r w:rsidR="00571F55">
        <w:t>Wingate</w:t>
      </w:r>
      <w:r>
        <w:t xml:space="preserve"> was reelected without opposition in 2014 in a nonpartisan election, winning an eight-year term which expires on 1/1/2023.  </w:t>
      </w:r>
      <w:r w:rsidRPr="003B2F77">
        <w:rPr>
          <w:i/>
          <w:iCs/>
        </w:rPr>
        <w:t>See Thomas D. Wingate</w:t>
      </w:r>
      <w:r>
        <w:t xml:space="preserve">, </w:t>
      </w:r>
      <w:r w:rsidRPr="003B2F77">
        <w:rPr>
          <w:smallCaps/>
        </w:rPr>
        <w:t>Ballotpedia</w:t>
      </w:r>
      <w:r>
        <w:t xml:space="preserve">, </w:t>
      </w:r>
      <w:hyperlink r:id="rId1" w:history="1">
        <w:r w:rsidRPr="00250733">
          <w:rPr>
            <w:rStyle w:val="Hyperlink"/>
          </w:rPr>
          <w:t>https://ballotpedia.org/Thomas_D._Wingate</w:t>
        </w:r>
      </w:hyperlink>
      <w:r>
        <w:t xml:space="preserve"> (last visited Nov. 29, 2022).</w:t>
      </w:r>
    </w:p>
  </w:footnote>
  <w:footnote w:id="2">
    <w:p w14:paraId="7395EC11" w14:textId="6CE54B45" w:rsidR="00E86B0C" w:rsidRDefault="00E86B0C" w:rsidP="006A50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52CA">
        <w:t>Dr. Imai used Monte Carlo simulation algorithms to generate a representative se</w:t>
      </w:r>
      <w:r w:rsidR="005C52CA">
        <w:t xml:space="preserve">t </w:t>
      </w:r>
      <w:r w:rsidR="005C52CA">
        <w:t>of possible redistricting maps under a specified set of criteria.</w:t>
      </w:r>
      <w:r w:rsidR="006A5042">
        <w:t xml:space="preserve">  </w:t>
      </w:r>
      <w:r w:rsidR="006A5042">
        <w:t>Dr. Imai testified that his analysis shows that HB 2</w:t>
      </w:r>
      <w:r w:rsidR="006A5042">
        <w:t xml:space="preserve"> </w:t>
      </w:r>
      <w:r w:rsidR="006A5042">
        <w:t>makes Democratic leaning districts more competitive while Republican leaning districts</w:t>
      </w:r>
      <w:r w:rsidR="006A5042">
        <w:t xml:space="preserve"> </w:t>
      </w:r>
      <w:r w:rsidR="006A5042">
        <w:t>become safer</w:t>
      </w:r>
      <w:r w:rsidR="006A5042">
        <w:t>; h</w:t>
      </w:r>
      <w:r w:rsidR="006A5042">
        <w:t>e testified that this clearly demonstrates that HB 2 is a partisan</w:t>
      </w:r>
      <w:r w:rsidR="006A5042">
        <w:t xml:space="preserve"> </w:t>
      </w:r>
      <w:r w:rsidR="006A5042">
        <w:t>gerrymander.</w:t>
      </w:r>
      <w:r w:rsidR="005C52CA">
        <w:t xml:space="preserve">  </w:t>
      </w:r>
      <w:r w:rsidR="005D60A6" w:rsidRPr="005D60A6">
        <w:t xml:space="preserve">He </w:t>
      </w:r>
      <w:r w:rsidR="005D60A6">
        <w:t xml:space="preserve">also </w:t>
      </w:r>
      <w:r w:rsidR="005D60A6" w:rsidRPr="005D60A6">
        <w:t xml:space="preserve">opined that SB 3’s First District </w:t>
      </w:r>
      <w:r w:rsidR="00747EEA">
        <w:t>was</w:t>
      </w:r>
      <w:r w:rsidR="005D60A6" w:rsidRPr="005D60A6">
        <w:t xml:space="preserve"> less compact than 99% of the simulated plans.</w:t>
      </w:r>
      <w:r w:rsidR="00B41BE3">
        <w:t xml:space="preserve">  </w:t>
      </w:r>
      <w:r w:rsidR="00B41BE3">
        <w:rPr>
          <w:i/>
          <w:iCs/>
        </w:rPr>
        <w:t xml:space="preserve">Id. </w:t>
      </w:r>
      <w:r w:rsidR="00B41BE3">
        <w:t xml:space="preserve">at </w:t>
      </w:r>
      <w:r w:rsidR="006A5042">
        <w:t>5</w:t>
      </w:r>
      <w:r w:rsidR="00CA522B">
        <w:t>–</w:t>
      </w:r>
      <w:r w:rsidR="005D60A6">
        <w:t>10.</w:t>
      </w:r>
    </w:p>
  </w:footnote>
  <w:footnote w:id="3">
    <w:p w14:paraId="7DDA9583" w14:textId="05F804B6" w:rsidR="006D53E9" w:rsidRDefault="006D53E9" w:rsidP="00AC2F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126F">
        <w:t xml:space="preserve">Dr. </w:t>
      </w:r>
      <w:proofErr w:type="spellStart"/>
      <w:r w:rsidR="0066126F">
        <w:t>Caughey</w:t>
      </w:r>
      <w:proofErr w:type="spellEnd"/>
      <w:r w:rsidR="0066126F">
        <w:t xml:space="preserve"> conducted his analysis in part using a publicly availabl</w:t>
      </w:r>
      <w:r w:rsidR="0066126F">
        <w:t xml:space="preserve">e </w:t>
      </w:r>
      <w:r w:rsidR="0066126F">
        <w:t xml:space="preserve">website, </w:t>
      </w:r>
      <w:proofErr w:type="spellStart"/>
      <w:r w:rsidR="0066126F">
        <w:t>PlanScore</w:t>
      </w:r>
      <w:proofErr w:type="spellEnd"/>
      <w:r w:rsidR="00C83397">
        <w:t xml:space="preserve"> (which calculates efficiency gap, declination, and other metrics)</w:t>
      </w:r>
      <w:r w:rsidR="0066126F">
        <w:t>.</w:t>
      </w:r>
      <w:r w:rsidR="0066126F">
        <w:t xml:space="preserve">  </w:t>
      </w:r>
      <w:r w:rsidR="00966B4D">
        <w:t>He stated</w:t>
      </w:r>
      <w:r w:rsidR="00A14CED">
        <w:t xml:space="preserve"> </w:t>
      </w:r>
      <w:r w:rsidR="00966B4D">
        <w:t>that HB 2 use</w:t>
      </w:r>
      <w:r w:rsidR="00253680">
        <w:t>s</w:t>
      </w:r>
      <w:r w:rsidR="00966B4D">
        <w:t xml:space="preserve"> both </w:t>
      </w:r>
      <w:r w:rsidR="00966B4D">
        <w:t>packing and cracking</w:t>
      </w:r>
      <w:r w:rsidR="00966B4D">
        <w:t xml:space="preserve"> to maximize partisa</w:t>
      </w:r>
      <w:r w:rsidR="00966B4D">
        <w:t xml:space="preserve">n </w:t>
      </w:r>
      <w:r w:rsidR="00966B4D">
        <w:t>gains statewide.</w:t>
      </w:r>
      <w:r w:rsidR="00AC2F53">
        <w:t xml:space="preserve">  D</w:t>
      </w:r>
      <w:r w:rsidR="00AC2F53">
        <w:t xml:space="preserve">r. </w:t>
      </w:r>
      <w:proofErr w:type="spellStart"/>
      <w:r w:rsidR="00AC2F53">
        <w:t>Caughey</w:t>
      </w:r>
      <w:proofErr w:type="spellEnd"/>
      <w:r w:rsidR="00AC2F53">
        <w:t xml:space="preserve"> concluded that HB 2 is the most extreme</w:t>
      </w:r>
      <w:r w:rsidR="009B02B8">
        <w:t xml:space="preserve"> </w:t>
      </w:r>
      <w:r w:rsidR="00AC2F53">
        <w:t>advantage for a party in a legislative map that he has ever seen.</w:t>
      </w:r>
      <w:r w:rsidR="00AC2F53">
        <w:t xml:space="preserve">  </w:t>
      </w:r>
      <w:r w:rsidR="00AC2F53">
        <w:rPr>
          <w:i/>
          <w:iCs/>
        </w:rPr>
        <w:t xml:space="preserve">Id. </w:t>
      </w:r>
      <w:r w:rsidR="00AC2F53">
        <w:t xml:space="preserve">at </w:t>
      </w:r>
      <w:r w:rsidR="00AC2F53">
        <w:t>10</w:t>
      </w:r>
      <w:r w:rsidR="00AC2F53">
        <w:t>–1</w:t>
      </w:r>
      <w:r w:rsidR="00AC2F53">
        <w:t>3</w:t>
      </w:r>
      <w:r w:rsidR="00AC2F53">
        <w:t>.</w:t>
      </w:r>
    </w:p>
  </w:footnote>
  <w:footnote w:id="4">
    <w:p w14:paraId="12E08A8B" w14:textId="25372FFC" w:rsidR="00D5160E" w:rsidRDefault="00D5160E" w:rsidP="00680C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80C5D">
        <w:t xml:space="preserve">Mr. </w:t>
      </w:r>
      <w:proofErr w:type="spellStart"/>
      <w:r w:rsidR="00680C5D">
        <w:t>Trende</w:t>
      </w:r>
      <w:proofErr w:type="spellEnd"/>
      <w:r w:rsidR="00680C5D">
        <w:t xml:space="preserve"> testified that in evaluating HB 2, the Efficiency Gap is unreliable i</w:t>
      </w:r>
      <w:r w:rsidR="00680C5D">
        <w:t xml:space="preserve">n </w:t>
      </w:r>
      <w:r w:rsidR="00680C5D">
        <w:t>places like Kentucky because “in some states, the political geography just naturally results</w:t>
      </w:r>
      <w:r w:rsidR="00680C5D">
        <w:t xml:space="preserve"> </w:t>
      </w:r>
      <w:r w:rsidR="00680C5D">
        <w:t>in a circumstance where it becomes hard to draw districts for one party or the other in</w:t>
      </w:r>
      <w:r w:rsidR="00680C5D">
        <w:t xml:space="preserve"> </w:t>
      </w:r>
      <w:r w:rsidR="00680C5D">
        <w:t>certain regions.”</w:t>
      </w:r>
      <w:r w:rsidR="00680C5D">
        <w:t xml:space="preserve">  </w:t>
      </w:r>
      <w:r w:rsidR="00680C5D">
        <w:t xml:space="preserve">With respect to SB 3, Mr. </w:t>
      </w:r>
      <w:proofErr w:type="spellStart"/>
      <w:r w:rsidR="00680C5D">
        <w:t>Trende</w:t>
      </w:r>
      <w:proofErr w:type="spellEnd"/>
      <w:r w:rsidR="00680C5D">
        <w:t xml:space="preserve"> stated that Kentucky Congressional Districts</w:t>
      </w:r>
      <w:r w:rsidR="00680C5D">
        <w:t xml:space="preserve"> </w:t>
      </w:r>
      <w:r w:rsidR="00680C5D">
        <w:t>“have retained what we call district cores, the same basic idea that corresponds to</w:t>
      </w:r>
      <w:r w:rsidR="00680C5D">
        <w:t xml:space="preserve"> </w:t>
      </w:r>
      <w:r w:rsidR="00680C5D">
        <w:t>Kentucky’s political geographies since the 90s.”</w:t>
      </w:r>
      <w:r w:rsidR="007C4AA8" w:rsidRPr="007C4AA8">
        <w:rPr>
          <w:i/>
          <w:iCs/>
        </w:rPr>
        <w:t xml:space="preserve"> </w:t>
      </w:r>
      <w:r w:rsidR="007C4AA8">
        <w:rPr>
          <w:i/>
          <w:iCs/>
        </w:rPr>
        <w:t xml:space="preserve"> </w:t>
      </w:r>
      <w:r w:rsidR="007C4AA8">
        <w:rPr>
          <w:i/>
          <w:iCs/>
        </w:rPr>
        <w:t xml:space="preserve">Id. </w:t>
      </w:r>
      <w:r w:rsidR="007C4AA8">
        <w:t>at 1</w:t>
      </w:r>
      <w:r w:rsidR="007C4AA8">
        <w:t>3</w:t>
      </w:r>
      <w:r w:rsidR="007C4AA8">
        <w:t>–1</w:t>
      </w:r>
      <w:r w:rsidR="007C4AA8">
        <w:t>6</w:t>
      </w:r>
      <w:r w:rsidR="007C4AA8">
        <w:t>.</w:t>
      </w:r>
    </w:p>
  </w:footnote>
  <w:footnote w:id="5">
    <w:p w14:paraId="4F21158A" w14:textId="45038AA7" w:rsidR="00D5160E" w:rsidRDefault="00D5160E" w:rsidP="00F34C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D09AF">
        <w:t xml:space="preserve">Dr. Voss used </w:t>
      </w:r>
      <w:proofErr w:type="spellStart"/>
      <w:r w:rsidR="005D09AF">
        <w:t>Planscore</w:t>
      </w:r>
      <w:proofErr w:type="spellEnd"/>
      <w:r w:rsidR="005D09AF">
        <w:t xml:space="preserve"> to review and respond to Dr. </w:t>
      </w:r>
      <w:proofErr w:type="spellStart"/>
      <w:r w:rsidR="005D09AF">
        <w:t>Caughey’s</w:t>
      </w:r>
      <w:proofErr w:type="spellEnd"/>
      <w:r w:rsidR="005D09AF">
        <w:t xml:space="preserve"> testimony.  </w:t>
      </w:r>
      <w:r w:rsidR="003F383B">
        <w:t>Dr. Voss</w:t>
      </w:r>
      <w:r w:rsidR="005D09AF">
        <w:t xml:space="preserve"> stated that </w:t>
      </w:r>
      <w:r w:rsidR="005D09AF">
        <w:t>Kentucky</w:t>
      </w:r>
      <w:r w:rsidR="003F383B">
        <w:t xml:space="preserve"> </w:t>
      </w:r>
      <w:r w:rsidR="005D09AF">
        <w:t xml:space="preserve">naturally has a higher Efficiency Gap based on its political </w:t>
      </w:r>
      <w:proofErr w:type="gramStart"/>
      <w:r w:rsidR="005D09AF">
        <w:t>geography</w:t>
      </w:r>
      <w:r w:rsidR="003F383B">
        <w:t>, but</w:t>
      </w:r>
      <w:proofErr w:type="gramEnd"/>
      <w:r w:rsidR="003F383B">
        <w:t xml:space="preserve"> </w:t>
      </w:r>
      <w:r w:rsidR="003F383B" w:rsidRPr="003F383B">
        <w:t xml:space="preserve">did not find any material inaccuracies in Dr. </w:t>
      </w:r>
      <w:proofErr w:type="spellStart"/>
      <w:r w:rsidR="003F383B" w:rsidRPr="003F383B">
        <w:t>Caughey’s</w:t>
      </w:r>
      <w:proofErr w:type="spellEnd"/>
      <w:r w:rsidR="003F383B" w:rsidRPr="003F383B">
        <w:t xml:space="preserve"> work</w:t>
      </w:r>
      <w:r w:rsidR="003F383B">
        <w:t>; he</w:t>
      </w:r>
      <w:r w:rsidR="003F383B">
        <w:t xml:space="preserve"> testified that there could have bee</w:t>
      </w:r>
      <w:r w:rsidR="003F383B">
        <w:t xml:space="preserve">n </w:t>
      </w:r>
      <w:r w:rsidR="003F383B">
        <w:t>fewer multi-split counties in HB 2 and if the law requires HB 2 to multi-split counties the</w:t>
      </w:r>
      <w:r w:rsidR="003F383B">
        <w:t xml:space="preserve"> </w:t>
      </w:r>
      <w:r w:rsidR="003F383B">
        <w:t>fewest number of times possible, then HB 2 would violate this.</w:t>
      </w:r>
      <w:r w:rsidR="003F383B">
        <w:t xml:space="preserve">  </w:t>
      </w:r>
      <w:r w:rsidR="00F34C14">
        <w:t xml:space="preserve">As to SB3, </w:t>
      </w:r>
      <w:r w:rsidR="00F34C14">
        <w:t>Dr. Voss analyzed some of Dr. Imai’s simulations and concluded</w:t>
      </w:r>
      <w:r w:rsidR="00A80546">
        <w:t xml:space="preserve"> </w:t>
      </w:r>
      <w:r w:rsidR="00F34C14">
        <w:t>that “the vast bulk of [Dr. Imai’s] simulations are not more favorable to the Democrats than</w:t>
      </w:r>
      <w:r w:rsidR="004F75EB">
        <w:t xml:space="preserve"> </w:t>
      </w:r>
      <w:r w:rsidR="00F34C14">
        <w:t>the enacted plan.”</w:t>
      </w:r>
      <w:r w:rsidR="0072755E">
        <w:t xml:space="preserve"> </w:t>
      </w:r>
      <w:r w:rsidR="0072755E" w:rsidRPr="0072755E">
        <w:rPr>
          <w:i/>
          <w:iCs/>
        </w:rPr>
        <w:t xml:space="preserve"> </w:t>
      </w:r>
      <w:r w:rsidR="0072755E">
        <w:rPr>
          <w:i/>
          <w:iCs/>
        </w:rPr>
        <w:t xml:space="preserve">Id. </w:t>
      </w:r>
      <w:r w:rsidR="0072755E">
        <w:t>at 1</w:t>
      </w:r>
      <w:r w:rsidR="0072755E">
        <w:t>6</w:t>
      </w:r>
      <w:r w:rsidR="0072755E">
        <w:t>–1</w:t>
      </w:r>
      <w:r w:rsidR="0072755E">
        <w:t>8</w:t>
      </w:r>
      <w:r w:rsidR="0072755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238DB"/>
    <w:rsid w:val="0002632F"/>
    <w:rsid w:val="000316A7"/>
    <w:rsid w:val="00031BFF"/>
    <w:rsid w:val="0003271E"/>
    <w:rsid w:val="000423F8"/>
    <w:rsid w:val="00053DC6"/>
    <w:rsid w:val="00054971"/>
    <w:rsid w:val="00060409"/>
    <w:rsid w:val="000612B8"/>
    <w:rsid w:val="00061BAC"/>
    <w:rsid w:val="00073D42"/>
    <w:rsid w:val="00077227"/>
    <w:rsid w:val="00077B9B"/>
    <w:rsid w:val="0008155A"/>
    <w:rsid w:val="000958C9"/>
    <w:rsid w:val="000A4066"/>
    <w:rsid w:val="000A4C16"/>
    <w:rsid w:val="000A6FAE"/>
    <w:rsid w:val="000A7B81"/>
    <w:rsid w:val="000B686C"/>
    <w:rsid w:val="000C079D"/>
    <w:rsid w:val="000C576A"/>
    <w:rsid w:val="000C62F3"/>
    <w:rsid w:val="000C6405"/>
    <w:rsid w:val="000D6927"/>
    <w:rsid w:val="000E1185"/>
    <w:rsid w:val="000E2B5F"/>
    <w:rsid w:val="000E357F"/>
    <w:rsid w:val="000E55FC"/>
    <w:rsid w:val="000E67CE"/>
    <w:rsid w:val="000E7C2E"/>
    <w:rsid w:val="000F06B0"/>
    <w:rsid w:val="000F7680"/>
    <w:rsid w:val="000F7880"/>
    <w:rsid w:val="0010129D"/>
    <w:rsid w:val="001063F9"/>
    <w:rsid w:val="001075FE"/>
    <w:rsid w:val="001128BD"/>
    <w:rsid w:val="00134440"/>
    <w:rsid w:val="00137F39"/>
    <w:rsid w:val="001455D2"/>
    <w:rsid w:val="0015052D"/>
    <w:rsid w:val="00150C2F"/>
    <w:rsid w:val="00152FED"/>
    <w:rsid w:val="00156F29"/>
    <w:rsid w:val="001630B8"/>
    <w:rsid w:val="00163AE6"/>
    <w:rsid w:val="00163C7B"/>
    <w:rsid w:val="00166C13"/>
    <w:rsid w:val="00181207"/>
    <w:rsid w:val="001846A0"/>
    <w:rsid w:val="0019138D"/>
    <w:rsid w:val="00191BE3"/>
    <w:rsid w:val="00194FFF"/>
    <w:rsid w:val="001A1BD2"/>
    <w:rsid w:val="001A376C"/>
    <w:rsid w:val="001A554F"/>
    <w:rsid w:val="001B3724"/>
    <w:rsid w:val="001B45BC"/>
    <w:rsid w:val="001B5342"/>
    <w:rsid w:val="001C2608"/>
    <w:rsid w:val="001D116C"/>
    <w:rsid w:val="001E6844"/>
    <w:rsid w:val="001F30AC"/>
    <w:rsid w:val="001F32D6"/>
    <w:rsid w:val="001F3FA5"/>
    <w:rsid w:val="001F4FD6"/>
    <w:rsid w:val="00207D95"/>
    <w:rsid w:val="0021106E"/>
    <w:rsid w:val="00211E23"/>
    <w:rsid w:val="00212664"/>
    <w:rsid w:val="00215EC7"/>
    <w:rsid w:val="00220599"/>
    <w:rsid w:val="0022426A"/>
    <w:rsid w:val="00225810"/>
    <w:rsid w:val="00226246"/>
    <w:rsid w:val="0023051A"/>
    <w:rsid w:val="002320E4"/>
    <w:rsid w:val="00234500"/>
    <w:rsid w:val="002360C6"/>
    <w:rsid w:val="00236934"/>
    <w:rsid w:val="00253680"/>
    <w:rsid w:val="00254914"/>
    <w:rsid w:val="00264C5A"/>
    <w:rsid w:val="00267920"/>
    <w:rsid w:val="00271211"/>
    <w:rsid w:val="00274D4F"/>
    <w:rsid w:val="00275397"/>
    <w:rsid w:val="002763FA"/>
    <w:rsid w:val="0028250A"/>
    <w:rsid w:val="00284980"/>
    <w:rsid w:val="002856A4"/>
    <w:rsid w:val="00290BB0"/>
    <w:rsid w:val="002956EC"/>
    <w:rsid w:val="002A18C5"/>
    <w:rsid w:val="002B3236"/>
    <w:rsid w:val="002C2AAC"/>
    <w:rsid w:val="002C3DAF"/>
    <w:rsid w:val="002C4BB0"/>
    <w:rsid w:val="002C6AB7"/>
    <w:rsid w:val="002D4710"/>
    <w:rsid w:val="002D690B"/>
    <w:rsid w:val="002D782F"/>
    <w:rsid w:val="002E0856"/>
    <w:rsid w:val="002E2376"/>
    <w:rsid w:val="002F086B"/>
    <w:rsid w:val="002F3011"/>
    <w:rsid w:val="002F6D26"/>
    <w:rsid w:val="00304808"/>
    <w:rsid w:val="00321819"/>
    <w:rsid w:val="0032595F"/>
    <w:rsid w:val="0033024A"/>
    <w:rsid w:val="0033070F"/>
    <w:rsid w:val="00330EC1"/>
    <w:rsid w:val="0033109E"/>
    <w:rsid w:val="00334C92"/>
    <w:rsid w:val="0034242C"/>
    <w:rsid w:val="003427AD"/>
    <w:rsid w:val="00346EC1"/>
    <w:rsid w:val="003543FB"/>
    <w:rsid w:val="00363586"/>
    <w:rsid w:val="00367572"/>
    <w:rsid w:val="00372F65"/>
    <w:rsid w:val="00373F56"/>
    <w:rsid w:val="00376390"/>
    <w:rsid w:val="00377D8D"/>
    <w:rsid w:val="00382A73"/>
    <w:rsid w:val="00387C48"/>
    <w:rsid w:val="00393797"/>
    <w:rsid w:val="0039602B"/>
    <w:rsid w:val="003A02F7"/>
    <w:rsid w:val="003A190A"/>
    <w:rsid w:val="003A6214"/>
    <w:rsid w:val="003B2F77"/>
    <w:rsid w:val="003B4C57"/>
    <w:rsid w:val="003C3979"/>
    <w:rsid w:val="003C50F3"/>
    <w:rsid w:val="003C5B79"/>
    <w:rsid w:val="003D4A44"/>
    <w:rsid w:val="003D65B4"/>
    <w:rsid w:val="003D72F6"/>
    <w:rsid w:val="003E031F"/>
    <w:rsid w:val="003E0E91"/>
    <w:rsid w:val="003E3904"/>
    <w:rsid w:val="003F1125"/>
    <w:rsid w:val="003F383B"/>
    <w:rsid w:val="003F5E6A"/>
    <w:rsid w:val="003F6B37"/>
    <w:rsid w:val="00417399"/>
    <w:rsid w:val="0041780A"/>
    <w:rsid w:val="004209F8"/>
    <w:rsid w:val="00421AE5"/>
    <w:rsid w:val="00433FF8"/>
    <w:rsid w:val="00445325"/>
    <w:rsid w:val="00452B53"/>
    <w:rsid w:val="00452C31"/>
    <w:rsid w:val="004533D2"/>
    <w:rsid w:val="0045618C"/>
    <w:rsid w:val="00456B36"/>
    <w:rsid w:val="00465B18"/>
    <w:rsid w:val="004664F3"/>
    <w:rsid w:val="004668A1"/>
    <w:rsid w:val="0047192B"/>
    <w:rsid w:val="00471CFA"/>
    <w:rsid w:val="00472FED"/>
    <w:rsid w:val="00474978"/>
    <w:rsid w:val="00474A3C"/>
    <w:rsid w:val="0047710B"/>
    <w:rsid w:val="00495A95"/>
    <w:rsid w:val="004979D6"/>
    <w:rsid w:val="004A1305"/>
    <w:rsid w:val="004A2C87"/>
    <w:rsid w:val="004B086B"/>
    <w:rsid w:val="004B4B77"/>
    <w:rsid w:val="004C5B34"/>
    <w:rsid w:val="004D0D3C"/>
    <w:rsid w:val="004D1A1B"/>
    <w:rsid w:val="004E08F9"/>
    <w:rsid w:val="004F75EB"/>
    <w:rsid w:val="00503F56"/>
    <w:rsid w:val="00512BC6"/>
    <w:rsid w:val="00515521"/>
    <w:rsid w:val="00516147"/>
    <w:rsid w:val="0052532C"/>
    <w:rsid w:val="00537119"/>
    <w:rsid w:val="00537B72"/>
    <w:rsid w:val="0055103B"/>
    <w:rsid w:val="005618B0"/>
    <w:rsid w:val="005626E4"/>
    <w:rsid w:val="00571F55"/>
    <w:rsid w:val="005750C5"/>
    <w:rsid w:val="00582A0E"/>
    <w:rsid w:val="005A0373"/>
    <w:rsid w:val="005A4170"/>
    <w:rsid w:val="005A4406"/>
    <w:rsid w:val="005A54B3"/>
    <w:rsid w:val="005B421F"/>
    <w:rsid w:val="005B4CFA"/>
    <w:rsid w:val="005B5524"/>
    <w:rsid w:val="005B7FFE"/>
    <w:rsid w:val="005C2D64"/>
    <w:rsid w:val="005C52CA"/>
    <w:rsid w:val="005D08D9"/>
    <w:rsid w:val="005D09AF"/>
    <w:rsid w:val="005D60A6"/>
    <w:rsid w:val="005D746D"/>
    <w:rsid w:val="005E32FB"/>
    <w:rsid w:val="005E6E1D"/>
    <w:rsid w:val="005F539F"/>
    <w:rsid w:val="005F7580"/>
    <w:rsid w:val="005F7C1D"/>
    <w:rsid w:val="00605AD2"/>
    <w:rsid w:val="00625B2D"/>
    <w:rsid w:val="0063044B"/>
    <w:rsid w:val="00632EB3"/>
    <w:rsid w:val="006417F9"/>
    <w:rsid w:val="00643A05"/>
    <w:rsid w:val="0064786F"/>
    <w:rsid w:val="006502FF"/>
    <w:rsid w:val="00656923"/>
    <w:rsid w:val="0066126F"/>
    <w:rsid w:val="00671155"/>
    <w:rsid w:val="0067223B"/>
    <w:rsid w:val="006727AF"/>
    <w:rsid w:val="00680C5D"/>
    <w:rsid w:val="006A08C1"/>
    <w:rsid w:val="006A5042"/>
    <w:rsid w:val="006B1C61"/>
    <w:rsid w:val="006B22E2"/>
    <w:rsid w:val="006B2D20"/>
    <w:rsid w:val="006B46B2"/>
    <w:rsid w:val="006C5B1A"/>
    <w:rsid w:val="006D53E9"/>
    <w:rsid w:val="006E3F04"/>
    <w:rsid w:val="006F2C19"/>
    <w:rsid w:val="007039DC"/>
    <w:rsid w:val="00706144"/>
    <w:rsid w:val="0071330F"/>
    <w:rsid w:val="00713D55"/>
    <w:rsid w:val="00714F2B"/>
    <w:rsid w:val="0072755E"/>
    <w:rsid w:val="0072775B"/>
    <w:rsid w:val="007310E0"/>
    <w:rsid w:val="0073595D"/>
    <w:rsid w:val="00747EEA"/>
    <w:rsid w:val="00750AC1"/>
    <w:rsid w:val="00752BBD"/>
    <w:rsid w:val="00764197"/>
    <w:rsid w:val="00765D3C"/>
    <w:rsid w:val="00767209"/>
    <w:rsid w:val="00770401"/>
    <w:rsid w:val="007705FE"/>
    <w:rsid w:val="00781D52"/>
    <w:rsid w:val="00790834"/>
    <w:rsid w:val="0079288A"/>
    <w:rsid w:val="00796C10"/>
    <w:rsid w:val="00796DFC"/>
    <w:rsid w:val="007B16DD"/>
    <w:rsid w:val="007C4AA8"/>
    <w:rsid w:val="007C7815"/>
    <w:rsid w:val="007D1565"/>
    <w:rsid w:val="007D2CAE"/>
    <w:rsid w:val="007D3F37"/>
    <w:rsid w:val="007D63B1"/>
    <w:rsid w:val="007D6A08"/>
    <w:rsid w:val="007F4847"/>
    <w:rsid w:val="008042C7"/>
    <w:rsid w:val="00804DC1"/>
    <w:rsid w:val="00820E93"/>
    <w:rsid w:val="0082403E"/>
    <w:rsid w:val="00825E45"/>
    <w:rsid w:val="008262E6"/>
    <w:rsid w:val="00836701"/>
    <w:rsid w:val="0084773C"/>
    <w:rsid w:val="00852EA3"/>
    <w:rsid w:val="00857A6C"/>
    <w:rsid w:val="008662C1"/>
    <w:rsid w:val="008775BD"/>
    <w:rsid w:val="00877C09"/>
    <w:rsid w:val="00880883"/>
    <w:rsid w:val="008910DB"/>
    <w:rsid w:val="0089183C"/>
    <w:rsid w:val="00891B57"/>
    <w:rsid w:val="00893631"/>
    <w:rsid w:val="0089594C"/>
    <w:rsid w:val="0089629B"/>
    <w:rsid w:val="008A1922"/>
    <w:rsid w:val="008A5CDF"/>
    <w:rsid w:val="008B5DC7"/>
    <w:rsid w:val="008B64C9"/>
    <w:rsid w:val="008C5C31"/>
    <w:rsid w:val="008D0866"/>
    <w:rsid w:val="008D467C"/>
    <w:rsid w:val="008D4D6C"/>
    <w:rsid w:val="008D66FD"/>
    <w:rsid w:val="008D6B14"/>
    <w:rsid w:val="008D7979"/>
    <w:rsid w:val="008E1661"/>
    <w:rsid w:val="008E6D44"/>
    <w:rsid w:val="008F4629"/>
    <w:rsid w:val="008F5660"/>
    <w:rsid w:val="008F6C97"/>
    <w:rsid w:val="00905D1D"/>
    <w:rsid w:val="0090600A"/>
    <w:rsid w:val="00906592"/>
    <w:rsid w:val="00907184"/>
    <w:rsid w:val="009108BB"/>
    <w:rsid w:val="0091331F"/>
    <w:rsid w:val="009206FC"/>
    <w:rsid w:val="00931295"/>
    <w:rsid w:val="009438BC"/>
    <w:rsid w:val="0094455F"/>
    <w:rsid w:val="00955BBC"/>
    <w:rsid w:val="00966B4D"/>
    <w:rsid w:val="00977E22"/>
    <w:rsid w:val="009851B0"/>
    <w:rsid w:val="0099185A"/>
    <w:rsid w:val="00992B19"/>
    <w:rsid w:val="00992B6C"/>
    <w:rsid w:val="009A1BB3"/>
    <w:rsid w:val="009A6F30"/>
    <w:rsid w:val="009A72E8"/>
    <w:rsid w:val="009B02B8"/>
    <w:rsid w:val="009B1886"/>
    <w:rsid w:val="009B1A73"/>
    <w:rsid w:val="009B5EB9"/>
    <w:rsid w:val="009C6C77"/>
    <w:rsid w:val="009D0A01"/>
    <w:rsid w:val="009D125C"/>
    <w:rsid w:val="009D2441"/>
    <w:rsid w:val="009E0842"/>
    <w:rsid w:val="009E0ACF"/>
    <w:rsid w:val="009E6F83"/>
    <w:rsid w:val="009E781B"/>
    <w:rsid w:val="009F266C"/>
    <w:rsid w:val="009F2C94"/>
    <w:rsid w:val="009F2EF1"/>
    <w:rsid w:val="009F5FC2"/>
    <w:rsid w:val="00A10326"/>
    <w:rsid w:val="00A14CED"/>
    <w:rsid w:val="00A175AC"/>
    <w:rsid w:val="00A200F7"/>
    <w:rsid w:val="00A20804"/>
    <w:rsid w:val="00A22BD7"/>
    <w:rsid w:val="00A2608F"/>
    <w:rsid w:val="00A320C2"/>
    <w:rsid w:val="00A51857"/>
    <w:rsid w:val="00A522D6"/>
    <w:rsid w:val="00A56902"/>
    <w:rsid w:val="00A61043"/>
    <w:rsid w:val="00A64C3F"/>
    <w:rsid w:val="00A71C57"/>
    <w:rsid w:val="00A75B87"/>
    <w:rsid w:val="00A80546"/>
    <w:rsid w:val="00A90B0E"/>
    <w:rsid w:val="00AA7489"/>
    <w:rsid w:val="00AB4642"/>
    <w:rsid w:val="00AB7083"/>
    <w:rsid w:val="00AC0B4C"/>
    <w:rsid w:val="00AC1E63"/>
    <w:rsid w:val="00AC2F53"/>
    <w:rsid w:val="00AC57A6"/>
    <w:rsid w:val="00AD083C"/>
    <w:rsid w:val="00AD1A10"/>
    <w:rsid w:val="00AE1FFA"/>
    <w:rsid w:val="00AE2491"/>
    <w:rsid w:val="00AE25E7"/>
    <w:rsid w:val="00AE419A"/>
    <w:rsid w:val="00AE67DE"/>
    <w:rsid w:val="00AF0389"/>
    <w:rsid w:val="00AF1EC4"/>
    <w:rsid w:val="00AF20C5"/>
    <w:rsid w:val="00B01256"/>
    <w:rsid w:val="00B07787"/>
    <w:rsid w:val="00B11B08"/>
    <w:rsid w:val="00B17476"/>
    <w:rsid w:val="00B229CF"/>
    <w:rsid w:val="00B32F6B"/>
    <w:rsid w:val="00B33A5E"/>
    <w:rsid w:val="00B401E4"/>
    <w:rsid w:val="00B41BE3"/>
    <w:rsid w:val="00B41DBB"/>
    <w:rsid w:val="00B44B83"/>
    <w:rsid w:val="00B54875"/>
    <w:rsid w:val="00B60703"/>
    <w:rsid w:val="00B634C3"/>
    <w:rsid w:val="00B66129"/>
    <w:rsid w:val="00B665A3"/>
    <w:rsid w:val="00B70A8A"/>
    <w:rsid w:val="00B711AA"/>
    <w:rsid w:val="00B731C0"/>
    <w:rsid w:val="00B8711F"/>
    <w:rsid w:val="00B92E87"/>
    <w:rsid w:val="00B9324F"/>
    <w:rsid w:val="00B932D8"/>
    <w:rsid w:val="00BA4FAC"/>
    <w:rsid w:val="00BB3E98"/>
    <w:rsid w:val="00BB44B1"/>
    <w:rsid w:val="00BB6E4F"/>
    <w:rsid w:val="00BD373F"/>
    <w:rsid w:val="00BD5F8B"/>
    <w:rsid w:val="00BD6E11"/>
    <w:rsid w:val="00C07065"/>
    <w:rsid w:val="00C14611"/>
    <w:rsid w:val="00C16C8D"/>
    <w:rsid w:val="00C178F2"/>
    <w:rsid w:val="00C317E3"/>
    <w:rsid w:val="00C3633E"/>
    <w:rsid w:val="00C552C0"/>
    <w:rsid w:val="00C5787C"/>
    <w:rsid w:val="00C65754"/>
    <w:rsid w:val="00C70F14"/>
    <w:rsid w:val="00C72AB2"/>
    <w:rsid w:val="00C751FE"/>
    <w:rsid w:val="00C755FA"/>
    <w:rsid w:val="00C761D1"/>
    <w:rsid w:val="00C77F6D"/>
    <w:rsid w:val="00C808BD"/>
    <w:rsid w:val="00C83397"/>
    <w:rsid w:val="00C842DB"/>
    <w:rsid w:val="00C84E87"/>
    <w:rsid w:val="00C91757"/>
    <w:rsid w:val="00C93CE2"/>
    <w:rsid w:val="00CA1CBF"/>
    <w:rsid w:val="00CA4B6E"/>
    <w:rsid w:val="00CA522B"/>
    <w:rsid w:val="00CA7970"/>
    <w:rsid w:val="00CB2BD9"/>
    <w:rsid w:val="00CB51AA"/>
    <w:rsid w:val="00CC527C"/>
    <w:rsid w:val="00CD614C"/>
    <w:rsid w:val="00CE70CA"/>
    <w:rsid w:val="00CF0013"/>
    <w:rsid w:val="00CF524F"/>
    <w:rsid w:val="00D21954"/>
    <w:rsid w:val="00D21DDE"/>
    <w:rsid w:val="00D23987"/>
    <w:rsid w:val="00D260D4"/>
    <w:rsid w:val="00D40A68"/>
    <w:rsid w:val="00D44C25"/>
    <w:rsid w:val="00D5040C"/>
    <w:rsid w:val="00D5160E"/>
    <w:rsid w:val="00D61314"/>
    <w:rsid w:val="00D632BA"/>
    <w:rsid w:val="00D66E84"/>
    <w:rsid w:val="00D67E4B"/>
    <w:rsid w:val="00D73B91"/>
    <w:rsid w:val="00D83EE4"/>
    <w:rsid w:val="00D866BD"/>
    <w:rsid w:val="00D90943"/>
    <w:rsid w:val="00D92B7D"/>
    <w:rsid w:val="00D933DB"/>
    <w:rsid w:val="00DA2C58"/>
    <w:rsid w:val="00DA5809"/>
    <w:rsid w:val="00DB5D10"/>
    <w:rsid w:val="00DB6B2E"/>
    <w:rsid w:val="00DC318D"/>
    <w:rsid w:val="00DC6F51"/>
    <w:rsid w:val="00DD66C7"/>
    <w:rsid w:val="00DD7F5E"/>
    <w:rsid w:val="00DE1886"/>
    <w:rsid w:val="00DE4D6E"/>
    <w:rsid w:val="00DF0717"/>
    <w:rsid w:val="00DF450D"/>
    <w:rsid w:val="00E0363D"/>
    <w:rsid w:val="00E124D6"/>
    <w:rsid w:val="00E20D83"/>
    <w:rsid w:val="00E21002"/>
    <w:rsid w:val="00E2275E"/>
    <w:rsid w:val="00E22B20"/>
    <w:rsid w:val="00E23974"/>
    <w:rsid w:val="00E27391"/>
    <w:rsid w:val="00E30FBC"/>
    <w:rsid w:val="00E3262C"/>
    <w:rsid w:val="00E36A1E"/>
    <w:rsid w:val="00E45270"/>
    <w:rsid w:val="00E47896"/>
    <w:rsid w:val="00E53D01"/>
    <w:rsid w:val="00E571FE"/>
    <w:rsid w:val="00E61A43"/>
    <w:rsid w:val="00E65286"/>
    <w:rsid w:val="00E72929"/>
    <w:rsid w:val="00E74614"/>
    <w:rsid w:val="00E8093F"/>
    <w:rsid w:val="00E86B0C"/>
    <w:rsid w:val="00E93553"/>
    <w:rsid w:val="00EA6850"/>
    <w:rsid w:val="00EB0DC1"/>
    <w:rsid w:val="00EB7A4A"/>
    <w:rsid w:val="00EC055C"/>
    <w:rsid w:val="00EC43F8"/>
    <w:rsid w:val="00ED32B3"/>
    <w:rsid w:val="00ED33EB"/>
    <w:rsid w:val="00ED45C5"/>
    <w:rsid w:val="00ED671F"/>
    <w:rsid w:val="00EE1C07"/>
    <w:rsid w:val="00EE2D91"/>
    <w:rsid w:val="00EE35CA"/>
    <w:rsid w:val="00EE3DC8"/>
    <w:rsid w:val="00EE4689"/>
    <w:rsid w:val="00EF6ECA"/>
    <w:rsid w:val="00F10C33"/>
    <w:rsid w:val="00F1414C"/>
    <w:rsid w:val="00F14959"/>
    <w:rsid w:val="00F1543D"/>
    <w:rsid w:val="00F1768F"/>
    <w:rsid w:val="00F24537"/>
    <w:rsid w:val="00F2465F"/>
    <w:rsid w:val="00F27DC9"/>
    <w:rsid w:val="00F30665"/>
    <w:rsid w:val="00F3124C"/>
    <w:rsid w:val="00F324C2"/>
    <w:rsid w:val="00F34C14"/>
    <w:rsid w:val="00F34EC3"/>
    <w:rsid w:val="00F36DBB"/>
    <w:rsid w:val="00F407AC"/>
    <w:rsid w:val="00F5731C"/>
    <w:rsid w:val="00F61EEE"/>
    <w:rsid w:val="00F656F8"/>
    <w:rsid w:val="00F65C6B"/>
    <w:rsid w:val="00F73B16"/>
    <w:rsid w:val="00F73E82"/>
    <w:rsid w:val="00F8113B"/>
    <w:rsid w:val="00F82FD0"/>
    <w:rsid w:val="00F958C2"/>
    <w:rsid w:val="00FB12B8"/>
    <w:rsid w:val="00FB1700"/>
    <w:rsid w:val="00FC1FCB"/>
    <w:rsid w:val="00FC6520"/>
    <w:rsid w:val="00FD0BC0"/>
    <w:rsid w:val="00FE2F6B"/>
    <w:rsid w:val="00FE4207"/>
    <w:rsid w:val="00FE72D8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B0C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B0C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6B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F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04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5B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1A"/>
  </w:style>
  <w:style w:type="character" w:styleId="PageNumber">
    <w:name w:val="page number"/>
    <w:basedOn w:val="DefaultParagraphFont"/>
    <w:uiPriority w:val="99"/>
    <w:semiHidden/>
    <w:unhideWhenUsed/>
    <w:rsid w:val="006C5B1A"/>
  </w:style>
  <w:style w:type="paragraph" w:styleId="Header">
    <w:name w:val="header"/>
    <w:basedOn w:val="Normal"/>
    <w:link w:val="HeaderChar"/>
    <w:uiPriority w:val="99"/>
    <w:unhideWhenUsed/>
    <w:rsid w:val="006C5B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allotpedia.org/Thomas_D._Win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3615</Words>
  <Characters>20609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374</cp:revision>
  <dcterms:created xsi:type="dcterms:W3CDTF">2022-11-29T21:11:00Z</dcterms:created>
  <dcterms:modified xsi:type="dcterms:W3CDTF">2022-11-30T03:29:00Z</dcterms:modified>
</cp:coreProperties>
</file>