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522F7763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5F13B6">
        <w:rPr>
          <w:szCs w:val="20"/>
        </w:rPr>
        <w:t>10/</w:t>
      </w:r>
      <w:r w:rsidR="00472D4A">
        <w:rPr>
          <w:szCs w:val="20"/>
        </w:rPr>
        <w:t>10</w:t>
      </w:r>
      <w:r w:rsidR="005F13B6">
        <w:rPr>
          <w:szCs w:val="20"/>
        </w:rPr>
        <w:t>/2022</w:t>
      </w:r>
    </w:p>
    <w:p w14:paraId="385897F0" w14:textId="272C2C71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303865">
        <w:rPr>
          <w:b/>
          <w:bCs/>
          <w:szCs w:val="20"/>
          <w:u w:val="single"/>
        </w:rPr>
        <w:t>MARYLAND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024FC3">
        <w:trPr>
          <w:trHeight w:val="71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7B9FAE76" w14:textId="4A01C94B" w:rsidR="005F539F" w:rsidRDefault="00775D09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Szeliga v.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Lamone</w:t>
            </w:r>
            <w:proofErr w:type="spellEnd"/>
            <w:r w:rsidR="002F76F6" w:rsidRPr="002F76F6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437768">
              <w:rPr>
                <w:rFonts w:ascii="Arial" w:hAnsi="Arial" w:cs="Arial"/>
                <w:iCs/>
                <w:sz w:val="20"/>
                <w:szCs w:val="20"/>
              </w:rPr>
              <w:t xml:space="preserve">Nos. </w:t>
            </w:r>
            <w:r w:rsidR="00437768" w:rsidRPr="00437768">
              <w:rPr>
                <w:rFonts w:ascii="Arial" w:hAnsi="Arial" w:cs="Arial"/>
                <w:iCs/>
                <w:sz w:val="20"/>
                <w:szCs w:val="20"/>
              </w:rPr>
              <w:t>C-02-CV-21-001816</w:t>
            </w:r>
            <w:r w:rsidR="00437768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437768" w:rsidRPr="00437768">
              <w:rPr>
                <w:rFonts w:ascii="Arial" w:hAnsi="Arial" w:cs="Arial"/>
                <w:iCs/>
                <w:sz w:val="20"/>
                <w:szCs w:val="20"/>
              </w:rPr>
              <w:t>C-02-CV-21-001773</w:t>
            </w:r>
            <w:r w:rsidR="00437768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2F76F6">
              <w:rPr>
                <w:rFonts w:ascii="Arial" w:hAnsi="Arial" w:cs="Arial"/>
                <w:iCs/>
                <w:sz w:val="20"/>
                <w:szCs w:val="20"/>
              </w:rPr>
              <w:t>(</w:t>
            </w:r>
            <w:r w:rsidR="00844304">
              <w:rPr>
                <w:rFonts w:ascii="Arial" w:hAnsi="Arial" w:cs="Arial"/>
                <w:iCs/>
                <w:sz w:val="20"/>
                <w:szCs w:val="20"/>
              </w:rPr>
              <w:t xml:space="preserve">Md. Cir. Ct. </w:t>
            </w:r>
            <w:r w:rsidR="002F76F6">
              <w:rPr>
                <w:rFonts w:ascii="Arial" w:hAnsi="Arial" w:cs="Arial"/>
                <w:iCs/>
                <w:sz w:val="20"/>
                <w:szCs w:val="20"/>
              </w:rPr>
              <w:t>Mar. 25, 2022).</w:t>
            </w:r>
          </w:p>
          <w:p w14:paraId="07A00851" w14:textId="37F4CD65" w:rsidR="00A313B3" w:rsidRPr="00A64C3F" w:rsidRDefault="00A313B3" w:rsidP="00A313B3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4C14DE31" w14:textId="367BD53F" w:rsidR="00474A3C" w:rsidRPr="006B1C1F" w:rsidRDefault="0048686E" w:rsidP="006B1C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Senior Judge Lynne A. Battaglia </w:t>
            </w:r>
            <w:r w:rsidR="00E86F2B">
              <w:rPr>
                <w:rFonts w:ascii="Arial" w:hAnsi="Arial" w:cs="Arial"/>
                <w:iCs/>
                <w:sz w:val="20"/>
                <w:szCs w:val="20"/>
              </w:rPr>
              <w:t xml:space="preserve">(D) </w:t>
            </w:r>
            <w:r>
              <w:rPr>
                <w:rFonts w:ascii="Arial" w:hAnsi="Arial" w:cs="Arial"/>
                <w:iCs/>
                <w:sz w:val="20"/>
                <w:szCs w:val="20"/>
              </w:rPr>
              <w:t>wrote the opinion</w:t>
            </w:r>
            <w:r w:rsidR="00E245DB">
              <w:rPr>
                <w:rFonts w:ascii="Arial" w:hAnsi="Arial" w:cs="Arial"/>
                <w:iCs/>
                <w:sz w:val="20"/>
                <w:szCs w:val="20"/>
              </w:rPr>
              <w:t>.</w:t>
            </w:r>
            <w:r w:rsidR="00DC14B4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  <w:r w:rsidR="00E245DB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72E7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19145AD0" w14:textId="34528C1C" w:rsidR="00901B6F" w:rsidRDefault="00901B6F" w:rsidP="00901B6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01B6F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12/21/</w:t>
            </w:r>
            <w:r w:rsidRPr="00901B6F">
              <w:rPr>
                <w:rFonts w:ascii="Arial" w:hAnsi="Arial" w:cs="Arial"/>
                <w:sz w:val="20"/>
                <w:szCs w:val="20"/>
              </w:rPr>
              <w:t>2021, the 1773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(Parrot et al.)</w:t>
            </w:r>
            <w:r w:rsidR="004D1C67">
              <w:rPr>
                <w:rFonts w:ascii="Arial" w:hAnsi="Arial" w:cs="Arial"/>
                <w:sz w:val="20"/>
                <w:szCs w:val="20"/>
              </w:rPr>
              <w:t xml:space="preserve"> (Republican</w:t>
            </w:r>
            <w:r w:rsidR="00977969">
              <w:rPr>
                <w:rFonts w:ascii="Arial" w:hAnsi="Arial" w:cs="Arial"/>
                <w:sz w:val="20"/>
                <w:szCs w:val="20"/>
              </w:rPr>
              <w:t>s)</w:t>
            </w:r>
            <w:r w:rsidRPr="00901B6F">
              <w:rPr>
                <w:rFonts w:ascii="Arial" w:hAnsi="Arial" w:cs="Arial"/>
                <w:sz w:val="20"/>
                <w:szCs w:val="20"/>
              </w:rPr>
              <w:t xml:space="preserve"> filed their Complaint for Declaratory and Other Relief Regarding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1B6F">
              <w:rPr>
                <w:rFonts w:ascii="Arial" w:hAnsi="Arial" w:cs="Arial"/>
                <w:sz w:val="20"/>
                <w:szCs w:val="20"/>
              </w:rPr>
              <w:t>Redistricting of Maryland's Congressional Districts</w:t>
            </w:r>
            <w:r w:rsidR="0074179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91DDC1" w14:textId="77777777" w:rsidR="007F4602" w:rsidRDefault="00CD63B7" w:rsidP="00CD63B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D63B7">
              <w:rPr>
                <w:rFonts w:ascii="Arial" w:hAnsi="Arial" w:cs="Arial"/>
                <w:sz w:val="20"/>
                <w:szCs w:val="20"/>
              </w:rPr>
              <w:t>The 1773 Plaintiffs ask</w:t>
            </w:r>
            <w:r w:rsidR="000C54F4">
              <w:rPr>
                <w:rFonts w:ascii="Arial" w:hAnsi="Arial" w:cs="Arial"/>
                <w:sz w:val="20"/>
                <w:szCs w:val="20"/>
              </w:rPr>
              <w:t>ed</w:t>
            </w:r>
            <w:r w:rsidRPr="00CD63B7">
              <w:rPr>
                <w:rFonts w:ascii="Arial" w:hAnsi="Arial" w:cs="Arial"/>
                <w:sz w:val="20"/>
                <w:szCs w:val="20"/>
              </w:rPr>
              <w:t xml:space="preserve"> for a declaration that the 2021 Plan is unlawful, as well as a permanent injunction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63B7">
              <w:rPr>
                <w:rFonts w:ascii="Arial" w:hAnsi="Arial" w:cs="Arial"/>
                <w:sz w:val="20"/>
                <w:szCs w:val="20"/>
              </w:rPr>
              <w:t xml:space="preserve">against its use in Congressional elections. </w:t>
            </w:r>
          </w:p>
          <w:p w14:paraId="6CFA10FF" w14:textId="318A1929" w:rsidR="00975EFF" w:rsidRPr="00CD63B7" w:rsidRDefault="00CD63B7" w:rsidP="00CD63B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D63B7">
              <w:rPr>
                <w:rFonts w:ascii="Arial" w:hAnsi="Arial" w:cs="Arial"/>
                <w:sz w:val="20"/>
                <w:szCs w:val="20"/>
              </w:rPr>
              <w:t>Additionally, the 1773 Plaintiffs ask</w:t>
            </w:r>
            <w:r w:rsidR="007F4602">
              <w:rPr>
                <w:rFonts w:ascii="Arial" w:hAnsi="Arial" w:cs="Arial"/>
                <w:sz w:val="20"/>
                <w:szCs w:val="20"/>
              </w:rPr>
              <w:t>ed</w:t>
            </w:r>
            <w:r w:rsidRPr="00CD63B7">
              <w:rPr>
                <w:rFonts w:ascii="Arial" w:hAnsi="Arial" w:cs="Arial"/>
                <w:sz w:val="20"/>
                <w:szCs w:val="20"/>
              </w:rPr>
              <w:t xml:space="preserve"> the Court to order a new map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63B7">
              <w:rPr>
                <w:rFonts w:ascii="Arial" w:hAnsi="Arial" w:cs="Arial"/>
                <w:sz w:val="20"/>
                <w:szCs w:val="20"/>
              </w:rPr>
              <w:t>prepared before the 2022 Congressional primaries or, in the alternative, order that an alternative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63B7">
              <w:rPr>
                <w:rFonts w:ascii="Arial" w:hAnsi="Arial" w:cs="Arial"/>
                <w:sz w:val="20"/>
                <w:szCs w:val="20"/>
              </w:rPr>
              <w:t>district map, which was prepared by the Governor's Maryland Citizens Redistricting Commission, be used for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63B7">
              <w:rPr>
                <w:rFonts w:ascii="Arial" w:hAnsi="Arial" w:cs="Arial"/>
                <w:sz w:val="20"/>
                <w:szCs w:val="20"/>
              </w:rPr>
              <w:t>2022 Congressional elections.</w:t>
            </w:r>
          </w:p>
          <w:p w14:paraId="0E972E8B" w14:textId="64317226" w:rsidR="00ED671F" w:rsidRDefault="0089726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7266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12/23/</w:t>
            </w:r>
            <w:r w:rsidRPr="00897266">
              <w:rPr>
                <w:rFonts w:ascii="Arial" w:hAnsi="Arial" w:cs="Arial"/>
                <w:sz w:val="20"/>
                <w:szCs w:val="20"/>
              </w:rPr>
              <w:t>2021, the 1816 Plaintiffs</w:t>
            </w:r>
            <w:r w:rsidR="009C15E5">
              <w:rPr>
                <w:rFonts w:ascii="Arial" w:hAnsi="Arial" w:cs="Arial"/>
                <w:sz w:val="20"/>
                <w:szCs w:val="20"/>
              </w:rPr>
              <w:t xml:space="preserve"> (Szeliga et al.)</w:t>
            </w:r>
            <w:r w:rsidRPr="00897266">
              <w:rPr>
                <w:rFonts w:ascii="Arial" w:hAnsi="Arial" w:cs="Arial"/>
                <w:sz w:val="20"/>
                <w:szCs w:val="20"/>
              </w:rPr>
              <w:t xml:space="preserve"> filed their Complaint for Declaratory and Injunctive Relief</w:t>
            </w:r>
            <w:r w:rsidR="0074179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C56BE3" w14:textId="0FB9E5BA" w:rsidR="00134C64" w:rsidRDefault="00134C64" w:rsidP="00134C6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34C64">
              <w:rPr>
                <w:rFonts w:ascii="Arial" w:hAnsi="Arial" w:cs="Arial"/>
                <w:sz w:val="20"/>
                <w:szCs w:val="20"/>
              </w:rPr>
              <w:t>The 1816 Plaintiffs ask</w:t>
            </w:r>
            <w:r w:rsidR="00C846F3">
              <w:rPr>
                <w:rFonts w:ascii="Arial" w:hAnsi="Arial" w:cs="Arial"/>
                <w:sz w:val="20"/>
                <w:szCs w:val="20"/>
              </w:rPr>
              <w:t>ed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 for a declaration that the 2021 Plan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4C64">
              <w:rPr>
                <w:rFonts w:ascii="Arial" w:hAnsi="Arial" w:cs="Arial"/>
                <w:sz w:val="20"/>
                <w:szCs w:val="20"/>
              </w:rPr>
              <w:t>unconstitutional under Articles 7, 24, and 40 of Maryland's Declaration of Rights and Section 7 of Article I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Maryland Constitution. </w:t>
            </w:r>
          </w:p>
          <w:p w14:paraId="16C528F8" w14:textId="276AE915" w:rsidR="00134C64" w:rsidRPr="00134C64" w:rsidRDefault="00134C64" w:rsidP="00134C6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34C64">
              <w:rPr>
                <w:rFonts w:ascii="Arial" w:hAnsi="Arial" w:cs="Arial"/>
                <w:sz w:val="20"/>
                <w:szCs w:val="20"/>
              </w:rPr>
              <w:t xml:space="preserve">Additionally, Plaintiffs </w:t>
            </w:r>
            <w:r w:rsidR="00036F0B">
              <w:rPr>
                <w:rFonts w:ascii="Arial" w:hAnsi="Arial" w:cs="Arial"/>
                <w:sz w:val="20"/>
                <w:szCs w:val="20"/>
              </w:rPr>
              <w:t>sought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 to permanently enjoin the use of the 2021 Plan and ask</w:t>
            </w:r>
            <w:r w:rsidR="00EA5E9D">
              <w:rPr>
                <w:rFonts w:ascii="Arial" w:hAnsi="Arial" w:cs="Arial"/>
                <w:sz w:val="20"/>
                <w:szCs w:val="20"/>
              </w:rPr>
              <w:t>ed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 for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4C64">
              <w:rPr>
                <w:rFonts w:ascii="Arial" w:hAnsi="Arial" w:cs="Arial"/>
                <w:sz w:val="20"/>
                <w:szCs w:val="20"/>
              </w:rPr>
              <w:t>order to postpone the filing deadline for candidates to declare their intention to compete in 2022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primary elections until a new district map </w:t>
            </w:r>
            <w:r w:rsidR="00A511C7">
              <w:rPr>
                <w:rFonts w:ascii="Arial" w:hAnsi="Arial" w:cs="Arial"/>
                <w:sz w:val="20"/>
                <w:szCs w:val="20"/>
              </w:rPr>
              <w:t>was</w:t>
            </w:r>
            <w:r w:rsidRPr="00134C64">
              <w:rPr>
                <w:rFonts w:ascii="Arial" w:hAnsi="Arial" w:cs="Arial"/>
                <w:sz w:val="20"/>
                <w:szCs w:val="20"/>
              </w:rPr>
              <w:t xml:space="preserve"> prepared.</w:t>
            </w:r>
          </w:p>
          <w:p w14:paraId="11E7D2AB" w14:textId="77777777" w:rsidR="00165574" w:rsidRDefault="0064561F" w:rsidP="00A05E3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2/16/2022, t</w:t>
            </w:r>
            <w:r w:rsidRPr="0064561F">
              <w:rPr>
                <w:rFonts w:ascii="Arial" w:hAnsi="Arial" w:cs="Arial"/>
                <w:sz w:val="20"/>
                <w:szCs w:val="20"/>
              </w:rPr>
              <w:t xml:space="preserve">he Court heard argument </w:t>
            </w:r>
            <w:r w:rsidRPr="005B760B">
              <w:rPr>
                <w:rFonts w:ascii="Arial" w:hAnsi="Arial" w:cs="Arial"/>
                <w:sz w:val="20"/>
                <w:szCs w:val="20"/>
              </w:rPr>
              <w:t>and held the matter sub curi</w:t>
            </w:r>
            <w:r w:rsidR="005B760B">
              <w:rPr>
                <w:rFonts w:ascii="Arial" w:hAnsi="Arial" w:cs="Arial"/>
                <w:sz w:val="20"/>
                <w:szCs w:val="20"/>
              </w:rPr>
              <w:t>a; s</w:t>
            </w:r>
            <w:r w:rsidRPr="005B760B">
              <w:rPr>
                <w:rFonts w:ascii="Arial" w:hAnsi="Arial" w:cs="Arial"/>
                <w:sz w:val="20"/>
                <w:szCs w:val="20"/>
              </w:rPr>
              <w:t>imultaneously, the Court issued its Memorandum Opinion and</w:t>
            </w:r>
            <w:r w:rsidR="00A05E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E3D">
              <w:rPr>
                <w:rFonts w:ascii="Arial" w:hAnsi="Arial" w:cs="Arial"/>
                <w:sz w:val="20"/>
                <w:szCs w:val="20"/>
              </w:rPr>
              <w:t>Order denying the DCCC's Motion to Intervene.</w:t>
            </w:r>
          </w:p>
          <w:p w14:paraId="7E946AF7" w14:textId="77777777" w:rsidR="002F4828" w:rsidRDefault="00E341E6" w:rsidP="00C81CE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2/22/2022, the Court consolidated the </w:t>
            </w:r>
            <w:r w:rsidR="00056990">
              <w:rPr>
                <w:rFonts w:ascii="Arial" w:hAnsi="Arial" w:cs="Arial"/>
                <w:sz w:val="20"/>
                <w:szCs w:val="20"/>
              </w:rPr>
              <w:t>two cases.</w:t>
            </w:r>
          </w:p>
          <w:p w14:paraId="7B0C5AF6" w14:textId="77777777" w:rsidR="00A136DD" w:rsidRDefault="00A136DD" w:rsidP="00C81CE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court heard expert testimony from Sean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Dr. Thomas L.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Brunell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91FAC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John T. Willis</w:t>
            </w:r>
            <w:r w:rsidR="00200EB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C3E66">
              <w:rPr>
                <w:rFonts w:ascii="Arial" w:hAnsi="Arial" w:cs="Arial"/>
                <w:sz w:val="20"/>
                <w:szCs w:val="20"/>
              </w:rPr>
              <w:t xml:space="preserve">who claimed partisan gerrymandering, and </w:t>
            </w:r>
            <w:r w:rsidR="00200EB2">
              <w:rPr>
                <w:rFonts w:ascii="Arial" w:hAnsi="Arial" w:cs="Arial"/>
                <w:sz w:val="20"/>
                <w:szCs w:val="20"/>
              </w:rPr>
              <w:t>Dr. Allan J. Lichtman</w:t>
            </w:r>
            <w:r w:rsidR="009C3E66">
              <w:rPr>
                <w:rFonts w:ascii="Arial" w:hAnsi="Arial" w:cs="Arial"/>
                <w:sz w:val="20"/>
                <w:szCs w:val="20"/>
              </w:rPr>
              <w:t xml:space="preserve">, who </w:t>
            </w:r>
            <w:r w:rsidR="00145B7B">
              <w:rPr>
                <w:rFonts w:ascii="Arial" w:hAnsi="Arial" w:cs="Arial"/>
                <w:sz w:val="20"/>
                <w:szCs w:val="20"/>
              </w:rPr>
              <w:t>claimed no</w:t>
            </w:r>
            <w:r w:rsidR="009C3E66">
              <w:rPr>
                <w:rFonts w:ascii="Arial" w:hAnsi="Arial" w:cs="Arial"/>
                <w:sz w:val="20"/>
                <w:szCs w:val="20"/>
              </w:rPr>
              <w:t xml:space="preserve"> partisan gerrymandering.  </w:t>
            </w:r>
            <w:r w:rsidR="009C3E6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Id. </w:t>
            </w:r>
            <w:r w:rsidR="009C3E66">
              <w:rPr>
                <w:rFonts w:ascii="Arial" w:hAnsi="Arial" w:cs="Arial"/>
                <w:sz w:val="20"/>
                <w:szCs w:val="20"/>
              </w:rPr>
              <w:t>at 76–108.</w:t>
            </w:r>
          </w:p>
          <w:p w14:paraId="362455E1" w14:textId="499F2EF1" w:rsidR="00E12D7A" w:rsidRDefault="00E12D7A" w:rsidP="00E12D7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12D7A">
              <w:rPr>
                <w:rFonts w:ascii="Arial" w:hAnsi="Arial" w:cs="Arial"/>
                <w:sz w:val="20"/>
                <w:szCs w:val="20"/>
              </w:rPr>
              <w:t>he trial judge gave great weight to the testimony and evidence presented and discussed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2D7A">
              <w:rPr>
                <w:rFonts w:ascii="Arial" w:hAnsi="Arial" w:cs="Arial"/>
                <w:sz w:val="20"/>
                <w:szCs w:val="20"/>
              </w:rPr>
              <w:t xml:space="preserve">Sean </w:t>
            </w:r>
            <w:proofErr w:type="spellStart"/>
            <w:r w:rsidRPr="00E12D7A">
              <w:rPr>
                <w:rFonts w:ascii="Arial" w:hAnsi="Arial" w:cs="Arial"/>
                <w:sz w:val="20"/>
                <w:szCs w:val="20"/>
              </w:rPr>
              <w:t>Trende</w:t>
            </w:r>
            <w:proofErr w:type="spellEnd"/>
            <w:r w:rsidRPr="00E12D7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5D08804" w14:textId="77777777" w:rsidR="00E12D7A" w:rsidRDefault="00E12D7A" w:rsidP="00E12D7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E12D7A">
              <w:rPr>
                <w:rFonts w:ascii="Arial" w:hAnsi="Arial" w:cs="Arial"/>
                <w:sz w:val="20"/>
                <w:szCs w:val="20"/>
              </w:rPr>
              <w:t>His conclusions regarding extreme partisan gerrymandering in the 2021 Plan were undergirded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2D7A">
              <w:rPr>
                <w:rFonts w:ascii="Arial" w:hAnsi="Arial" w:cs="Arial"/>
                <w:sz w:val="20"/>
                <w:szCs w:val="20"/>
              </w:rPr>
              <w:t>empirical data that could be reliably tested and validly replicated.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FE4F6FF" w14:textId="7763FB34" w:rsidR="00E12D7A" w:rsidRDefault="001D3CF1" w:rsidP="001D3CF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D3CF1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Pr="001D3CF1">
              <w:rPr>
                <w:rFonts w:ascii="Arial" w:hAnsi="Arial" w:cs="Arial"/>
                <w:sz w:val="20"/>
                <w:szCs w:val="20"/>
              </w:rPr>
              <w:t>Brunell's</w:t>
            </w:r>
            <w:proofErr w:type="spellEnd"/>
            <w:r w:rsidRPr="001D3CF1">
              <w:rPr>
                <w:rFonts w:ascii="Arial" w:hAnsi="Arial" w:cs="Arial"/>
                <w:sz w:val="20"/>
                <w:szCs w:val="20"/>
              </w:rPr>
              <w:t xml:space="preserve"> testimony was much less valuable and helpful to the trial judge, because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3CF1">
              <w:rPr>
                <w:rFonts w:ascii="Arial" w:hAnsi="Arial" w:cs="Arial"/>
                <w:sz w:val="20"/>
                <w:szCs w:val="20"/>
              </w:rPr>
              <w:t>evaluate compactness, the efficiency gap, as presented, did not have the power that was portrayed in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3CF1">
              <w:rPr>
                <w:rFonts w:ascii="Arial" w:hAnsi="Arial" w:cs="Arial"/>
                <w:sz w:val="20"/>
                <w:szCs w:val="20"/>
              </w:rPr>
              <w:t>cases.</w:t>
            </w:r>
          </w:p>
          <w:p w14:paraId="07A95B7C" w14:textId="35A8F8B6" w:rsidR="001D3CF1" w:rsidRDefault="00EE4824" w:rsidP="00EE482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4824">
              <w:rPr>
                <w:rFonts w:ascii="Arial" w:hAnsi="Arial" w:cs="Arial"/>
                <w:sz w:val="20"/>
                <w:szCs w:val="20"/>
              </w:rPr>
              <w:t>The opinion of Mr. Willis, while of interest to gain a perspective as to what legislators considered in 2002, 2012,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4824">
              <w:rPr>
                <w:rFonts w:ascii="Arial" w:hAnsi="Arial" w:cs="Arial"/>
                <w:sz w:val="20"/>
                <w:szCs w:val="20"/>
              </w:rPr>
              <w:t>and possibly in 2021</w:t>
            </w:r>
            <w:r w:rsidR="00CF308E">
              <w:rPr>
                <w:rFonts w:ascii="Arial" w:hAnsi="Arial" w:cs="Arial"/>
                <w:sz w:val="20"/>
                <w:szCs w:val="20"/>
              </w:rPr>
              <w:t>,</w:t>
            </w:r>
            <w:r w:rsidRPr="00EE4824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EE4824">
              <w:rPr>
                <w:rFonts w:ascii="Arial" w:hAnsi="Arial" w:cs="Arial"/>
                <w:sz w:val="20"/>
                <w:szCs w:val="20"/>
              </w:rPr>
              <w:lastRenderedPageBreak/>
              <w:t xml:space="preserve">draw the various Congressional boundaries, </w:t>
            </w:r>
            <w:r w:rsidR="007E6C25">
              <w:rPr>
                <w:rFonts w:ascii="Arial" w:hAnsi="Arial" w:cs="Arial"/>
                <w:sz w:val="20"/>
                <w:szCs w:val="20"/>
              </w:rPr>
              <w:t>was</w:t>
            </w:r>
            <w:r>
              <w:rPr>
                <w:rFonts w:ascii="Arial" w:hAnsi="Arial" w:cs="Arial"/>
                <w:sz w:val="20"/>
                <w:szCs w:val="20"/>
              </w:rPr>
              <w:t xml:space="preserve"> not</w:t>
            </w:r>
            <w:r w:rsidRPr="00EE4824">
              <w:rPr>
                <w:rFonts w:ascii="Arial" w:hAnsi="Arial" w:cs="Arial"/>
                <w:sz w:val="20"/>
                <w:szCs w:val="20"/>
              </w:rPr>
              <w:t xml:space="preserve"> helpful in the determination of whether "constitutional guideposts" have been honored in the 2021 Plan.</w:t>
            </w:r>
          </w:p>
          <w:p w14:paraId="72F0A76C" w14:textId="20D9E024" w:rsidR="00A80CBB" w:rsidRPr="00EE4824" w:rsidRDefault="00F262CF" w:rsidP="00EE482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262CF">
              <w:rPr>
                <w:rFonts w:ascii="Arial" w:hAnsi="Arial" w:cs="Arial"/>
                <w:sz w:val="20"/>
                <w:szCs w:val="20"/>
              </w:rPr>
              <w:t>rial judge gave little weight to the testimony of Dr. Allan J. Lichtman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ED671F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0EF3D6D" w14:textId="184D3406" w:rsidR="00ED671F" w:rsidRPr="00F658A6" w:rsidRDefault="00F658A6" w:rsidP="00F658A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658A6">
              <w:rPr>
                <w:rFonts w:ascii="Arial" w:hAnsi="Arial" w:cs="Arial"/>
                <w:sz w:val="20"/>
                <w:szCs w:val="20"/>
              </w:rPr>
              <w:t>eclaratory judgment in favor of the Plaintiffs, declaring the 2021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58A6">
              <w:rPr>
                <w:rFonts w:ascii="Arial" w:hAnsi="Arial" w:cs="Arial"/>
                <w:sz w:val="20"/>
                <w:szCs w:val="20"/>
              </w:rPr>
              <w:t>unconstitutional, and permanently enjoining its operation, and giving the General Assembly an opportunity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58A6">
              <w:rPr>
                <w:rFonts w:ascii="Arial" w:hAnsi="Arial" w:cs="Arial"/>
                <w:sz w:val="20"/>
                <w:szCs w:val="20"/>
              </w:rPr>
              <w:t>develop a new Congressional Plan that is constitutional.</w:t>
            </w:r>
          </w:p>
          <w:p w14:paraId="26E195EC" w14:textId="7DE813F8" w:rsidR="00ED671F" w:rsidRPr="00CD4485" w:rsidRDefault="006B1C1F" w:rsidP="00ED671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B292F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(Note: Although an appeal was later filed by the Maryland Attorney General, the legislative leaders “opted not to pursue the appeal in favor of [a] redrawn map.”</w:t>
            </w:r>
            <w:r w:rsidR="00E245DB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 The opinion remains persuasive, but nonbinding</w:t>
            </w:r>
            <w:r w:rsidR="00BA7AB6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on future </w:t>
            </w:r>
            <w:r w:rsidR="00675CB7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MD </w:t>
            </w:r>
            <w:r w:rsidR="00BA7AB6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cases.</w:t>
            </w:r>
            <w:r w:rsidRPr="00BB292F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)</w:t>
            </w:r>
            <w:r w:rsidRPr="00BB292F">
              <w:rPr>
                <w:rStyle w:val="FootnoteReference"/>
                <w:rFonts w:ascii="Arial" w:hAnsi="Arial" w:cs="Arial"/>
                <w:iCs/>
                <w:sz w:val="20"/>
                <w:szCs w:val="20"/>
                <w:highlight w:val="yellow"/>
              </w:rPr>
              <w:footnoteReference w:id="2"/>
            </w:r>
          </w:p>
        </w:tc>
      </w:tr>
      <w:tr w:rsidR="00ED671F" w:rsidRPr="00D73B91" w14:paraId="0AA16A26" w14:textId="77777777" w:rsidTr="00344CE9">
        <w:trPr>
          <w:trHeight w:val="71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E46168A" w14:textId="3308B3F1" w:rsidR="00A7430D" w:rsidRDefault="00A7430D" w:rsidP="00A7430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8/6/2015, </w:t>
            </w:r>
            <w:r w:rsidRPr="00A7430D">
              <w:rPr>
                <w:rFonts w:ascii="Arial" w:hAnsi="Arial" w:cs="Arial"/>
                <w:sz w:val="20"/>
                <w:szCs w:val="20"/>
              </w:rPr>
              <w:t>Maryland Governor Larry Hogan signed an executive order which created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430D">
              <w:rPr>
                <w:rFonts w:ascii="Arial" w:hAnsi="Arial" w:cs="Arial"/>
                <w:sz w:val="20"/>
                <w:szCs w:val="20"/>
              </w:rPr>
              <w:t>Maryland Redistricting Refo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A7430D">
              <w:rPr>
                <w:rFonts w:ascii="Arial" w:hAnsi="Arial" w:cs="Arial"/>
                <w:sz w:val="20"/>
                <w:szCs w:val="20"/>
              </w:rPr>
              <w:t>m Commission.</w:t>
            </w:r>
          </w:p>
          <w:p w14:paraId="4C9FC27C" w14:textId="77777777" w:rsidR="006A0B60" w:rsidRDefault="006A0B60" w:rsidP="006A0B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0B60">
              <w:rPr>
                <w:rFonts w:ascii="Arial" w:hAnsi="Arial" w:cs="Arial"/>
                <w:sz w:val="20"/>
                <w:szCs w:val="20"/>
              </w:rPr>
              <w:t>After several months of soliciting input from citizens and legislators across the State, the Commission observed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>that Maryland's constitution and laws offer no criteria or guidelines for congressional redistricting, and that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 xml:space="preserve">Maryland Constitution is otherwise silent on congressional districting. </w:t>
            </w:r>
          </w:p>
          <w:p w14:paraId="0633C8B0" w14:textId="77777777" w:rsidR="006A0B60" w:rsidRDefault="006A0B60" w:rsidP="006A0B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0B60">
              <w:rPr>
                <w:rFonts w:ascii="Arial" w:hAnsi="Arial" w:cs="Arial"/>
                <w:sz w:val="20"/>
                <w:szCs w:val="20"/>
              </w:rPr>
              <w:t>The Commission recommended, among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>things, that districting criteria should include compactness, contiguity, congruence, substantially equal population,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 xml:space="preserve">and compliance with the Voting Rights Act and other applicable federal laws. </w:t>
            </w:r>
          </w:p>
          <w:p w14:paraId="6FEBFFD0" w14:textId="3DBC6E06" w:rsidR="00A7430D" w:rsidRDefault="006A0B60" w:rsidP="006A0B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0B60">
              <w:rPr>
                <w:rFonts w:ascii="Arial" w:hAnsi="Arial" w:cs="Arial"/>
                <w:sz w:val="20"/>
                <w:szCs w:val="20"/>
              </w:rPr>
              <w:t>The Commission also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>recommended the creation of an independent redistricting body, whose members would be selected by a panel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>officials drawn from independent branches of government such as the judiciary, charged with reapportioning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60">
              <w:rPr>
                <w:rFonts w:ascii="Arial" w:hAnsi="Arial" w:cs="Arial"/>
                <w:sz w:val="20"/>
                <w:szCs w:val="20"/>
              </w:rPr>
              <w:t>state's districts every ten years after the decennial census.</w:t>
            </w:r>
          </w:p>
          <w:p w14:paraId="00D5A95C" w14:textId="7A69E577" w:rsidR="006A0B60" w:rsidRDefault="007A1667" w:rsidP="007A166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A1667">
              <w:rPr>
                <w:rFonts w:ascii="Arial" w:hAnsi="Arial" w:cs="Arial"/>
                <w:sz w:val="20"/>
                <w:szCs w:val="20"/>
              </w:rPr>
              <w:t>During each regular session of the General Assembly between 2016 and 2020, Governor Hogan caused one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667">
              <w:rPr>
                <w:rFonts w:ascii="Arial" w:hAnsi="Arial" w:cs="Arial"/>
                <w:sz w:val="20"/>
                <w:szCs w:val="20"/>
              </w:rPr>
              <w:t>more legislative bills to be introduced that would have established a process by which State legislative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667">
              <w:rPr>
                <w:rFonts w:ascii="Arial" w:hAnsi="Arial" w:cs="Arial"/>
                <w:sz w:val="20"/>
                <w:szCs w:val="20"/>
              </w:rPr>
              <w:t>congressional maps were created by a</w:t>
            </w:r>
            <w:r w:rsidR="00C13297">
              <w:rPr>
                <w:rFonts w:ascii="Arial" w:hAnsi="Arial" w:cs="Arial"/>
                <w:sz w:val="20"/>
                <w:szCs w:val="20"/>
              </w:rPr>
              <w:t>n</w:t>
            </w:r>
            <w:r w:rsidRPr="007A1667">
              <w:rPr>
                <w:rFonts w:ascii="Arial" w:hAnsi="Arial" w:cs="Arial"/>
                <w:sz w:val="20"/>
                <w:szCs w:val="20"/>
              </w:rPr>
              <w:t xml:space="preserve"> independent and bipartisan commission,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667">
              <w:rPr>
                <w:rFonts w:ascii="Arial" w:hAnsi="Arial" w:cs="Arial"/>
                <w:sz w:val="20"/>
                <w:szCs w:val="20"/>
              </w:rPr>
              <w:t xml:space="preserve">ultimately by the Court of Appeals </w:t>
            </w:r>
            <w:proofErr w:type="gramStart"/>
            <w:r w:rsidRPr="007A1667">
              <w:rPr>
                <w:rFonts w:ascii="Arial" w:hAnsi="Arial" w:cs="Arial"/>
                <w:sz w:val="20"/>
                <w:szCs w:val="20"/>
              </w:rPr>
              <w:t>in the event that</w:t>
            </w:r>
            <w:proofErr w:type="gramEnd"/>
            <w:r w:rsidRPr="007A1667">
              <w:rPr>
                <w:rFonts w:ascii="Arial" w:hAnsi="Arial" w:cs="Arial"/>
                <w:sz w:val="20"/>
                <w:szCs w:val="20"/>
              </w:rPr>
              <w:t xml:space="preserve"> the commission-proposed maps were not approved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1667">
              <w:rPr>
                <w:rFonts w:ascii="Arial" w:hAnsi="Arial" w:cs="Arial"/>
                <w:sz w:val="20"/>
                <w:szCs w:val="20"/>
              </w:rPr>
              <w:t>General Assembly or were vetoed by the Governor.</w:t>
            </w:r>
          </w:p>
          <w:p w14:paraId="0D3494A8" w14:textId="68F2A5AB" w:rsidR="007A1667" w:rsidRPr="007A1667" w:rsidRDefault="007A1667" w:rsidP="007A166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7A1667">
              <w:rPr>
                <w:rFonts w:ascii="Arial" w:hAnsi="Arial" w:cs="Arial"/>
                <w:sz w:val="20"/>
                <w:szCs w:val="20"/>
              </w:rPr>
              <w:t>ne of these bills was voted out of committee.</w:t>
            </w:r>
          </w:p>
          <w:p w14:paraId="39DDAB61" w14:textId="1E84232C" w:rsidR="004A41E6" w:rsidRDefault="004A41E6" w:rsidP="004A41E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A41E6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1/12/</w:t>
            </w:r>
            <w:r w:rsidRPr="004A41E6">
              <w:rPr>
                <w:rFonts w:ascii="Arial" w:hAnsi="Arial" w:cs="Arial"/>
                <w:sz w:val="20"/>
                <w:szCs w:val="20"/>
              </w:rPr>
              <w:t>2021, Governor Hogan issued an executive order establishing the Maryland Citizen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4A41E6">
              <w:rPr>
                <w:rFonts w:ascii="Arial" w:hAnsi="Arial" w:cs="Arial"/>
                <w:sz w:val="20"/>
                <w:szCs w:val="20"/>
              </w:rPr>
              <w:t>Redistricting Commission (MCRC) for the purposes of redrawing the state's congressional and legislative districting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41E6">
              <w:rPr>
                <w:rFonts w:ascii="Arial" w:hAnsi="Arial" w:cs="Arial"/>
                <w:sz w:val="20"/>
                <w:szCs w:val="20"/>
              </w:rPr>
              <w:t xml:space="preserve">maps based on newly released census data. </w:t>
            </w:r>
          </w:p>
          <w:p w14:paraId="485E202A" w14:textId="77777777" w:rsidR="00ED671F" w:rsidRDefault="004A41E6" w:rsidP="004A41E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A41E6">
              <w:rPr>
                <w:rFonts w:ascii="Arial" w:hAnsi="Arial" w:cs="Arial"/>
                <w:sz w:val="20"/>
                <w:szCs w:val="20"/>
              </w:rPr>
              <w:t>The MCRC was comprised of nine Maryland registered voter citizens,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41E6">
              <w:rPr>
                <w:rFonts w:ascii="Arial" w:hAnsi="Arial" w:cs="Arial"/>
                <w:sz w:val="20"/>
                <w:szCs w:val="20"/>
              </w:rPr>
              <w:t>three Republicans, three Democrats, and three registered with neither party.</w:t>
            </w:r>
          </w:p>
          <w:p w14:paraId="16262EA5" w14:textId="77777777" w:rsidR="004A41E6" w:rsidRDefault="00D611CD" w:rsidP="00513E4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</w:t>
            </w:r>
            <w:r w:rsidRPr="00D611CD">
              <w:rPr>
                <w:rFonts w:ascii="Arial" w:hAnsi="Arial" w:cs="Arial"/>
                <w:sz w:val="20"/>
                <w:szCs w:val="20"/>
              </w:rPr>
              <w:t xml:space="preserve">r receiving public input and deliberating, on </w:t>
            </w:r>
            <w:r>
              <w:rPr>
                <w:rFonts w:ascii="Arial" w:hAnsi="Arial" w:cs="Arial"/>
                <w:sz w:val="20"/>
                <w:szCs w:val="20"/>
              </w:rPr>
              <w:t>11/5/</w:t>
            </w:r>
            <w:r w:rsidRPr="00D611CD">
              <w:rPr>
                <w:rFonts w:ascii="Arial" w:hAnsi="Arial" w:cs="Arial"/>
                <w:sz w:val="20"/>
                <w:szCs w:val="20"/>
              </w:rPr>
              <w:t>2021, the MCRC recommended a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11CD">
              <w:rPr>
                <w:rFonts w:ascii="Arial" w:hAnsi="Arial" w:cs="Arial"/>
                <w:sz w:val="20"/>
                <w:szCs w:val="20"/>
              </w:rPr>
              <w:t>redistricting map to Governor Hogan</w:t>
            </w:r>
            <w:r>
              <w:rPr>
                <w:rFonts w:ascii="Arial" w:hAnsi="Arial" w:cs="Arial"/>
                <w:sz w:val="20"/>
                <w:szCs w:val="20"/>
              </w:rPr>
              <w:t xml:space="preserve">, who </w:t>
            </w:r>
            <w:r w:rsidRPr="00D611CD">
              <w:rPr>
                <w:rFonts w:ascii="Arial" w:hAnsi="Arial" w:cs="Arial"/>
                <w:sz w:val="20"/>
                <w:szCs w:val="20"/>
              </w:rPr>
              <w:t>accepted the MCRC's proposed final map and issued an order</w:t>
            </w:r>
            <w:r w:rsidR="005B50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5075">
              <w:rPr>
                <w:rFonts w:ascii="Arial" w:hAnsi="Arial" w:cs="Arial"/>
                <w:sz w:val="20"/>
                <w:szCs w:val="20"/>
              </w:rPr>
              <w:lastRenderedPageBreak/>
              <w:t xml:space="preserve">transmitting the maps to the Maryland General Assembly for adoption at a special session on </w:t>
            </w:r>
            <w:r w:rsidR="005B5075">
              <w:rPr>
                <w:rFonts w:ascii="Arial" w:hAnsi="Arial" w:cs="Arial"/>
                <w:sz w:val="20"/>
                <w:szCs w:val="20"/>
              </w:rPr>
              <w:t>12/6/</w:t>
            </w:r>
            <w:r w:rsidRPr="005B5075">
              <w:rPr>
                <w:rFonts w:ascii="Arial" w:hAnsi="Arial" w:cs="Arial"/>
                <w:sz w:val="20"/>
                <w:szCs w:val="20"/>
              </w:rPr>
              <w:t>2021.</w:t>
            </w:r>
          </w:p>
          <w:p w14:paraId="542BFD60" w14:textId="77777777" w:rsidR="00855906" w:rsidRDefault="00855906" w:rsidP="0085590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55906">
              <w:rPr>
                <w:rFonts w:ascii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hAnsi="Arial" w:cs="Arial"/>
                <w:sz w:val="20"/>
                <w:szCs w:val="20"/>
              </w:rPr>
              <w:t>7/</w:t>
            </w:r>
            <w:r w:rsidRPr="00855906">
              <w:rPr>
                <w:rFonts w:ascii="Arial" w:hAnsi="Arial" w:cs="Arial"/>
                <w:sz w:val="20"/>
                <w:szCs w:val="20"/>
              </w:rPr>
              <w:t>2021, following the 2020 decennial census, the General Assembly's Legislative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5906">
              <w:rPr>
                <w:rFonts w:ascii="Arial" w:hAnsi="Arial" w:cs="Arial"/>
                <w:sz w:val="20"/>
                <w:szCs w:val="20"/>
              </w:rPr>
              <w:t>Redistricting Advisory Commission (the "LRAC")</w:t>
            </w:r>
            <w:r>
              <w:rPr>
                <w:rFonts w:ascii="Arial" w:hAnsi="Arial" w:cs="Arial"/>
                <w:sz w:val="20"/>
                <w:szCs w:val="20"/>
              </w:rPr>
              <w:t xml:space="preserve"> was formed.</w:t>
            </w:r>
            <w:r w:rsidRPr="008559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D61340" w14:textId="62AD4F05" w:rsidR="005B5075" w:rsidRDefault="00855906" w:rsidP="0085590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55906">
              <w:rPr>
                <w:rFonts w:ascii="Arial" w:hAnsi="Arial" w:cs="Arial"/>
                <w:sz w:val="20"/>
                <w:szCs w:val="20"/>
              </w:rPr>
              <w:t>The LRAC was charged with redrawing Maryland's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5906">
              <w:rPr>
                <w:rFonts w:ascii="Arial" w:hAnsi="Arial" w:cs="Arial"/>
                <w:sz w:val="20"/>
                <w:szCs w:val="20"/>
              </w:rPr>
              <w:t>and state legislative maps.</w:t>
            </w:r>
          </w:p>
          <w:p w14:paraId="2DBD6BAD" w14:textId="0CA34684" w:rsidR="00C81591" w:rsidRDefault="00332874" w:rsidP="0033287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32874">
              <w:rPr>
                <w:rFonts w:ascii="Arial" w:hAnsi="Arial" w:cs="Arial"/>
                <w:sz w:val="20"/>
                <w:szCs w:val="20"/>
              </w:rPr>
              <w:t>At the conclusion of public hearings, the Department of Legislative Services ("DLS") was directed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2874">
              <w:rPr>
                <w:rFonts w:ascii="Arial" w:hAnsi="Arial" w:cs="Arial"/>
                <w:sz w:val="20"/>
                <w:szCs w:val="20"/>
              </w:rPr>
              <w:t>produce maps for the LRAC's consideration</w:t>
            </w:r>
            <w:r>
              <w:rPr>
                <w:rFonts w:ascii="Arial" w:hAnsi="Arial" w:cs="Arial"/>
                <w:sz w:val="20"/>
                <w:szCs w:val="20"/>
              </w:rPr>
              <w:t>; o</w:t>
            </w:r>
            <w:r w:rsidRPr="00332874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11/9/</w:t>
            </w:r>
            <w:r w:rsidRPr="00332874">
              <w:rPr>
                <w:rFonts w:ascii="Arial" w:hAnsi="Arial" w:cs="Arial"/>
                <w:sz w:val="20"/>
                <w:szCs w:val="20"/>
              </w:rPr>
              <w:t>2021, the LRAC issued four maps for public review and comment.</w:t>
            </w:r>
          </w:p>
          <w:p w14:paraId="05CB158F" w14:textId="77777777" w:rsidR="0033358A" w:rsidRDefault="0033358A" w:rsidP="007C7D8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3358A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11/23/</w:t>
            </w:r>
            <w:r w:rsidRPr="0033358A">
              <w:rPr>
                <w:rFonts w:ascii="Arial" w:hAnsi="Arial" w:cs="Arial"/>
                <w:sz w:val="20"/>
                <w:szCs w:val="20"/>
              </w:rPr>
              <w:t>2021, the LRAC chose a final map to submit to the General Assembly for approval (the "2021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58A">
              <w:rPr>
                <w:rFonts w:ascii="Arial" w:hAnsi="Arial" w:cs="Arial"/>
                <w:sz w:val="20"/>
                <w:szCs w:val="20"/>
              </w:rPr>
              <w:t xml:space="preserve">Plan"). </w:t>
            </w:r>
          </w:p>
          <w:p w14:paraId="39BB868F" w14:textId="5B06B6F6" w:rsidR="00DD4D5B" w:rsidRDefault="0033358A" w:rsidP="007C7D8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3358A">
              <w:rPr>
                <w:rFonts w:ascii="Arial" w:hAnsi="Arial" w:cs="Arial"/>
                <w:sz w:val="20"/>
                <w:szCs w:val="20"/>
              </w:rPr>
              <w:t>Neither Republican member of the LRAC supported the 2021 Plan.</w:t>
            </w:r>
          </w:p>
          <w:p w14:paraId="1136BEA6" w14:textId="77777777" w:rsidR="00C56A0C" w:rsidRDefault="007C7D86" w:rsidP="00C56A0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12/7/</w:t>
            </w:r>
            <w:r w:rsidRPr="007C7D86">
              <w:rPr>
                <w:rFonts w:ascii="Arial" w:hAnsi="Arial" w:cs="Arial"/>
                <w:sz w:val="20"/>
                <w:szCs w:val="20"/>
              </w:rPr>
              <w:t>2021, the Maryland House of Delegates voted to reject an amendment that would have</w:t>
            </w:r>
            <w:r w:rsidR="00C56A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6A0C">
              <w:rPr>
                <w:rFonts w:ascii="Arial" w:hAnsi="Arial" w:cs="Arial"/>
                <w:sz w:val="20"/>
                <w:szCs w:val="20"/>
              </w:rPr>
              <w:t xml:space="preserve">substituted the MCRC's map for the 2021 Plan. </w:t>
            </w:r>
          </w:p>
          <w:p w14:paraId="2BA5D50F" w14:textId="5C8F03E1" w:rsidR="0033358A" w:rsidRDefault="007C7D86" w:rsidP="00C56A0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6A0C">
              <w:rPr>
                <w:rFonts w:ascii="Arial" w:hAnsi="Arial" w:cs="Arial"/>
                <w:sz w:val="20"/>
                <w:szCs w:val="20"/>
              </w:rPr>
              <w:t xml:space="preserve">Two Democrats joined </w:t>
            </w:r>
            <w:proofErr w:type="gramStart"/>
            <w:r w:rsidRPr="00C56A0C"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 w:rsidRPr="00C56A0C">
              <w:rPr>
                <w:rFonts w:ascii="Arial" w:hAnsi="Arial" w:cs="Arial"/>
                <w:sz w:val="20"/>
                <w:szCs w:val="20"/>
              </w:rPr>
              <w:t xml:space="preserve"> the Republicans in voting to substitute</w:t>
            </w:r>
            <w:r w:rsidR="007E6E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6A0C">
              <w:rPr>
                <w:rFonts w:ascii="Arial" w:hAnsi="Arial" w:cs="Arial"/>
                <w:sz w:val="20"/>
                <w:szCs w:val="20"/>
              </w:rPr>
              <w:t>the MCRC's map for the Plan.</w:t>
            </w:r>
          </w:p>
          <w:p w14:paraId="3E4463B5" w14:textId="141E569E" w:rsidR="00C56A0C" w:rsidRDefault="00C56A0C" w:rsidP="00C56A0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6A0C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8F661A">
              <w:rPr>
                <w:rFonts w:ascii="Arial" w:hAnsi="Arial" w:cs="Arial"/>
                <w:sz w:val="20"/>
                <w:szCs w:val="20"/>
              </w:rPr>
              <w:t>12/8/</w:t>
            </w:r>
            <w:r w:rsidRPr="00C56A0C">
              <w:rPr>
                <w:rFonts w:ascii="Arial" w:hAnsi="Arial" w:cs="Arial"/>
                <w:sz w:val="20"/>
                <w:szCs w:val="20"/>
              </w:rPr>
              <w:t>2021, the General Assembly enacted the 2021 Plan on a strict party-line vote</w:t>
            </w:r>
            <w:r w:rsidR="008F661A">
              <w:rPr>
                <w:rFonts w:ascii="Arial" w:hAnsi="Arial" w:cs="Arial"/>
                <w:sz w:val="20"/>
                <w:szCs w:val="20"/>
              </w:rPr>
              <w:t>, which Governor Hogan vetoed on 12/9/2021.</w:t>
            </w:r>
          </w:p>
          <w:p w14:paraId="6AEDA564" w14:textId="334DF82F" w:rsidR="00273E95" w:rsidRPr="00EF48ED" w:rsidRDefault="00273E95" w:rsidP="00EF48E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73E95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12/9/</w:t>
            </w:r>
            <w:r w:rsidRPr="00273E95">
              <w:rPr>
                <w:rFonts w:ascii="Arial" w:hAnsi="Arial" w:cs="Arial"/>
                <w:sz w:val="20"/>
                <w:szCs w:val="20"/>
              </w:rPr>
              <w:t>2021, the General Assembly overrode Governor Hogan's veto, thus adopting the 2021 Plan</w:t>
            </w:r>
            <w:r w:rsidR="00EF48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48ED">
              <w:rPr>
                <w:rFonts w:ascii="Arial" w:hAnsi="Arial" w:cs="Arial"/>
                <w:sz w:val="20"/>
                <w:szCs w:val="20"/>
              </w:rPr>
              <w:t>into law.</w:t>
            </w:r>
          </w:p>
          <w:p w14:paraId="6A639D96" w14:textId="15754B4A" w:rsidR="00C81591" w:rsidRPr="00855906" w:rsidRDefault="00C81591" w:rsidP="00C815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21D9C9A3" w14:textId="77777777" w:rsidR="00ED671F" w:rsidRDefault="00195291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 w:rsidRPr="004D2BCC">
              <w:rPr>
                <w:rFonts w:ascii="Arial" w:hAnsi="Arial" w:cs="Arial"/>
                <w:sz w:val="20"/>
                <w:szCs w:val="20"/>
              </w:rPr>
              <w:t>the 2021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Congressional Plan in Maryland </w:t>
            </w:r>
            <w:r>
              <w:rPr>
                <w:rFonts w:ascii="Arial" w:hAnsi="Arial" w:cs="Arial"/>
                <w:sz w:val="20"/>
                <w:szCs w:val="20"/>
              </w:rPr>
              <w:t>was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 an "outlier," an extreme gerrymander that subordinate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 constitutional criteria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BCC">
              <w:rPr>
                <w:rFonts w:ascii="Arial" w:hAnsi="Arial" w:cs="Arial"/>
                <w:sz w:val="20"/>
                <w:szCs w:val="20"/>
              </w:rPr>
              <w:t>political considerations.</w:t>
            </w:r>
          </w:p>
          <w:p w14:paraId="752E9030" w14:textId="0BAA5DB6" w:rsidR="00195291" w:rsidRPr="008D467C" w:rsidRDefault="00195291" w:rsidP="001952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36271834" w14:textId="77777777" w:rsidTr="002F2819">
        <w:trPr>
          <w:trHeight w:val="71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D525B9B" w14:textId="34FD007F" w:rsidR="00CE204D" w:rsidRPr="00CE204D" w:rsidRDefault="00CE204D" w:rsidP="00CE204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M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d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. C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onst.</w:t>
            </w:r>
            <w:r w:rsidRPr="00CE204D">
              <w:rPr>
                <w:rFonts w:ascii="Arial" w:hAnsi="Arial" w:cs="Arial"/>
                <w:sz w:val="20"/>
                <w:szCs w:val="20"/>
              </w:rPr>
              <w:t>, art. III, § 4</w:t>
            </w:r>
          </w:p>
          <w:p w14:paraId="1D699BBF" w14:textId="6E1FD223" w:rsidR="00ED671F" w:rsidRDefault="00CE204D" w:rsidP="00CE204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E204D">
              <w:rPr>
                <w:rFonts w:ascii="Arial" w:hAnsi="Arial" w:cs="Arial"/>
                <w:sz w:val="20"/>
                <w:szCs w:val="20"/>
              </w:rPr>
              <w:t>Each legislative district shall consist of adjoining territory, be compact in form, and of substantially equa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CE204D">
              <w:rPr>
                <w:rFonts w:ascii="Arial" w:hAnsi="Arial" w:cs="Arial"/>
                <w:sz w:val="20"/>
                <w:szCs w:val="20"/>
              </w:rPr>
              <w:t>population. Due regard shall be given to natural boundaries and the boundaries of political subdivisions</w:t>
            </w:r>
            <w:r w:rsidR="00B0003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D22F36" w14:textId="21D48899" w:rsidR="00CE204D" w:rsidRDefault="00CE204D" w:rsidP="00CE204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M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d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. C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onst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. D</w:t>
            </w:r>
            <w:r w:rsidR="006E36CF" w:rsidRPr="00AA168D">
              <w:rPr>
                <w:rFonts w:ascii="Arial" w:hAnsi="Arial" w:cs="Arial"/>
                <w:smallCaps/>
                <w:sz w:val="20"/>
                <w:szCs w:val="20"/>
              </w:rPr>
              <w:t>ecl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 xml:space="preserve">. </w:t>
            </w:r>
            <w:r w:rsidR="006E36CF" w:rsidRPr="00AA168D">
              <w:rPr>
                <w:rFonts w:ascii="Arial" w:hAnsi="Arial" w:cs="Arial"/>
                <w:smallCaps/>
                <w:sz w:val="20"/>
                <w:szCs w:val="20"/>
              </w:rPr>
              <w:t>of</w:t>
            </w: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 xml:space="preserve"> </w:t>
            </w:r>
            <w:proofErr w:type="spellStart"/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R</w:t>
            </w:r>
            <w:r w:rsidR="006E36CF" w:rsidRPr="00AA168D">
              <w:rPr>
                <w:rFonts w:ascii="Arial" w:hAnsi="Arial" w:cs="Arial"/>
                <w:smallCaps/>
                <w:sz w:val="20"/>
                <w:szCs w:val="20"/>
              </w:rPr>
              <w:t>ts</w:t>
            </w:r>
            <w:proofErr w:type="spellEnd"/>
            <w:r w:rsidRPr="00CE204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168D">
              <w:rPr>
                <w:rFonts w:ascii="Arial" w:hAnsi="Arial" w:cs="Arial"/>
                <w:sz w:val="20"/>
                <w:szCs w:val="20"/>
              </w:rPr>
              <w:t>art</w:t>
            </w:r>
            <w:r w:rsidRPr="00CE204D">
              <w:rPr>
                <w:rFonts w:ascii="Arial" w:hAnsi="Arial" w:cs="Arial"/>
                <w:sz w:val="20"/>
                <w:szCs w:val="20"/>
              </w:rPr>
              <w:t>. 7</w:t>
            </w:r>
          </w:p>
          <w:p w14:paraId="31B36638" w14:textId="77777777" w:rsidR="00CE204D" w:rsidRDefault="00CE204D" w:rsidP="00B0003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E204D">
              <w:rPr>
                <w:rFonts w:ascii="Arial" w:hAnsi="Arial" w:cs="Arial"/>
                <w:sz w:val="20"/>
                <w:szCs w:val="20"/>
              </w:rPr>
              <w:t>That the right of the People to participate in the Legislature is the best security of liberty and the foundation of</w:t>
            </w:r>
            <w:r w:rsidR="00B000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0031">
              <w:rPr>
                <w:rFonts w:ascii="Arial" w:hAnsi="Arial" w:cs="Arial"/>
                <w:sz w:val="20"/>
                <w:szCs w:val="20"/>
              </w:rPr>
              <w:t>all free Government; for this purpose, elections ought to be free and frequent; and every citizen having the</w:t>
            </w:r>
            <w:r w:rsidR="00B000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0031">
              <w:rPr>
                <w:rFonts w:ascii="Arial" w:hAnsi="Arial" w:cs="Arial"/>
                <w:sz w:val="20"/>
                <w:szCs w:val="20"/>
              </w:rPr>
              <w:t>qualifications prescribed by the Constitution, ought to have the right of suffrage.</w:t>
            </w:r>
          </w:p>
          <w:p w14:paraId="30A6361D" w14:textId="380CF682" w:rsidR="00C824A1" w:rsidRDefault="00C824A1" w:rsidP="00C824A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 xml:space="preserve">Md. Const. Decl. of </w:t>
            </w:r>
            <w:proofErr w:type="spellStart"/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Rts</w:t>
            </w:r>
            <w:proofErr w:type="spellEnd"/>
            <w:r w:rsidRPr="00CE204D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art</w:t>
            </w:r>
            <w:r w:rsidRPr="00CE204D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6459A786" w14:textId="2E3B542D" w:rsidR="00C824A1" w:rsidRDefault="00F63FF9" w:rsidP="00F63FF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3FF9">
              <w:rPr>
                <w:rFonts w:ascii="Arial" w:hAnsi="Arial" w:cs="Arial"/>
                <w:sz w:val="20"/>
                <w:szCs w:val="20"/>
              </w:rPr>
              <w:t xml:space="preserve">That no man ought to be taken or imprisoned or disseized of his freehold, </w:t>
            </w:r>
            <w:proofErr w:type="gramStart"/>
            <w:r w:rsidRPr="00F63FF9">
              <w:rPr>
                <w:rFonts w:ascii="Arial" w:hAnsi="Arial" w:cs="Arial"/>
                <w:sz w:val="20"/>
                <w:szCs w:val="20"/>
              </w:rPr>
              <w:t>liberties</w:t>
            </w:r>
            <w:proofErr w:type="gramEnd"/>
            <w:r w:rsidRPr="00F63FF9">
              <w:rPr>
                <w:rFonts w:ascii="Arial" w:hAnsi="Arial" w:cs="Arial"/>
                <w:sz w:val="20"/>
                <w:szCs w:val="20"/>
              </w:rPr>
              <w:t xml:space="preserve"> or privileges, or outlawed,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3FF9">
              <w:rPr>
                <w:rFonts w:ascii="Arial" w:hAnsi="Arial" w:cs="Arial"/>
                <w:sz w:val="20"/>
                <w:szCs w:val="20"/>
              </w:rPr>
              <w:t>exiled, or, in any manner, destroyed, or deprived of his life, liberty or property, but by the judgment of his peers,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3FF9">
              <w:rPr>
                <w:rFonts w:ascii="Arial" w:hAnsi="Arial" w:cs="Arial"/>
                <w:sz w:val="20"/>
                <w:szCs w:val="20"/>
              </w:rPr>
              <w:t>or by the Law of the land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19003D" w14:textId="4FA9D135" w:rsidR="00025E56" w:rsidRDefault="00025E56" w:rsidP="00025E5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5E56">
              <w:rPr>
                <w:rFonts w:ascii="Arial" w:hAnsi="Arial" w:cs="Arial"/>
                <w:smallCaps/>
                <w:sz w:val="20"/>
                <w:szCs w:val="20"/>
              </w:rPr>
              <w:t xml:space="preserve">Md. Const. Decl. of </w:t>
            </w:r>
            <w:proofErr w:type="spellStart"/>
            <w:r w:rsidRPr="00025E56">
              <w:rPr>
                <w:rFonts w:ascii="Arial" w:hAnsi="Arial" w:cs="Arial"/>
                <w:smallCaps/>
                <w:sz w:val="20"/>
                <w:szCs w:val="20"/>
              </w:rPr>
              <w:t>Rts</w:t>
            </w:r>
            <w:proofErr w:type="spellEnd"/>
            <w:r w:rsidRPr="00025E56">
              <w:rPr>
                <w:rFonts w:ascii="Arial" w:hAnsi="Arial" w:cs="Arial"/>
                <w:sz w:val="20"/>
                <w:szCs w:val="20"/>
              </w:rPr>
              <w:t xml:space="preserve">. art. 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  <w:p w14:paraId="40CBC881" w14:textId="698D30E7" w:rsidR="00025E56" w:rsidRDefault="00F21489" w:rsidP="00F2148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21489">
              <w:rPr>
                <w:rFonts w:ascii="Arial" w:hAnsi="Arial" w:cs="Arial"/>
                <w:sz w:val="20"/>
                <w:szCs w:val="20"/>
              </w:rPr>
              <w:t>That the liberty of the press ought to be inviolably preserved; that every citizen of the State ought to be allowed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1489">
              <w:rPr>
                <w:rFonts w:ascii="Arial" w:hAnsi="Arial" w:cs="Arial"/>
                <w:sz w:val="20"/>
                <w:szCs w:val="20"/>
              </w:rPr>
              <w:t xml:space="preserve">to speak, </w:t>
            </w:r>
            <w:proofErr w:type="gramStart"/>
            <w:r w:rsidRPr="00F21489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Pr="00F21489">
              <w:rPr>
                <w:rFonts w:ascii="Arial" w:hAnsi="Arial" w:cs="Arial"/>
                <w:sz w:val="20"/>
                <w:szCs w:val="20"/>
              </w:rPr>
              <w:t xml:space="preserve"> and publish his sentiments on all subjects, being responsible for the abuse of that privilege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1A0414" w14:textId="0B77D73C" w:rsidR="007306C7" w:rsidRPr="00CE204D" w:rsidRDefault="007306C7" w:rsidP="007306C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168D">
              <w:rPr>
                <w:rFonts w:ascii="Arial" w:hAnsi="Arial" w:cs="Arial"/>
                <w:smallCaps/>
                <w:sz w:val="20"/>
                <w:szCs w:val="20"/>
              </w:rPr>
              <w:t>Md. Const.</w:t>
            </w:r>
            <w:r w:rsidRPr="00CE204D">
              <w:rPr>
                <w:rFonts w:ascii="Arial" w:hAnsi="Arial" w:cs="Arial"/>
                <w:sz w:val="20"/>
                <w:szCs w:val="20"/>
              </w:rPr>
              <w:t xml:space="preserve">, art. I, §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689A00B5" w14:textId="32D15512" w:rsidR="007306C7" w:rsidRDefault="00DA5943" w:rsidP="007306C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A5943">
              <w:rPr>
                <w:rFonts w:ascii="Arial" w:hAnsi="Arial" w:cs="Arial"/>
                <w:sz w:val="20"/>
                <w:szCs w:val="20"/>
              </w:rPr>
              <w:t>The General Assembly shall pass Laws necessary for the preservation of the purity of Elections.</w:t>
            </w:r>
          </w:p>
          <w:p w14:paraId="23B9752C" w14:textId="335DB93C" w:rsidR="001C6C01" w:rsidRDefault="001C6C01" w:rsidP="001C6C0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MD’s Motion to Dismiss Standard of Review</w:t>
            </w:r>
          </w:p>
          <w:p w14:paraId="2D980A8A" w14:textId="2F98DAB7" w:rsidR="001C6C01" w:rsidRDefault="0001285A" w:rsidP="001C6C0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1285A">
              <w:rPr>
                <w:rFonts w:ascii="Arial" w:hAnsi="Arial" w:cs="Arial"/>
                <w:sz w:val="20"/>
                <w:szCs w:val="20"/>
              </w:rPr>
              <w:t>"Dismissal is proper only if the facts alleged fail to state a cause of action."</w:t>
            </w:r>
          </w:p>
          <w:p w14:paraId="160B7ADF" w14:textId="2834E075" w:rsidR="0001285A" w:rsidRPr="0001285A" w:rsidRDefault="0001285A" w:rsidP="0001285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1285A">
              <w:rPr>
                <w:rFonts w:ascii="Arial" w:hAnsi="Arial" w:cs="Arial"/>
                <w:sz w:val="20"/>
                <w:szCs w:val="20"/>
              </w:rPr>
              <w:t>Under Maryland Rule 2-303(b), a complaint must state those facts "necessary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285A">
              <w:rPr>
                <w:rFonts w:ascii="Arial" w:hAnsi="Arial" w:cs="Arial"/>
                <w:sz w:val="20"/>
                <w:szCs w:val="20"/>
              </w:rPr>
              <w:t>show the pleader's entitlement to relief."</w:t>
            </w:r>
          </w:p>
          <w:p w14:paraId="6FF57219" w14:textId="518335CA" w:rsidR="006B5C2F" w:rsidRPr="00B00031" w:rsidRDefault="006B5C2F" w:rsidP="00C824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47D26CFD" w14:textId="749D35CA" w:rsidR="00ED671F" w:rsidRPr="002E0856" w:rsidRDefault="004D2BCC" w:rsidP="004D2BC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3C70AD">
              <w:rPr>
                <w:rFonts w:ascii="Arial" w:hAnsi="Arial" w:cs="Arial"/>
                <w:sz w:val="20"/>
                <w:szCs w:val="20"/>
              </w:rPr>
              <w:t>he t</w:t>
            </w:r>
            <w:r>
              <w:rPr>
                <w:rFonts w:ascii="Arial" w:hAnsi="Arial" w:cs="Arial"/>
                <w:sz w:val="20"/>
                <w:szCs w:val="20"/>
              </w:rPr>
              <w:t xml:space="preserve">rial court held </w:t>
            </w:r>
            <w:r w:rsidRPr="004D2BCC">
              <w:rPr>
                <w:rFonts w:ascii="Arial" w:hAnsi="Arial" w:cs="Arial"/>
                <w:sz w:val="20"/>
                <w:szCs w:val="20"/>
              </w:rPr>
              <w:t>that the 2021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Congressional Plan in Maryland </w:t>
            </w:r>
            <w:r w:rsidR="00952711">
              <w:rPr>
                <w:rFonts w:ascii="Arial" w:hAnsi="Arial" w:cs="Arial"/>
                <w:sz w:val="20"/>
                <w:szCs w:val="20"/>
              </w:rPr>
              <w:t>wa</w:t>
            </w:r>
            <w:r w:rsidRPr="004D2BCC">
              <w:rPr>
                <w:rFonts w:ascii="Arial" w:hAnsi="Arial" w:cs="Arial"/>
                <w:sz w:val="20"/>
                <w:szCs w:val="20"/>
              </w:rPr>
              <w:t>s an "outlier," an extreme gerrymander that subordinate</w:t>
            </w:r>
            <w:r w:rsidR="006E0EA8">
              <w:rPr>
                <w:rFonts w:ascii="Arial" w:hAnsi="Arial" w:cs="Arial"/>
                <w:sz w:val="20"/>
                <w:szCs w:val="20"/>
              </w:rPr>
              <w:t>d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 constitutional criteria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BCC">
              <w:rPr>
                <w:rFonts w:ascii="Arial" w:hAnsi="Arial" w:cs="Arial"/>
                <w:sz w:val="20"/>
                <w:szCs w:val="20"/>
              </w:rPr>
              <w:t xml:space="preserve">political considerations. </w:t>
            </w:r>
          </w:p>
        </w:tc>
      </w:tr>
      <w:tr w:rsidR="00ED671F" w:rsidRPr="008D467C" w14:paraId="5135565A" w14:textId="77777777" w:rsidTr="00F44F23">
        <w:trPr>
          <w:trHeight w:val="630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5844C16" w14:textId="051A5881" w:rsidR="00ED671F" w:rsidRPr="00183CD7" w:rsidRDefault="00AB01B9" w:rsidP="00183CD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there</w:t>
            </w:r>
            <w:r w:rsidR="00EC6E19" w:rsidRPr="00EC6E19">
              <w:rPr>
                <w:rFonts w:ascii="Arial" w:hAnsi="Arial" w:cs="Arial"/>
                <w:sz w:val="20"/>
                <w:szCs w:val="20"/>
              </w:rPr>
              <w:t xml:space="preserve"> are no provisions in the Maryland Constitution explicitly addressing Congressional districting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CD7" w:rsidRPr="00183CD7">
              <w:rPr>
                <w:rFonts w:ascii="Arial" w:hAnsi="Arial" w:cs="Arial"/>
                <w:sz w:val="20"/>
                <w:szCs w:val="20"/>
              </w:rPr>
              <w:t>Article III, Section 4, of the Maryland Constitution does</w:t>
            </w:r>
            <w:r w:rsidR="00183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CD7" w:rsidRPr="00183CD7">
              <w:rPr>
                <w:rFonts w:ascii="Arial" w:hAnsi="Arial" w:cs="Arial"/>
                <w:sz w:val="20"/>
                <w:szCs w:val="20"/>
              </w:rPr>
              <w:t>embody standards by which the 2021 Congressional Plan can be evaluated to determine whether unlawful partisan</w:t>
            </w:r>
            <w:r w:rsidR="00183C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CD7" w:rsidRPr="00183CD7">
              <w:rPr>
                <w:rFonts w:ascii="Arial" w:hAnsi="Arial" w:cs="Arial"/>
                <w:sz w:val="20"/>
                <w:szCs w:val="20"/>
              </w:rPr>
              <w:t>gerrymandering has occurred.</w:t>
            </w:r>
          </w:p>
          <w:p w14:paraId="23432A33" w14:textId="2CB3635E" w:rsidR="009E05CC" w:rsidRDefault="00183CD7" w:rsidP="00CF0C1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Alternatively, </w:t>
            </w:r>
            <w:r w:rsidRPr="00183CD7">
              <w:rPr>
                <w:rFonts w:ascii="Arial" w:hAnsi="Arial" w:cs="Arial"/>
                <w:sz w:val="20"/>
                <w:szCs w:val="20"/>
              </w:rPr>
              <w:t>the strictures of Article III, Section 4 are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</w:t>
            </w:r>
            <w:r w:rsidRPr="00183CD7">
              <w:rPr>
                <w:rFonts w:ascii="Arial" w:hAnsi="Arial" w:cs="Arial"/>
                <w:sz w:val="20"/>
                <w:szCs w:val="20"/>
              </w:rPr>
              <w:t xml:space="preserve"> applicable to the 2021 Plan because of the free elections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CD7">
              <w:rPr>
                <w:rFonts w:ascii="Arial" w:hAnsi="Arial" w:cs="Arial"/>
                <w:sz w:val="20"/>
                <w:szCs w:val="20"/>
              </w:rPr>
              <w:t>clause</w:t>
            </w:r>
            <w:r w:rsidR="005865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CD7">
              <w:rPr>
                <w:rFonts w:ascii="Arial" w:hAnsi="Arial" w:cs="Arial"/>
                <w:sz w:val="20"/>
                <w:szCs w:val="20"/>
              </w:rPr>
              <w:t>as well as the equal protection clause</w:t>
            </w:r>
            <w:r w:rsidR="005865ED">
              <w:rPr>
                <w:rFonts w:ascii="Arial" w:hAnsi="Arial" w:cs="Arial"/>
                <w:sz w:val="20"/>
                <w:szCs w:val="20"/>
              </w:rPr>
              <w:t xml:space="preserve">, which </w:t>
            </w:r>
            <w:r w:rsidRPr="00183CD7">
              <w:rPr>
                <w:rFonts w:ascii="Arial" w:hAnsi="Arial" w:cs="Arial"/>
                <w:sz w:val="20"/>
                <w:szCs w:val="20"/>
              </w:rPr>
              <w:t>each, individually, provide a nexus to Article III, Section 4 to determine the</w:t>
            </w:r>
            <w:r w:rsidR="00CF0C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0C10">
              <w:rPr>
                <w:rFonts w:ascii="Arial" w:hAnsi="Arial" w:cs="Arial"/>
                <w:sz w:val="20"/>
                <w:szCs w:val="20"/>
              </w:rPr>
              <w:t>lawfulness of the 2021 Plan</w:t>
            </w:r>
            <w:r w:rsidR="00CF0C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F7E99B" w14:textId="2ED1060D" w:rsidR="00BD1559" w:rsidRDefault="00E0690F" w:rsidP="00E0690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</w:t>
            </w:r>
            <w:r w:rsidR="007F73CA">
              <w:rPr>
                <w:rFonts w:ascii="Arial" w:hAnsi="Arial" w:cs="Arial"/>
                <w:sz w:val="20"/>
                <w:szCs w:val="20"/>
              </w:rPr>
              <w:t xml:space="preserve"> rejected Defendants’ claim and</w:t>
            </w:r>
            <w:r>
              <w:rPr>
                <w:rFonts w:ascii="Arial" w:hAnsi="Arial" w:cs="Arial"/>
                <w:sz w:val="20"/>
                <w:szCs w:val="20"/>
              </w:rPr>
              <w:t xml:space="preserve"> ruled that the term “legislative districts” includes Congressional districts, </w:t>
            </w:r>
            <w:r w:rsidR="0085424B">
              <w:rPr>
                <w:rFonts w:ascii="Arial" w:hAnsi="Arial" w:cs="Arial"/>
                <w:sz w:val="20"/>
                <w:szCs w:val="20"/>
              </w:rPr>
              <w:t>noting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E0690F">
              <w:rPr>
                <w:rFonts w:ascii="Arial" w:hAnsi="Arial" w:cs="Arial"/>
                <w:sz w:val="20"/>
                <w:szCs w:val="20"/>
              </w:rPr>
              <w:t>he Legislature</w:t>
            </w:r>
            <w:r>
              <w:rPr>
                <w:rFonts w:ascii="Arial" w:hAnsi="Arial" w:cs="Arial"/>
                <w:sz w:val="20"/>
                <w:szCs w:val="20"/>
              </w:rPr>
              <w:t xml:space="preserve"> was “</w:t>
            </w:r>
            <w:r w:rsidRPr="00E0690F">
              <w:rPr>
                <w:rFonts w:ascii="Arial" w:hAnsi="Arial" w:cs="Arial"/>
                <w:sz w:val="20"/>
                <w:szCs w:val="20"/>
              </w:rPr>
              <w:t>keenly aware of its ability to restrict or expand the application of Article III, Section 4, chose not t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E0690F">
              <w:rPr>
                <w:rFonts w:ascii="Arial" w:hAnsi="Arial" w:cs="Arial"/>
                <w:sz w:val="20"/>
                <w:szCs w:val="20"/>
              </w:rPr>
              <w:t>explicitly exclude Congressional districts from the purview of Article III, Section 4, nor just reference State legislative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0690F">
              <w:rPr>
                <w:rFonts w:ascii="Arial" w:hAnsi="Arial" w:cs="Arial"/>
                <w:sz w:val="20"/>
                <w:szCs w:val="20"/>
              </w:rPr>
              <w:t>districts</w:t>
            </w:r>
            <w:r w:rsidR="00327773">
              <w:rPr>
                <w:rFonts w:ascii="Arial" w:hAnsi="Arial" w:cs="Arial"/>
                <w:sz w:val="20"/>
                <w:szCs w:val="20"/>
              </w:rPr>
              <w:t>” during the 1969 and 1972 amendments to art. III § 4.</w:t>
            </w:r>
            <w:r w:rsidR="00E73DEB">
              <w:rPr>
                <w:rFonts w:ascii="Arial" w:hAnsi="Arial" w:cs="Arial"/>
                <w:sz w:val="20"/>
                <w:szCs w:val="20"/>
              </w:rPr>
              <w:t xml:space="preserve">  [</w:t>
            </w:r>
            <w:r w:rsidR="00E73DEB" w:rsidRPr="007C2957">
              <w:rPr>
                <w:rFonts w:ascii="Arial" w:hAnsi="Arial" w:cs="Arial"/>
                <w:i/>
                <w:iCs/>
                <w:sz w:val="20"/>
                <w:szCs w:val="20"/>
              </w:rPr>
              <w:t>See</w:t>
            </w:r>
            <w:r w:rsidR="00E73D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957">
              <w:rPr>
                <w:rFonts w:ascii="Arial" w:hAnsi="Arial" w:cs="Arial"/>
                <w:sz w:val="20"/>
                <w:szCs w:val="20"/>
              </w:rPr>
              <w:t xml:space="preserve">Arguments of Parties, Defendants section </w:t>
            </w:r>
            <w:r w:rsidR="007C2957">
              <w:rPr>
                <w:rFonts w:ascii="Arial" w:hAnsi="Arial" w:cs="Arial"/>
                <w:i/>
                <w:iCs/>
                <w:sz w:val="20"/>
                <w:szCs w:val="20"/>
              </w:rPr>
              <w:t>infra</w:t>
            </w:r>
            <w:r w:rsidR="00E73DEB">
              <w:rPr>
                <w:rFonts w:ascii="Arial" w:hAnsi="Arial" w:cs="Arial"/>
                <w:sz w:val="20"/>
                <w:szCs w:val="20"/>
              </w:rPr>
              <w:t>.]</w:t>
            </w:r>
          </w:p>
          <w:p w14:paraId="18316F64" w14:textId="77777777" w:rsidR="00FA46AE" w:rsidRDefault="00760B4C" w:rsidP="00760B4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60B4C">
              <w:rPr>
                <w:rFonts w:ascii="Arial" w:hAnsi="Arial" w:cs="Arial"/>
                <w:sz w:val="20"/>
                <w:szCs w:val="20"/>
              </w:rPr>
              <w:t>With respect to the use of a capital "L" in "Legislature," in the Free Elections Clause, as reflecting only a reference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0B4C">
              <w:rPr>
                <w:rFonts w:ascii="Arial" w:hAnsi="Arial" w:cs="Arial"/>
                <w:sz w:val="20"/>
                <w:szCs w:val="20"/>
              </w:rPr>
              <w:t xml:space="preserve">to the state legislature, the State's contention is belied by its own language. </w:t>
            </w:r>
          </w:p>
          <w:p w14:paraId="46D118D0" w14:textId="63133BB0" w:rsidR="0027367E" w:rsidRDefault="00760B4C" w:rsidP="001D187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60B4C">
              <w:rPr>
                <w:rFonts w:ascii="Arial" w:hAnsi="Arial" w:cs="Arial"/>
                <w:sz w:val="20"/>
                <w:szCs w:val="20"/>
              </w:rPr>
              <w:t>Article 7, as it was originally adopted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0B4C">
              <w:rPr>
                <w:rFonts w:ascii="Arial" w:hAnsi="Arial" w:cs="Arial"/>
                <w:sz w:val="20"/>
                <w:szCs w:val="20"/>
              </w:rPr>
              <w:t>1776, was meant to secure a right of participation</w:t>
            </w:r>
            <w:r w:rsidR="00F42685">
              <w:rPr>
                <w:rFonts w:ascii="Arial" w:hAnsi="Arial" w:cs="Arial"/>
                <w:sz w:val="20"/>
                <w:szCs w:val="20"/>
              </w:rPr>
              <w:t>; t</w:t>
            </w:r>
            <w:r w:rsidR="00F42685" w:rsidRPr="00F42685">
              <w:rPr>
                <w:rFonts w:ascii="Arial" w:hAnsi="Arial" w:cs="Arial"/>
                <w:sz w:val="20"/>
                <w:szCs w:val="20"/>
              </w:rPr>
              <w:t>he language of Article 7 enunciated a foundational right to vote for the only entity for which the citizens of</w:t>
            </w:r>
            <w:r w:rsidR="001D18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685" w:rsidRPr="001D1879">
              <w:rPr>
                <w:rFonts w:ascii="Arial" w:hAnsi="Arial" w:cs="Arial"/>
                <w:sz w:val="20"/>
                <w:szCs w:val="20"/>
              </w:rPr>
              <w:t>Maryland in 1776 had a participatory ability to elect through voting, the Legislature.</w:t>
            </w:r>
          </w:p>
          <w:p w14:paraId="73E5CB04" w14:textId="66D686A7" w:rsidR="003C2A92" w:rsidRDefault="000731B7" w:rsidP="003C2A9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3C2A92" w:rsidRPr="003C2A92">
              <w:rPr>
                <w:rFonts w:ascii="Arial" w:hAnsi="Arial" w:cs="Arial"/>
                <w:sz w:val="20"/>
                <w:szCs w:val="20"/>
              </w:rPr>
              <w:t xml:space="preserve">Our jurisprudence </w:t>
            </w:r>
            <w:r w:rsidR="003C2A92">
              <w:rPr>
                <w:rFonts w:ascii="Arial" w:hAnsi="Arial" w:cs="Arial"/>
                <w:sz w:val="20"/>
                <w:szCs w:val="20"/>
              </w:rPr>
              <w:t>in</w:t>
            </w:r>
            <w:r w:rsidR="003C2A92" w:rsidRPr="003C2A92">
              <w:rPr>
                <w:rFonts w:ascii="Arial" w:hAnsi="Arial" w:cs="Arial"/>
                <w:sz w:val="20"/>
                <w:szCs w:val="20"/>
              </w:rPr>
              <w:t xml:space="preserve"> Maryland indicates that the Free Elections Clause has been broadly interpreted to apply</w:t>
            </w:r>
            <w:r w:rsidR="003C2A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2A92" w:rsidRPr="003C2A92">
              <w:rPr>
                <w:rFonts w:ascii="Arial" w:hAnsi="Arial" w:cs="Arial"/>
                <w:sz w:val="20"/>
                <w:szCs w:val="20"/>
              </w:rPr>
              <w:t>to legislation that infringes upon the right of political participation by citizens of the State.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56927FFF" w14:textId="1760922D" w:rsidR="000731B7" w:rsidRDefault="00464B62" w:rsidP="00464B6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64B62">
              <w:rPr>
                <w:rFonts w:ascii="Arial" w:hAnsi="Arial" w:cs="Arial"/>
                <w:sz w:val="20"/>
                <w:szCs w:val="20"/>
              </w:rPr>
              <w:t>The pivotal goal of the Free Elections Clause, to protect the right of political participation in Congressional elections,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4B62">
              <w:rPr>
                <w:rFonts w:ascii="Arial" w:hAnsi="Arial" w:cs="Arial"/>
                <w:sz w:val="20"/>
                <w:szCs w:val="20"/>
              </w:rPr>
              <w:t xml:space="preserve">was emphasized in </w:t>
            </w:r>
            <w:r w:rsidRPr="00464B62">
              <w:rPr>
                <w:rFonts w:ascii="Arial" w:hAnsi="Arial" w:cs="Arial"/>
                <w:i/>
                <w:iCs/>
                <w:sz w:val="20"/>
                <w:szCs w:val="20"/>
              </w:rPr>
              <w:t>Green Party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4"/>
            </w:r>
          </w:p>
          <w:p w14:paraId="6ED478D3" w14:textId="5CA188AA" w:rsidR="00804E43" w:rsidRDefault="00862078" w:rsidP="00464B6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 have clearly stated a cause of action under the Free Elections Clause and survive the Motion to Dismiss.</w:t>
            </w:r>
          </w:p>
          <w:p w14:paraId="3C04C0C4" w14:textId="17CB8911" w:rsidR="007621D3" w:rsidRDefault="007621D3" w:rsidP="007621D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621D3">
              <w:rPr>
                <w:rFonts w:ascii="Arial" w:hAnsi="Arial" w:cs="Arial"/>
                <w:sz w:val="20"/>
                <w:szCs w:val="20"/>
              </w:rPr>
              <w:t>The treatment of similarly situated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21D3">
              <w:rPr>
                <w:rFonts w:ascii="Arial" w:hAnsi="Arial" w:cs="Arial"/>
                <w:sz w:val="20"/>
                <w:szCs w:val="20"/>
              </w:rPr>
              <w:t>people under the law, clearly, cannot be denied in Maryland, in derogation of the Fourteenth Amendment; it also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21D3">
              <w:rPr>
                <w:rFonts w:ascii="Arial" w:hAnsi="Arial" w:cs="Arial"/>
                <w:sz w:val="20"/>
                <w:szCs w:val="20"/>
              </w:rPr>
              <w:t>clear that Maryland can afford greater protection to its citizens under Article 24 of the Declaration of Rights.</w:t>
            </w:r>
          </w:p>
          <w:p w14:paraId="76560B51" w14:textId="19BE4380" w:rsidR="007621D3" w:rsidRDefault="00F06ACF" w:rsidP="007621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4B35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58F">
              <w:rPr>
                <w:rFonts w:ascii="Arial" w:hAnsi="Arial" w:cs="Arial"/>
                <w:i/>
                <w:iCs/>
                <w:sz w:val="20"/>
                <w:szCs w:val="20"/>
              </w:rPr>
              <w:t>Green Party</w:t>
            </w:r>
            <w:r w:rsidR="004B358F">
              <w:rPr>
                <w:rFonts w:ascii="Arial" w:hAnsi="Arial" w:cs="Arial"/>
                <w:sz w:val="20"/>
                <w:szCs w:val="20"/>
              </w:rPr>
              <w:t>, a</w:t>
            </w:r>
            <w:r w:rsidR="004B358F" w:rsidRPr="004B358F">
              <w:rPr>
                <w:rFonts w:ascii="Arial" w:hAnsi="Arial" w:cs="Arial"/>
                <w:sz w:val="20"/>
                <w:szCs w:val="20"/>
              </w:rPr>
              <w:t xml:space="preserve"> nexus between the Equal Protection Clause and a </w:t>
            </w:r>
            <w:r w:rsidR="00EF62D8">
              <w:rPr>
                <w:rFonts w:ascii="Arial" w:hAnsi="Arial" w:cs="Arial"/>
                <w:sz w:val="20"/>
                <w:szCs w:val="20"/>
              </w:rPr>
              <w:t xml:space="preserve">voting </w:t>
            </w:r>
            <w:r w:rsidR="004B358F" w:rsidRPr="004B358F">
              <w:rPr>
                <w:rFonts w:ascii="Arial" w:hAnsi="Arial" w:cs="Arial"/>
                <w:sz w:val="20"/>
                <w:szCs w:val="20"/>
              </w:rPr>
              <w:t>standards clause was established.</w:t>
            </w:r>
          </w:p>
          <w:p w14:paraId="333043C4" w14:textId="2A400C93" w:rsidR="003D7D1A" w:rsidRPr="00C21E8E" w:rsidRDefault="00C21E8E" w:rsidP="00C21E8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rejected the Defendants’ claims that the rights provided by the Maryland Constitution were “coextensive” with rights provided in the Fourteenth Amendment, because </w:t>
            </w:r>
            <w:r w:rsidRPr="00C21E8E">
              <w:rPr>
                <w:rFonts w:ascii="Arial" w:hAnsi="Arial" w:cs="Arial"/>
                <w:sz w:val="20"/>
                <w:szCs w:val="20"/>
              </w:rPr>
              <w:t>Article 40 of the Maryland Declaration of Rights adopted in 1776, preceded its federal counterpart, adopted in 1788,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1E8E">
              <w:rPr>
                <w:rFonts w:ascii="Arial" w:hAnsi="Arial" w:cs="Arial"/>
                <w:sz w:val="20"/>
                <w:szCs w:val="20"/>
              </w:rPr>
              <w:t>thereby contributing to the foundations of the latter.</w:t>
            </w:r>
          </w:p>
          <w:p w14:paraId="09181ED0" w14:textId="6911656F" w:rsidR="00C21E8E" w:rsidRDefault="001736F3" w:rsidP="001736F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While </w:t>
            </w:r>
            <w:r w:rsidRPr="001736F3">
              <w:rPr>
                <w:rFonts w:ascii="Arial" w:hAnsi="Arial" w:cs="Arial"/>
                <w:sz w:val="20"/>
                <w:szCs w:val="20"/>
              </w:rPr>
              <w:t>Article 40 of Maryland's Declaration of Rights has been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36F3">
              <w:rPr>
                <w:rFonts w:ascii="Arial" w:hAnsi="Arial" w:cs="Arial"/>
                <w:sz w:val="20"/>
                <w:szCs w:val="20"/>
              </w:rPr>
              <w:t>generally regarded as coextensive with the First Amendment, the Court of Appeals has recognized that Article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36F3">
              <w:rPr>
                <w:rFonts w:ascii="Arial" w:hAnsi="Arial" w:cs="Arial"/>
                <w:sz w:val="20"/>
                <w:szCs w:val="20"/>
              </w:rPr>
              <w:t>40 can have independent and divergent application and interpretation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14:paraId="19CB6A4C" w14:textId="19205A23" w:rsidR="001736F3" w:rsidRDefault="001736F3" w:rsidP="001736F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736F3">
              <w:rPr>
                <w:rFonts w:ascii="Arial" w:hAnsi="Arial" w:cs="Arial"/>
                <w:sz w:val="20"/>
                <w:szCs w:val="20"/>
              </w:rPr>
              <w:t>The Court of Appeals has not shied away from "departing from the United States Supreme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36F3">
              <w:rPr>
                <w:rFonts w:ascii="Arial" w:hAnsi="Arial" w:cs="Arial"/>
                <w:sz w:val="20"/>
                <w:szCs w:val="20"/>
              </w:rPr>
              <w:t xml:space="preserve">Court's analysis of the parallel federal right" when necessary "[to] </w:t>
            </w:r>
            <w:proofErr w:type="gramStart"/>
            <w:r w:rsidRPr="001736F3">
              <w:rPr>
                <w:rFonts w:ascii="Arial" w:hAnsi="Arial" w:cs="Arial"/>
                <w:sz w:val="20"/>
                <w:szCs w:val="20"/>
              </w:rPr>
              <w:t>ensure[</w:t>
            </w:r>
            <w:proofErr w:type="gramEnd"/>
            <w:r w:rsidRPr="001736F3">
              <w:rPr>
                <w:rFonts w:ascii="Arial" w:hAnsi="Arial" w:cs="Arial"/>
                <w:sz w:val="20"/>
                <w:szCs w:val="20"/>
              </w:rPr>
              <w:t>] that the rights provided by Maryland law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36F3">
              <w:rPr>
                <w:rFonts w:ascii="Arial" w:hAnsi="Arial" w:cs="Arial"/>
                <w:sz w:val="20"/>
                <w:szCs w:val="20"/>
              </w:rPr>
              <w:t>are fully protected."</w:t>
            </w:r>
          </w:p>
          <w:p w14:paraId="6F66A8E8" w14:textId="77777777" w:rsidR="003F5A18" w:rsidRDefault="003F5A18" w:rsidP="003F5A1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F5A18">
              <w:rPr>
                <w:rFonts w:ascii="Arial" w:hAnsi="Arial" w:cs="Arial"/>
                <w:sz w:val="20"/>
                <w:szCs w:val="20"/>
              </w:rPr>
              <w:t>When a legislative act, such as the 2021 Plan, creates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A18">
              <w:rPr>
                <w:rFonts w:ascii="Arial" w:hAnsi="Arial" w:cs="Arial"/>
                <w:sz w:val="20"/>
                <w:szCs w:val="20"/>
              </w:rPr>
              <w:t>Congressional districts that dilute the influence of certain voters based upon their prior political expression—their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A18">
              <w:rPr>
                <w:rFonts w:ascii="Arial" w:hAnsi="Arial" w:cs="Arial"/>
                <w:sz w:val="20"/>
                <w:szCs w:val="20"/>
              </w:rPr>
              <w:t xml:space="preserve">partisan affiliation and their voting history—it imposes a burden on a right or benefit, here a fundamental right. </w:t>
            </w:r>
          </w:p>
          <w:p w14:paraId="092EB846" w14:textId="0D4CBD63" w:rsidR="003F5A18" w:rsidRDefault="003F5A18" w:rsidP="003F5A1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F5A18">
              <w:rPr>
                <w:rFonts w:ascii="Arial" w:hAnsi="Arial" w:cs="Arial"/>
                <w:sz w:val="20"/>
                <w:szCs w:val="20"/>
              </w:rPr>
              <w:t>As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A18">
              <w:rPr>
                <w:rFonts w:ascii="Arial" w:hAnsi="Arial" w:cs="Arial"/>
                <w:sz w:val="20"/>
                <w:szCs w:val="20"/>
              </w:rPr>
              <w:t>result, this Court, under Article 40, will apply strict scrutiny to the 2021 Plan.</w:t>
            </w:r>
          </w:p>
          <w:p w14:paraId="0DA36A4B" w14:textId="77777777" w:rsidR="0064578E" w:rsidRDefault="0064578E" w:rsidP="0064578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578E">
              <w:rPr>
                <w:rFonts w:ascii="Arial" w:hAnsi="Arial" w:cs="Arial"/>
                <w:sz w:val="20"/>
                <w:szCs w:val="20"/>
              </w:rPr>
              <w:t>Popular sovereignty dictates that the "Government" of the people which "derives from them," is properly channele</w:t>
            </w: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Pr="0064578E">
              <w:rPr>
                <w:rFonts w:ascii="Arial" w:hAnsi="Arial" w:cs="Arial"/>
                <w:sz w:val="20"/>
                <w:szCs w:val="20"/>
              </w:rPr>
              <w:t xml:space="preserve">when our democratic process functions to reflect the will of the people. </w:t>
            </w:r>
          </w:p>
          <w:p w14:paraId="540A44A6" w14:textId="17675EB6" w:rsidR="007F6669" w:rsidRDefault="0064578E" w:rsidP="0064578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578E">
              <w:rPr>
                <w:rFonts w:ascii="Arial" w:hAnsi="Arial" w:cs="Arial"/>
                <w:sz w:val="20"/>
                <w:szCs w:val="20"/>
              </w:rPr>
              <w:t>Although the Maryland Declaration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78E">
              <w:rPr>
                <w:rFonts w:ascii="Arial" w:hAnsi="Arial" w:cs="Arial"/>
                <w:sz w:val="20"/>
                <w:szCs w:val="20"/>
              </w:rPr>
              <w:t>Rights, like the Constitution, is silent with respect to the right of its citizens to challenge the primacy of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78E">
              <w:rPr>
                <w:rFonts w:ascii="Arial" w:hAnsi="Arial" w:cs="Arial"/>
                <w:sz w:val="20"/>
                <w:szCs w:val="20"/>
              </w:rPr>
              <w:t>considerations in drawing legislative districts, the Declaration of Rights does memorialize that the people 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78E">
              <w:rPr>
                <w:rFonts w:ascii="Arial" w:hAnsi="Arial" w:cs="Arial"/>
                <w:sz w:val="20"/>
                <w:szCs w:val="20"/>
              </w:rPr>
              <w:t>guaranteed the right to wield their power through the elective franchise, thereby safeguarding the sacred principle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78E">
              <w:rPr>
                <w:rFonts w:ascii="Arial" w:hAnsi="Arial" w:cs="Arial"/>
                <w:sz w:val="20"/>
                <w:szCs w:val="20"/>
              </w:rPr>
              <w:t xml:space="preserve">that the government is, </w:t>
            </w:r>
            <w:proofErr w:type="gramStart"/>
            <w:r w:rsidRPr="0064578E">
              <w:rPr>
                <w:rFonts w:ascii="Arial" w:hAnsi="Arial" w:cs="Arial"/>
                <w:sz w:val="20"/>
                <w:szCs w:val="20"/>
              </w:rPr>
              <w:t>at all times</w:t>
            </w:r>
            <w:proofErr w:type="gramEnd"/>
            <w:r w:rsidRPr="0064578E">
              <w:rPr>
                <w:rFonts w:ascii="Arial" w:hAnsi="Arial" w:cs="Arial"/>
                <w:sz w:val="20"/>
                <w:szCs w:val="20"/>
              </w:rPr>
              <w:t>, for the people and by the people.</w:t>
            </w:r>
          </w:p>
          <w:p w14:paraId="73A9201D" w14:textId="155D3DB3" w:rsidR="00765773" w:rsidRDefault="00765773" w:rsidP="0064578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65773">
              <w:rPr>
                <w:rFonts w:ascii="Arial" w:hAnsi="Arial" w:cs="Arial"/>
                <w:sz w:val="20"/>
                <w:szCs w:val="20"/>
              </w:rPr>
              <w:t>The Constitution and Declaration of Rights must be read together to determine the organic law of Maryland.</w:t>
            </w:r>
          </w:p>
          <w:p w14:paraId="3514ADB5" w14:textId="04CB7853" w:rsidR="00E2668A" w:rsidRDefault="00E2668A" w:rsidP="00E2668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2668A">
              <w:rPr>
                <w:rFonts w:ascii="Arial" w:hAnsi="Arial" w:cs="Arial"/>
                <w:sz w:val="20"/>
                <w:szCs w:val="20"/>
              </w:rPr>
              <w:t>he judicial branch of government has a responsibility to limit the Legislature from exerting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668A">
              <w:rPr>
                <w:rFonts w:ascii="Arial" w:hAnsi="Arial" w:cs="Arial"/>
                <w:sz w:val="20"/>
                <w:szCs w:val="20"/>
              </w:rPr>
              <w:t>extravagant or undue extension of power by enforcing the standards of legislative districting outlined in Article III,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668A">
              <w:rPr>
                <w:rFonts w:ascii="Arial" w:hAnsi="Arial" w:cs="Arial"/>
                <w:sz w:val="20"/>
                <w:szCs w:val="20"/>
              </w:rPr>
              <w:t>Section 4 of the Maryland Constitution and by the avoidance of extreme partisan gerrymandering.</w:t>
            </w:r>
          </w:p>
          <w:p w14:paraId="6DCCD305" w14:textId="65C85A34" w:rsidR="00AF452D" w:rsidRDefault="00D53C14" w:rsidP="009422A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consideration of the evidence and testimony, the trial judge</w:t>
            </w:r>
            <w:r w:rsidR="007A7C4C">
              <w:rPr>
                <w:rFonts w:ascii="Arial" w:hAnsi="Arial" w:cs="Arial"/>
                <w:sz w:val="20"/>
                <w:szCs w:val="20"/>
              </w:rPr>
              <w:t xml:space="preserve"> agreed that there was</w:t>
            </w:r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D53C14">
              <w:rPr>
                <w:rFonts w:ascii="Arial" w:hAnsi="Arial" w:cs="Arial"/>
                <w:sz w:val="20"/>
                <w:szCs w:val="20"/>
              </w:rPr>
              <w:t xml:space="preserve">substantial deviation from "compactness" as well as </w:t>
            </w:r>
            <w:r w:rsidR="0019339A">
              <w:rPr>
                <w:rFonts w:ascii="Arial" w:hAnsi="Arial" w:cs="Arial"/>
                <w:sz w:val="20"/>
                <w:szCs w:val="20"/>
              </w:rPr>
              <w:t>a</w:t>
            </w:r>
            <w:r w:rsidRPr="00D53C14">
              <w:rPr>
                <w:rFonts w:ascii="Arial" w:hAnsi="Arial" w:cs="Arial"/>
                <w:sz w:val="20"/>
                <w:szCs w:val="20"/>
              </w:rPr>
              <w:t xml:space="preserve"> failure to give "due regard" to "the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3C14">
              <w:rPr>
                <w:rFonts w:ascii="Arial" w:hAnsi="Arial" w:cs="Arial"/>
                <w:sz w:val="20"/>
                <w:szCs w:val="20"/>
              </w:rPr>
              <w:t>boundaries of political subdivisions" as required by Article III, Section 4</w:t>
            </w:r>
            <w:r w:rsidR="009422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5AEDE" w14:textId="5549F644" w:rsidR="006B2AD8" w:rsidRPr="006B2AD8" w:rsidRDefault="006B2AD8" w:rsidP="006B2AD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B2AD8">
              <w:rPr>
                <w:rFonts w:ascii="Arial" w:hAnsi="Arial" w:cs="Arial"/>
                <w:sz w:val="20"/>
                <w:szCs w:val="20"/>
              </w:rPr>
              <w:t>With regard to</w:t>
            </w:r>
            <w:proofErr w:type="gramEnd"/>
            <w:r w:rsidRPr="006B2AD8">
              <w:rPr>
                <w:rFonts w:ascii="Arial" w:hAnsi="Arial" w:cs="Arial"/>
                <w:sz w:val="20"/>
                <w:szCs w:val="20"/>
              </w:rPr>
              <w:t xml:space="preserve"> the violations of the of the Articles of the Maryland Declaration of Rights, the 2021 Plan fails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2AD8">
              <w:rPr>
                <w:rFonts w:ascii="Arial" w:hAnsi="Arial" w:cs="Arial"/>
                <w:sz w:val="20"/>
                <w:szCs w:val="20"/>
              </w:rPr>
              <w:t>constitutional muster under each Article.</w:t>
            </w:r>
          </w:p>
          <w:p w14:paraId="5239729A" w14:textId="75A1D9E4" w:rsidR="00F658A6" w:rsidRDefault="006B2AD8" w:rsidP="006B2AD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B2AD8">
              <w:rPr>
                <w:rFonts w:ascii="Arial" w:hAnsi="Arial" w:cs="Arial"/>
                <w:sz w:val="20"/>
                <w:szCs w:val="20"/>
              </w:rPr>
              <w:t>With regard to</w:t>
            </w:r>
            <w:proofErr w:type="gramEnd"/>
            <w:r w:rsidRPr="006B2AD8">
              <w:rPr>
                <w:rFonts w:ascii="Arial" w:hAnsi="Arial" w:cs="Arial"/>
                <w:sz w:val="20"/>
                <w:szCs w:val="20"/>
              </w:rPr>
              <w:t xml:space="preserve"> Article 7 of the Maryland Declaration of Rights, the 2021 Congressional Plan, the Plaintiffs, based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2AD8">
              <w:rPr>
                <w:rFonts w:ascii="Arial" w:hAnsi="Arial" w:cs="Arial"/>
                <w:sz w:val="20"/>
                <w:szCs w:val="20"/>
              </w:rPr>
              <w:t>upon the evidence adduced at trial, proved that the 2021 Plan was drawn with "partisanship as a predominant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2AD8">
              <w:rPr>
                <w:rFonts w:ascii="Arial" w:hAnsi="Arial" w:cs="Arial"/>
                <w:sz w:val="20"/>
                <w:szCs w:val="20"/>
              </w:rPr>
              <w:t>intent, to the exclusion of traditional redistricting criteria," accomplished by the party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2AD8">
              <w:rPr>
                <w:rFonts w:ascii="Arial" w:hAnsi="Arial" w:cs="Arial"/>
                <w:sz w:val="20"/>
                <w:szCs w:val="20"/>
              </w:rPr>
              <w:t>in power, to suppress the voice of Republican voters.</w:t>
            </w:r>
          </w:p>
          <w:p w14:paraId="5D30FC22" w14:textId="71D3847D" w:rsidR="006B2AD8" w:rsidRDefault="007C775F" w:rsidP="007C775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C775F">
              <w:rPr>
                <w:rFonts w:ascii="Arial" w:hAnsi="Arial" w:cs="Arial"/>
                <w:sz w:val="20"/>
                <w:szCs w:val="20"/>
              </w:rPr>
              <w:t>Alternatively, Article 24, the Maryland Equal Protection Clause, applicable in redistricting cases, was violated under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775F">
              <w:rPr>
                <w:rFonts w:ascii="Arial" w:hAnsi="Arial" w:cs="Arial"/>
                <w:sz w:val="20"/>
                <w:szCs w:val="20"/>
              </w:rPr>
              <w:t>the 2021 Plan</w:t>
            </w:r>
            <w:r>
              <w:rPr>
                <w:rFonts w:ascii="Arial" w:hAnsi="Arial" w:cs="Arial"/>
                <w:sz w:val="20"/>
                <w:szCs w:val="20"/>
              </w:rPr>
              <w:t>, and t</w:t>
            </w:r>
            <w:r w:rsidRPr="007C775F">
              <w:rPr>
                <w:rFonts w:ascii="Arial" w:hAnsi="Arial" w:cs="Arial"/>
                <w:sz w:val="20"/>
                <w:szCs w:val="20"/>
              </w:rPr>
              <w:t>he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775F">
              <w:rPr>
                <w:rFonts w:ascii="Arial" w:hAnsi="Arial" w:cs="Arial"/>
                <w:sz w:val="20"/>
                <w:szCs w:val="20"/>
              </w:rPr>
              <w:t>has not provided a "compelling state interest" to rationalize the adverse effect.</w:t>
            </w:r>
          </w:p>
          <w:p w14:paraId="05074CED" w14:textId="572DCF59" w:rsidR="005810D9" w:rsidRDefault="005810D9" w:rsidP="003216E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810D9">
              <w:rPr>
                <w:rFonts w:ascii="Arial" w:hAnsi="Arial" w:cs="Arial"/>
                <w:sz w:val="20"/>
                <w:szCs w:val="20"/>
              </w:rPr>
              <w:t>he same rationale holds true for the violation of Article 40 of the Maryland Declaration of Rights,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0D9">
              <w:rPr>
                <w:rFonts w:ascii="Arial" w:hAnsi="Arial" w:cs="Arial"/>
                <w:sz w:val="20"/>
                <w:szCs w:val="20"/>
              </w:rPr>
              <w:t>Free Speech Article, which requires a "strict scrutiny" analysis because a fundamental right is implicated, a citizen's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10D9">
              <w:rPr>
                <w:rFonts w:ascii="Arial" w:hAnsi="Arial" w:cs="Arial"/>
                <w:sz w:val="20"/>
                <w:szCs w:val="20"/>
              </w:rPr>
              <w:t>right to vote</w:t>
            </w:r>
            <w:r w:rsidR="003216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E31F9E" w14:textId="77777777" w:rsidR="00F658A6" w:rsidRDefault="003216E3" w:rsidP="00F658A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216E3">
              <w:rPr>
                <w:rFonts w:ascii="Arial" w:hAnsi="Arial" w:cs="Arial"/>
                <w:sz w:val="20"/>
                <w:szCs w:val="20"/>
              </w:rPr>
              <w:t xml:space="preserve">The 2021 Congressional Plan is </w:t>
            </w:r>
            <w:proofErr w:type="gramStart"/>
            <w:r w:rsidRPr="003216E3">
              <w:rPr>
                <w:rFonts w:ascii="Arial" w:hAnsi="Arial" w:cs="Arial"/>
                <w:sz w:val="20"/>
                <w:szCs w:val="20"/>
              </w:rPr>
              <w:t>unconstitutional, and</w:t>
            </w:r>
            <w:proofErr w:type="gramEnd"/>
            <w:r w:rsidRPr="003216E3">
              <w:rPr>
                <w:rFonts w:ascii="Arial" w:hAnsi="Arial" w:cs="Arial"/>
                <w:sz w:val="20"/>
                <w:szCs w:val="20"/>
              </w:rPr>
              <w:t xml:space="preserve"> subverts that will of those governed.</w:t>
            </w:r>
          </w:p>
          <w:p w14:paraId="5782D514" w14:textId="07400A98" w:rsidR="00F44F23" w:rsidRPr="00F44F23" w:rsidRDefault="00F44F23" w:rsidP="00F44F2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0011E4">
        <w:trPr>
          <w:trHeight w:val="1242"/>
        </w:trPr>
        <w:tc>
          <w:tcPr>
            <w:tcW w:w="1998" w:type="dxa"/>
            <w:tcBorders>
              <w:left w:val="nil"/>
              <w:bottom w:val="nil"/>
            </w:tcBorders>
          </w:tcPr>
          <w:p w14:paraId="063E9EB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218102FB" w14:textId="6B9D4623" w:rsidR="00986FBE" w:rsidRDefault="00986FBE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Plaintiffs</w:t>
            </w:r>
          </w:p>
          <w:p w14:paraId="002EDB58" w14:textId="1DDC8784" w:rsidR="00D64528" w:rsidRPr="00D64528" w:rsidRDefault="00D64528" w:rsidP="00D6452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64528">
              <w:rPr>
                <w:rFonts w:ascii="Arial" w:hAnsi="Arial" w:cs="Arial"/>
                <w:sz w:val="20"/>
                <w:szCs w:val="20"/>
              </w:rPr>
              <w:t>ssert a direct claim under Article III, Section 4, of the Maryland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4528">
              <w:rPr>
                <w:rFonts w:ascii="Arial" w:hAnsi="Arial" w:cs="Arial"/>
                <w:sz w:val="20"/>
                <w:szCs w:val="20"/>
              </w:rPr>
              <w:t>Constitution and urge that the plain meaning of the term "legislative district" corresponds to any legislative district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4528">
              <w:rPr>
                <w:rFonts w:ascii="Arial" w:hAnsi="Arial" w:cs="Arial"/>
                <w:sz w:val="20"/>
                <w:szCs w:val="20"/>
              </w:rPr>
              <w:t>the State, which must be subject to the standards of adjoining territory, compactness, and equal population with due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4528">
              <w:rPr>
                <w:rFonts w:ascii="Arial" w:hAnsi="Arial" w:cs="Arial"/>
                <w:sz w:val="20"/>
                <w:szCs w:val="20"/>
              </w:rPr>
              <w:t>regard given to natural boundaries of political subdivisions.</w:t>
            </w:r>
          </w:p>
          <w:p w14:paraId="0F6ACBE0" w14:textId="40907BFE" w:rsidR="00FD29C4" w:rsidRDefault="00FD29C4" w:rsidP="00FD29C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FD29C4">
              <w:rPr>
                <w:rFonts w:ascii="Arial" w:hAnsi="Arial" w:cs="Arial"/>
                <w:sz w:val="20"/>
                <w:szCs w:val="20"/>
              </w:rPr>
              <w:t>ssert that the 2021 Plan violates the Free Elections Clause in several ways, including that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29C4">
              <w:rPr>
                <w:rFonts w:ascii="Arial" w:hAnsi="Arial" w:cs="Arial"/>
                <w:sz w:val="20"/>
                <w:szCs w:val="20"/>
              </w:rPr>
              <w:t xml:space="preserve">2021 Plan "unlawfully seeks to predetermine outcomes in Maryland's congressional districts." </w:t>
            </w:r>
          </w:p>
          <w:p w14:paraId="2A52433C" w14:textId="7C56C046" w:rsidR="00FD29C4" w:rsidRPr="00FD29C4" w:rsidRDefault="00FD29C4" w:rsidP="00FD29C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D29C4">
              <w:rPr>
                <w:rFonts w:ascii="Arial" w:hAnsi="Arial" w:cs="Arial"/>
                <w:sz w:val="20"/>
                <w:szCs w:val="20"/>
              </w:rPr>
              <w:t>They also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29C4">
              <w:rPr>
                <w:rFonts w:ascii="Arial" w:hAnsi="Arial" w:cs="Arial"/>
                <w:sz w:val="20"/>
                <w:szCs w:val="20"/>
              </w:rPr>
              <w:t>allege that the 2021 Plan violates Article 7, because it is not based upon "well-established traditions in Maryland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29C4">
              <w:rPr>
                <w:rFonts w:ascii="Arial" w:hAnsi="Arial" w:cs="Arial"/>
                <w:sz w:val="20"/>
                <w:szCs w:val="20"/>
              </w:rPr>
              <w:t xml:space="preserve">forming congressional </w:t>
            </w:r>
            <w:proofErr w:type="gramStart"/>
            <w:r w:rsidRPr="00FD29C4">
              <w:rPr>
                <w:rFonts w:ascii="Arial" w:hAnsi="Arial" w:cs="Arial"/>
                <w:sz w:val="20"/>
                <w:szCs w:val="20"/>
              </w:rPr>
              <w:t>districts[</w:t>
            </w:r>
            <w:proofErr w:type="gramEnd"/>
            <w:r w:rsidRPr="00FD29C4">
              <w:rPr>
                <w:rFonts w:ascii="Arial" w:hAnsi="Arial" w:cs="Arial"/>
                <w:sz w:val="20"/>
                <w:szCs w:val="20"/>
              </w:rPr>
              <w:t>,]" including compactness, adjoining territory, and respect for natural and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29C4">
              <w:rPr>
                <w:rFonts w:ascii="Arial" w:hAnsi="Arial" w:cs="Arial"/>
                <w:sz w:val="20"/>
                <w:szCs w:val="20"/>
              </w:rPr>
              <w:t>boundaries.</w:t>
            </w:r>
          </w:p>
          <w:p w14:paraId="1DC02820" w14:textId="70272F66" w:rsidR="00986FBE" w:rsidRDefault="00986FBE" w:rsidP="00986FB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86FBE">
              <w:rPr>
                <w:rFonts w:ascii="Arial" w:hAnsi="Arial" w:cs="Arial"/>
                <w:sz w:val="20"/>
                <w:szCs w:val="20"/>
              </w:rPr>
              <w:t>ssert that the 2021 Plan violates Article 24 by unconstitutionally discriminating agains</w:t>
            </w:r>
            <w:r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986FBE">
              <w:rPr>
                <w:rFonts w:ascii="Arial" w:hAnsi="Arial" w:cs="Arial"/>
                <w:sz w:val="20"/>
                <w:szCs w:val="20"/>
              </w:rPr>
              <w:t xml:space="preserve">Republican voters, including Plaintiffs, and infringing on their fundamental right to vote. </w:t>
            </w:r>
          </w:p>
          <w:p w14:paraId="0B989FBC" w14:textId="21F7DDE2" w:rsidR="00986FBE" w:rsidRPr="00986FBE" w:rsidRDefault="00986FBE" w:rsidP="00986FB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6FBE">
              <w:rPr>
                <w:rFonts w:ascii="Arial" w:hAnsi="Arial" w:cs="Arial"/>
                <w:sz w:val="20"/>
                <w:szCs w:val="20"/>
              </w:rPr>
              <w:t>Specifically, these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6FBE">
              <w:rPr>
                <w:rFonts w:ascii="Arial" w:hAnsi="Arial" w:cs="Arial"/>
                <w:sz w:val="20"/>
                <w:szCs w:val="20"/>
              </w:rPr>
              <w:t>assert that the 2021 Plan intentionally discriminates against Plaintiffs by diluting the weight of their votes based 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6FBE">
              <w:rPr>
                <w:rFonts w:ascii="Arial" w:hAnsi="Arial" w:cs="Arial"/>
                <w:sz w:val="20"/>
                <w:szCs w:val="20"/>
              </w:rPr>
              <w:t>party affiliation and depriving them of the opportunity for full and effective participation in the election of 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6FBE">
              <w:rPr>
                <w:rFonts w:ascii="Arial" w:hAnsi="Arial" w:cs="Arial"/>
                <w:sz w:val="20"/>
                <w:szCs w:val="20"/>
              </w:rPr>
              <w:t>Congressional representatives.</w:t>
            </w:r>
          </w:p>
          <w:p w14:paraId="0AC07A8C" w14:textId="2B692836" w:rsidR="00986FBE" w:rsidRDefault="00986FBE" w:rsidP="00986FB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86FBE">
              <w:rPr>
                <w:rFonts w:ascii="Arial" w:hAnsi="Arial" w:cs="Arial"/>
                <w:sz w:val="20"/>
                <w:szCs w:val="20"/>
              </w:rPr>
              <w:t>llege that the 2021 Plan violates Article 40 by "burdening protected speech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6FBE">
              <w:rPr>
                <w:rFonts w:ascii="Arial" w:hAnsi="Arial" w:cs="Arial"/>
                <w:sz w:val="20"/>
                <w:szCs w:val="20"/>
              </w:rPr>
              <w:t>based on political viewpoint."</w:t>
            </w:r>
          </w:p>
          <w:p w14:paraId="5E533A8F" w14:textId="52631923" w:rsidR="00C86E88" w:rsidRPr="00C86E88" w:rsidRDefault="00C86E88" w:rsidP="00C86E8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E88">
              <w:rPr>
                <w:rFonts w:ascii="Arial" w:hAnsi="Arial" w:cs="Arial"/>
                <w:sz w:val="20"/>
                <w:szCs w:val="20"/>
              </w:rPr>
              <w:t>Plaintiffs argue that partisan gerrymandering is inconsistent with the principles embodied by the Free Elections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6E88">
              <w:rPr>
                <w:rFonts w:ascii="Arial" w:hAnsi="Arial" w:cs="Arial"/>
                <w:sz w:val="20"/>
                <w:szCs w:val="20"/>
              </w:rPr>
              <w:t>Clause, the Equal Protection Clause, and the Free Speech Clause of the Declaration of Rights, because it usurps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6E88">
              <w:rPr>
                <w:rFonts w:ascii="Arial" w:hAnsi="Arial" w:cs="Arial"/>
                <w:sz w:val="20"/>
                <w:szCs w:val="20"/>
              </w:rPr>
              <w:t>the power of the people to choose those who represent them in government and puts that power solely within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6E88">
              <w:rPr>
                <w:rFonts w:ascii="Arial" w:hAnsi="Arial" w:cs="Arial"/>
                <w:sz w:val="20"/>
                <w:szCs w:val="20"/>
              </w:rPr>
              <w:t xml:space="preserve">purview of the Legislature. </w:t>
            </w:r>
          </w:p>
          <w:p w14:paraId="7C3874A8" w14:textId="6AFA4BFE" w:rsidR="00C86E88" w:rsidRPr="00C86E88" w:rsidRDefault="00C86E88" w:rsidP="00C86E8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E88">
              <w:rPr>
                <w:rFonts w:ascii="Arial" w:hAnsi="Arial" w:cs="Arial"/>
                <w:sz w:val="20"/>
                <w:szCs w:val="20"/>
              </w:rPr>
              <w:t>They posit that usurping the power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6E88">
              <w:rPr>
                <w:rFonts w:ascii="Arial" w:hAnsi="Arial" w:cs="Arial"/>
                <w:sz w:val="20"/>
                <w:szCs w:val="20"/>
              </w:rPr>
              <w:t>voters to elect members of Congress violates the general principles upon which the structure of Maryland's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6E88">
              <w:rPr>
                <w:rFonts w:ascii="Arial" w:hAnsi="Arial" w:cs="Arial"/>
                <w:sz w:val="20"/>
                <w:szCs w:val="20"/>
              </w:rPr>
              <w:t>Government and its Constitution were founded.</w:t>
            </w:r>
          </w:p>
          <w:p w14:paraId="13FF5F64" w14:textId="28F6DCCA" w:rsidR="00ED671F" w:rsidRDefault="001464D4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Defendants </w:t>
            </w:r>
          </w:p>
          <w:p w14:paraId="050EF5E7" w14:textId="77777777" w:rsidR="001464D4" w:rsidRDefault="001464D4" w:rsidP="001464D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1464D4">
              <w:rPr>
                <w:rFonts w:ascii="Arial" w:hAnsi="Arial" w:cs="Arial"/>
                <w:sz w:val="20"/>
                <w:szCs w:val="20"/>
              </w:rPr>
              <w:t>laim that the text of Article III, Section 4, is limited to State legislative districting because the term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64D4">
              <w:rPr>
                <w:rFonts w:ascii="Arial" w:hAnsi="Arial" w:cs="Arial"/>
                <w:sz w:val="20"/>
                <w:szCs w:val="20"/>
              </w:rPr>
              <w:t>"legislative districts" refers "unambiguously to State legislative districts" whenever it appears in other provisions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64D4">
              <w:rPr>
                <w:rFonts w:ascii="Arial" w:hAnsi="Arial" w:cs="Arial"/>
                <w:sz w:val="20"/>
                <w:szCs w:val="20"/>
              </w:rPr>
              <w:t>the Constitution, and that when Congress is referred to the "c" is capitalized.</w:t>
            </w:r>
          </w:p>
          <w:p w14:paraId="73A2F8ED" w14:textId="77777777" w:rsidR="007A3D16" w:rsidRDefault="007A3D16" w:rsidP="007A3D1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A3D16">
              <w:rPr>
                <w:rFonts w:ascii="Arial" w:hAnsi="Arial" w:cs="Arial"/>
                <w:sz w:val="20"/>
                <w:szCs w:val="20"/>
              </w:rPr>
              <w:t>rgue that although a 1967 constitutional convention proposed a draft that included Constitutional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3D16">
              <w:rPr>
                <w:rFonts w:ascii="Arial" w:hAnsi="Arial" w:cs="Arial"/>
                <w:sz w:val="20"/>
                <w:szCs w:val="20"/>
              </w:rPr>
              <w:t>standards for both state districts and Congressional districting, the voters rejected the draft and that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3D16">
              <w:rPr>
                <w:rFonts w:ascii="Arial" w:hAnsi="Arial" w:cs="Arial"/>
                <w:sz w:val="20"/>
                <w:szCs w:val="20"/>
              </w:rPr>
              <w:t>Assembly drew the current Article III, Section 4 without reference to Congressional redistricting to enable the 1969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3D16">
              <w:rPr>
                <w:rFonts w:ascii="Arial" w:hAnsi="Arial" w:cs="Arial"/>
                <w:sz w:val="20"/>
                <w:szCs w:val="20"/>
              </w:rPr>
              <w:t>amendments to the Constitution to be adopted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958A01" w14:textId="4960F497" w:rsidR="000F44BA" w:rsidRDefault="000F44BA" w:rsidP="000F44B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Argue</w:t>
            </w:r>
            <w:r w:rsidRPr="000F44BA">
              <w:rPr>
                <w:rFonts w:ascii="Arial" w:hAnsi="Arial" w:cs="Arial"/>
                <w:sz w:val="20"/>
                <w:szCs w:val="20"/>
              </w:rPr>
              <w:t xml:space="preserve"> that the 2021 Congressional Plan does not violate the Free Elections Clause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4BA">
              <w:rPr>
                <w:rFonts w:ascii="Arial" w:hAnsi="Arial" w:cs="Arial"/>
                <w:sz w:val="20"/>
                <w:szCs w:val="20"/>
              </w:rPr>
              <w:t xml:space="preserve">Article 7, because that Section applies only to state elections. </w:t>
            </w:r>
          </w:p>
          <w:p w14:paraId="414D37C4" w14:textId="10511DC8" w:rsidR="000F44BA" w:rsidRPr="000F44BA" w:rsidRDefault="000F44BA" w:rsidP="000F44B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F44BA">
              <w:rPr>
                <w:rFonts w:ascii="Arial" w:hAnsi="Arial" w:cs="Arial"/>
                <w:sz w:val="20"/>
                <w:szCs w:val="20"/>
              </w:rPr>
              <w:t>The State observes that the capitalization of "L"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4BA">
              <w:rPr>
                <w:rFonts w:ascii="Arial" w:hAnsi="Arial" w:cs="Arial"/>
                <w:sz w:val="20"/>
                <w:szCs w:val="20"/>
              </w:rPr>
              <w:t>"Legislature," is a direct reference to the General Assembly.</w:t>
            </w:r>
          </w:p>
          <w:p w14:paraId="353726EB" w14:textId="6C6D769D" w:rsidR="008174C4" w:rsidRDefault="008174C4" w:rsidP="000F44B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174C4">
              <w:rPr>
                <w:rFonts w:ascii="Arial" w:hAnsi="Arial" w:cs="Arial"/>
                <w:sz w:val="20"/>
                <w:szCs w:val="20"/>
              </w:rPr>
              <w:t>ssert that the legislative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74C4">
              <w:rPr>
                <w:rFonts w:ascii="Arial" w:hAnsi="Arial" w:cs="Arial"/>
                <w:sz w:val="20"/>
                <w:szCs w:val="20"/>
              </w:rPr>
              <w:t>history of Article 7, particularly surrounding debates regarding the frequency of elections, indicates that the 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74C4">
              <w:rPr>
                <w:rFonts w:ascii="Arial" w:hAnsi="Arial" w:cs="Arial"/>
                <w:sz w:val="20"/>
                <w:szCs w:val="20"/>
              </w:rPr>
              <w:t xml:space="preserve">Elections Clause could not apply to </w:t>
            </w:r>
            <w:r w:rsidRPr="008174C4">
              <w:rPr>
                <w:rFonts w:ascii="Arial" w:hAnsi="Arial" w:cs="Arial"/>
                <w:sz w:val="20"/>
                <w:szCs w:val="20"/>
              </w:rPr>
              <w:lastRenderedPageBreak/>
              <w:t>federal elections, "for which the State is powerless to control the frequency."</w:t>
            </w:r>
          </w:p>
          <w:p w14:paraId="2FDB011A" w14:textId="77777777" w:rsidR="00C57DDA" w:rsidRDefault="00C57DDA" w:rsidP="00C57DD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57DDA">
              <w:rPr>
                <w:rFonts w:ascii="Arial" w:hAnsi="Arial" w:cs="Arial"/>
                <w:sz w:val="20"/>
                <w:szCs w:val="20"/>
              </w:rPr>
              <w:t>ssert that the Plaintiffs have offered no basis for an interpretation broader than that by the Supreme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7DDA">
              <w:rPr>
                <w:rFonts w:ascii="Arial" w:hAnsi="Arial" w:cs="Arial"/>
                <w:sz w:val="20"/>
                <w:szCs w:val="20"/>
              </w:rPr>
              <w:t xml:space="preserve">Court of the Fourteenth Amendment in </w:t>
            </w:r>
            <w:proofErr w:type="spellStart"/>
            <w:r w:rsidRPr="00C57DDA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 w:rsidRPr="00C57DD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E6C6670" w14:textId="7A8C080B" w:rsidR="00C57DDA" w:rsidRDefault="00C57DDA" w:rsidP="00C57DD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7DDA">
              <w:rPr>
                <w:rFonts w:ascii="Arial" w:hAnsi="Arial" w:cs="Arial"/>
                <w:sz w:val="20"/>
                <w:szCs w:val="20"/>
              </w:rPr>
              <w:t>The State posits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7DDA">
              <w:rPr>
                <w:rFonts w:ascii="Arial" w:hAnsi="Arial" w:cs="Arial"/>
                <w:sz w:val="20"/>
                <w:szCs w:val="20"/>
              </w:rPr>
              <w:t>that the scope of equal protection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7DDA">
              <w:rPr>
                <w:rFonts w:ascii="Arial" w:hAnsi="Arial" w:cs="Arial"/>
                <w:sz w:val="20"/>
                <w:szCs w:val="20"/>
              </w:rPr>
              <w:t>Maryland is the same as, that which is embodied in the federal constitution in the Fourteenth Amendment.</w:t>
            </w:r>
          </w:p>
          <w:p w14:paraId="691D831B" w14:textId="702630E1" w:rsidR="00751FCC" w:rsidRDefault="00751FCC" w:rsidP="00751F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51FCC">
              <w:rPr>
                <w:rFonts w:ascii="Arial" w:hAnsi="Arial" w:cs="Arial"/>
                <w:sz w:val="20"/>
                <w:szCs w:val="20"/>
              </w:rPr>
              <w:t>rgue</w:t>
            </w:r>
            <w:r w:rsidR="001E40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CC">
              <w:rPr>
                <w:rFonts w:ascii="Arial" w:hAnsi="Arial" w:cs="Arial"/>
                <w:sz w:val="20"/>
                <w:szCs w:val="20"/>
              </w:rPr>
              <w:t>in their Motion to Dismiss that the Plaintiffs' claims under Article 40 purport to "parrot" 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CC">
              <w:rPr>
                <w:rFonts w:ascii="Arial" w:hAnsi="Arial" w:cs="Arial"/>
                <w:sz w:val="20"/>
                <w:szCs w:val="20"/>
              </w:rPr>
              <w:t>speech claims that are the same as those offered under the First Amendment to the United States Constitution,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1FCC">
              <w:rPr>
                <w:rFonts w:ascii="Arial" w:hAnsi="Arial" w:cs="Arial"/>
                <w:sz w:val="20"/>
                <w:szCs w:val="20"/>
              </w:rPr>
              <w:t>which the Supreme Court has rejected in the redistricting context.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2E106B" w14:textId="7A76EB41" w:rsidR="00263A79" w:rsidRDefault="00263A79" w:rsidP="00263A7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63A79">
              <w:rPr>
                <w:rFonts w:ascii="Arial" w:hAnsi="Arial" w:cs="Arial"/>
                <w:sz w:val="20"/>
                <w:szCs w:val="20"/>
              </w:rPr>
              <w:t>ssert that the because the Maryland Court of Appeals has generally treated the rights enshrined under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3A79">
              <w:rPr>
                <w:rFonts w:ascii="Arial" w:hAnsi="Arial" w:cs="Arial"/>
                <w:sz w:val="20"/>
                <w:szCs w:val="20"/>
              </w:rPr>
              <w:t>Articles 40 as "coextensive" with its federal counterpart and has specifically adhered to Supreme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3A79">
              <w:rPr>
                <w:rFonts w:ascii="Arial" w:hAnsi="Arial" w:cs="Arial"/>
                <w:sz w:val="20"/>
                <w:szCs w:val="20"/>
              </w:rPr>
              <w:t>guidance regarding partisan gerrymandering claims, the free speech cause of action should have been dismissed.</w:t>
            </w:r>
          </w:p>
          <w:p w14:paraId="3F2C1B51" w14:textId="1D1872AF" w:rsidR="00D07800" w:rsidRDefault="00D07800" w:rsidP="00D0780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07800">
              <w:rPr>
                <w:rFonts w:ascii="Arial" w:hAnsi="Arial" w:cs="Arial"/>
                <w:sz w:val="20"/>
                <w:szCs w:val="20"/>
              </w:rPr>
              <w:t>osit that judicially manageable standards do not exist under the Maryland Constitution,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7800">
              <w:rPr>
                <w:rFonts w:ascii="Arial" w:hAnsi="Arial" w:cs="Arial"/>
                <w:sz w:val="20"/>
                <w:szCs w:val="20"/>
              </w:rPr>
              <w:t>and further, applicable statutes adjudicating claims regarding Congressional districts do not exist in Maryland.</w:t>
            </w:r>
          </w:p>
          <w:p w14:paraId="7055E61F" w14:textId="77777777" w:rsidR="00CD0CC2" w:rsidRDefault="00CD0CC2" w:rsidP="00CD0CC2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D0CC2">
              <w:rPr>
                <w:rFonts w:ascii="Arial" w:hAnsi="Arial" w:cs="Arial"/>
                <w:sz w:val="20"/>
                <w:szCs w:val="20"/>
              </w:rPr>
              <w:t>rgues, either Congress or the General Assembly must decide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0CC2">
              <w:rPr>
                <w:rFonts w:ascii="Arial" w:hAnsi="Arial" w:cs="Arial"/>
                <w:sz w:val="20"/>
                <w:szCs w:val="20"/>
              </w:rPr>
              <w:t xml:space="preserve">impose statutory restrictions or adopt constitutional amendments to regulate Congressional districting. </w:t>
            </w:r>
          </w:p>
          <w:p w14:paraId="4DF47445" w14:textId="7FD14AF8" w:rsidR="00CD0CC2" w:rsidRPr="00CD0CC2" w:rsidRDefault="00CD0CC2" w:rsidP="00CD0CC2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D0CC2">
              <w:rPr>
                <w:rFonts w:ascii="Arial" w:hAnsi="Arial" w:cs="Arial"/>
                <w:sz w:val="20"/>
                <w:szCs w:val="20"/>
              </w:rPr>
              <w:t>Until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0CC2">
              <w:rPr>
                <w:rFonts w:ascii="Arial" w:hAnsi="Arial" w:cs="Arial"/>
                <w:sz w:val="20"/>
                <w:szCs w:val="20"/>
              </w:rPr>
              <w:t>congressional or state action is taken, Defendants aver that Plaintiffs will continue to lack a remedy under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0CC2">
              <w:rPr>
                <w:rFonts w:ascii="Arial" w:hAnsi="Arial" w:cs="Arial"/>
                <w:sz w:val="20"/>
                <w:szCs w:val="20"/>
              </w:rPr>
              <w:t>Maryland Constitution or Declaration of Rights.</w:t>
            </w:r>
          </w:p>
          <w:p w14:paraId="2B5C0BDB" w14:textId="0090270F" w:rsidR="008174C4" w:rsidRPr="008174C4" w:rsidRDefault="008174C4" w:rsidP="008174C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1ED2CCA4" w:rsidR="00ED671F" w:rsidRPr="008D467C" w:rsidRDefault="0010794D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3F35" w14:textId="77777777" w:rsidR="004A6EEF" w:rsidRDefault="004A6EEF" w:rsidP="006B1C1F">
      <w:pPr>
        <w:spacing w:line="240" w:lineRule="auto"/>
      </w:pPr>
      <w:r>
        <w:separator/>
      </w:r>
    </w:p>
  </w:endnote>
  <w:endnote w:type="continuationSeparator" w:id="0">
    <w:p w14:paraId="195CFA67" w14:textId="77777777" w:rsidR="004A6EEF" w:rsidRDefault="004A6EEF" w:rsidP="006B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5B5A" w14:textId="77777777" w:rsidR="004A6EEF" w:rsidRDefault="004A6EEF" w:rsidP="006B1C1F">
      <w:pPr>
        <w:spacing w:line="240" w:lineRule="auto"/>
      </w:pPr>
      <w:r>
        <w:separator/>
      </w:r>
    </w:p>
  </w:footnote>
  <w:footnote w:type="continuationSeparator" w:id="0">
    <w:p w14:paraId="21B6B34F" w14:textId="77777777" w:rsidR="004A6EEF" w:rsidRDefault="004A6EEF" w:rsidP="006B1C1F">
      <w:pPr>
        <w:spacing w:line="240" w:lineRule="auto"/>
      </w:pPr>
      <w:r>
        <w:continuationSeparator/>
      </w:r>
    </w:p>
  </w:footnote>
  <w:footnote w:id="1">
    <w:p w14:paraId="2A720209" w14:textId="79B9F0FE" w:rsidR="00DC14B4" w:rsidRDefault="00DC14B4" w:rsidP="00DC14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 of the judge w</w:t>
      </w:r>
      <w:r w:rsidR="00FA173B">
        <w:t>as</w:t>
      </w:r>
      <w:r w:rsidRPr="008A6FC9">
        <w:t xml:space="preserve"> obtained via Google desktop searches, which may not be entirely accurate.</w:t>
      </w:r>
    </w:p>
  </w:footnote>
  <w:footnote w:id="2">
    <w:p w14:paraId="501E7BB0" w14:textId="4022876E" w:rsidR="006B1C1F" w:rsidRDefault="006B1C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9660A">
        <w:rPr>
          <w:i/>
          <w:iCs/>
        </w:rPr>
        <w:t xml:space="preserve">See </w:t>
      </w:r>
      <w:r>
        <w:t xml:space="preserve">Bennett Leckrone, </w:t>
      </w:r>
      <w:r w:rsidRPr="006B1C1F">
        <w:rPr>
          <w:i/>
          <w:iCs/>
        </w:rPr>
        <w:t>Maryland Congressional Redistricting Whirlwind Comes To A Close</w:t>
      </w:r>
      <w:r>
        <w:t xml:space="preserve">, </w:t>
      </w:r>
      <w:r w:rsidRPr="006B1C1F">
        <w:rPr>
          <w:smallCaps/>
        </w:rPr>
        <w:t>Maryland Matters</w:t>
      </w:r>
      <w:r>
        <w:t xml:space="preserve"> (Apr. 4, 2022), </w:t>
      </w:r>
      <w:hyperlink r:id="rId1" w:history="1">
        <w:r w:rsidRPr="003100B0">
          <w:rPr>
            <w:rStyle w:val="Hyperlink"/>
          </w:rPr>
          <w:t>https://www.marylandmatters.org/2022/04/04/hogan-to-sign-redrawn-congressional-map-appeal-on-earlier-map-to-be-withdrawn/</w:t>
        </w:r>
      </w:hyperlink>
      <w:r>
        <w:t>.</w:t>
      </w:r>
      <w:r w:rsidR="00D52CBC">
        <w:t xml:space="preserve">  </w:t>
      </w:r>
      <w:r w:rsidR="00D52CBC">
        <w:rPr>
          <w:i/>
          <w:iCs/>
        </w:rPr>
        <w:t xml:space="preserve">See also </w:t>
      </w:r>
      <w:r w:rsidR="00D52CBC">
        <w:t xml:space="preserve">Bennet Leckrone, </w:t>
      </w:r>
      <w:r w:rsidR="00D52CBC" w:rsidRPr="00D52CBC">
        <w:rPr>
          <w:i/>
          <w:iCs/>
        </w:rPr>
        <w:t>What’s in Store for Future Congressional Redistricting Cycles in Maryland?</w:t>
      </w:r>
      <w:r w:rsidR="00D52CBC">
        <w:t xml:space="preserve">, </w:t>
      </w:r>
      <w:r w:rsidR="00D52CBC" w:rsidRPr="00D52CBC">
        <w:rPr>
          <w:smallCaps/>
        </w:rPr>
        <w:t>Maryland Matters</w:t>
      </w:r>
      <w:r w:rsidR="00D52CBC">
        <w:t xml:space="preserve"> (Apr. 21, 2022), </w:t>
      </w:r>
      <w:hyperlink r:id="rId2" w:history="1">
        <w:r w:rsidR="00D52CBC" w:rsidRPr="003100B0">
          <w:rPr>
            <w:rStyle w:val="Hyperlink"/>
          </w:rPr>
          <w:t>https://www.marylandmatters.org/2022/04/21/whats-in-store-for-future-congressional-redistricting-cycles-in-maryland/</w:t>
        </w:r>
      </w:hyperlink>
      <w:r w:rsidR="00D52CBC">
        <w:t xml:space="preserve">. </w:t>
      </w:r>
      <w:r>
        <w:t xml:space="preserve"> </w:t>
      </w:r>
    </w:p>
  </w:footnote>
  <w:footnote w:id="3">
    <w:p w14:paraId="323058A8" w14:textId="40AB096C" w:rsidR="00AB01B9" w:rsidRDefault="00AB01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B01B9">
        <w:t>The only statutes in Maryland that bear on Congressional redistricting include Section 8-701 through 8-709 of the Election Law Article of the Maryland Code, which do not include standards or criteria by which Congressional districting maps must be drawn.</w:t>
      </w:r>
    </w:p>
  </w:footnote>
  <w:footnote w:id="4">
    <w:p w14:paraId="32D0A05E" w14:textId="2EF56AA8" w:rsidR="00464B62" w:rsidRDefault="00464B62" w:rsidP="00464B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D77B3" w:rsidRPr="005D77B3">
        <w:rPr>
          <w:i/>
          <w:iCs/>
        </w:rPr>
        <w:t>Md. Green Party v. Md. Bd. of Elections</w:t>
      </w:r>
      <w:r w:rsidR="005D77B3" w:rsidRPr="005D77B3">
        <w:t>, 377 Md. 127 (2003)</w:t>
      </w:r>
      <w:r>
        <w:t>, concerned an attempt by the Green Party to get candidate on the ballot for election to Congress, in the state's first congressional district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1285A"/>
    <w:rsid w:val="00024FC3"/>
    <w:rsid w:val="00025E56"/>
    <w:rsid w:val="00031BFF"/>
    <w:rsid w:val="0003271E"/>
    <w:rsid w:val="00036F0B"/>
    <w:rsid w:val="000423F8"/>
    <w:rsid w:val="00053DC6"/>
    <w:rsid w:val="00056990"/>
    <w:rsid w:val="000612B8"/>
    <w:rsid w:val="00061BAC"/>
    <w:rsid w:val="000731B7"/>
    <w:rsid w:val="00076B24"/>
    <w:rsid w:val="00094E0D"/>
    <w:rsid w:val="000C54F4"/>
    <w:rsid w:val="000C62F3"/>
    <w:rsid w:val="000C6405"/>
    <w:rsid w:val="000D138D"/>
    <w:rsid w:val="000D6927"/>
    <w:rsid w:val="000E1185"/>
    <w:rsid w:val="000E2B5F"/>
    <w:rsid w:val="000F06B0"/>
    <w:rsid w:val="000F44BA"/>
    <w:rsid w:val="000F59AD"/>
    <w:rsid w:val="000F7680"/>
    <w:rsid w:val="000F7880"/>
    <w:rsid w:val="0010794D"/>
    <w:rsid w:val="00134C64"/>
    <w:rsid w:val="001455D2"/>
    <w:rsid w:val="00145B7B"/>
    <w:rsid w:val="001464D4"/>
    <w:rsid w:val="0015052D"/>
    <w:rsid w:val="00165574"/>
    <w:rsid w:val="00166C13"/>
    <w:rsid w:val="001736F3"/>
    <w:rsid w:val="00174887"/>
    <w:rsid w:val="00181207"/>
    <w:rsid w:val="00183CD7"/>
    <w:rsid w:val="00191BE3"/>
    <w:rsid w:val="0019339A"/>
    <w:rsid w:val="00195291"/>
    <w:rsid w:val="001B45BC"/>
    <w:rsid w:val="001C6C01"/>
    <w:rsid w:val="001D1879"/>
    <w:rsid w:val="001D3CF1"/>
    <w:rsid w:val="001D76DA"/>
    <w:rsid w:val="001E40E8"/>
    <w:rsid w:val="001E6844"/>
    <w:rsid w:val="001F32D6"/>
    <w:rsid w:val="00200EB2"/>
    <w:rsid w:val="002062EA"/>
    <w:rsid w:val="00207D95"/>
    <w:rsid w:val="00211E23"/>
    <w:rsid w:val="00212664"/>
    <w:rsid w:val="00215EC7"/>
    <w:rsid w:val="0022426A"/>
    <w:rsid w:val="00225810"/>
    <w:rsid w:val="002358A3"/>
    <w:rsid w:val="00263A79"/>
    <w:rsid w:val="00264C5A"/>
    <w:rsid w:val="00267920"/>
    <w:rsid w:val="00271211"/>
    <w:rsid w:val="0027367E"/>
    <w:rsid w:val="00273E95"/>
    <w:rsid w:val="002810F2"/>
    <w:rsid w:val="002856A4"/>
    <w:rsid w:val="00290BB0"/>
    <w:rsid w:val="0029197D"/>
    <w:rsid w:val="00291FAC"/>
    <w:rsid w:val="002B372D"/>
    <w:rsid w:val="002C0D8E"/>
    <w:rsid w:val="002C2AAC"/>
    <w:rsid w:val="002E0856"/>
    <w:rsid w:val="002F086B"/>
    <w:rsid w:val="002F2819"/>
    <w:rsid w:val="002F4828"/>
    <w:rsid w:val="002F76F6"/>
    <w:rsid w:val="00303865"/>
    <w:rsid w:val="003216E3"/>
    <w:rsid w:val="0032595F"/>
    <w:rsid w:val="00327773"/>
    <w:rsid w:val="00330EC1"/>
    <w:rsid w:val="00332874"/>
    <w:rsid w:val="0033358A"/>
    <w:rsid w:val="00334C92"/>
    <w:rsid w:val="0034242C"/>
    <w:rsid w:val="003427AD"/>
    <w:rsid w:val="00344CE9"/>
    <w:rsid w:val="003543FB"/>
    <w:rsid w:val="00372E77"/>
    <w:rsid w:val="00372F65"/>
    <w:rsid w:val="003773A1"/>
    <w:rsid w:val="00381EF8"/>
    <w:rsid w:val="003C2A92"/>
    <w:rsid w:val="003C70AD"/>
    <w:rsid w:val="003D65B4"/>
    <w:rsid w:val="003D7D1A"/>
    <w:rsid w:val="003E08F1"/>
    <w:rsid w:val="003F5A18"/>
    <w:rsid w:val="0041780A"/>
    <w:rsid w:val="00437768"/>
    <w:rsid w:val="0045618C"/>
    <w:rsid w:val="00464325"/>
    <w:rsid w:val="00464B62"/>
    <w:rsid w:val="00470B54"/>
    <w:rsid w:val="0047192B"/>
    <w:rsid w:val="00471CFA"/>
    <w:rsid w:val="00472D4A"/>
    <w:rsid w:val="00472FED"/>
    <w:rsid w:val="00474A3C"/>
    <w:rsid w:val="0047710B"/>
    <w:rsid w:val="0048686E"/>
    <w:rsid w:val="004A2C87"/>
    <w:rsid w:val="004A41E6"/>
    <w:rsid w:val="004A6EEF"/>
    <w:rsid w:val="004B358F"/>
    <w:rsid w:val="004D1C67"/>
    <w:rsid w:val="004D2BCC"/>
    <w:rsid w:val="00513E4D"/>
    <w:rsid w:val="00515521"/>
    <w:rsid w:val="0052532C"/>
    <w:rsid w:val="00537B72"/>
    <w:rsid w:val="00545F08"/>
    <w:rsid w:val="005613F8"/>
    <w:rsid w:val="005810D9"/>
    <w:rsid w:val="005865ED"/>
    <w:rsid w:val="005914FA"/>
    <w:rsid w:val="0059660A"/>
    <w:rsid w:val="005A0373"/>
    <w:rsid w:val="005A4170"/>
    <w:rsid w:val="005B421F"/>
    <w:rsid w:val="005B5075"/>
    <w:rsid w:val="005B760B"/>
    <w:rsid w:val="005B7FFE"/>
    <w:rsid w:val="005D746D"/>
    <w:rsid w:val="005D77B3"/>
    <w:rsid w:val="005F13B6"/>
    <w:rsid w:val="005F539F"/>
    <w:rsid w:val="005F7580"/>
    <w:rsid w:val="005F7C1D"/>
    <w:rsid w:val="00604BE7"/>
    <w:rsid w:val="00613034"/>
    <w:rsid w:val="00643A05"/>
    <w:rsid w:val="0064561F"/>
    <w:rsid w:val="0064578E"/>
    <w:rsid w:val="006502FF"/>
    <w:rsid w:val="00671155"/>
    <w:rsid w:val="0067223B"/>
    <w:rsid w:val="00675CB7"/>
    <w:rsid w:val="00676213"/>
    <w:rsid w:val="006A08C1"/>
    <w:rsid w:val="006A0B60"/>
    <w:rsid w:val="006B1C1F"/>
    <w:rsid w:val="006B1C61"/>
    <w:rsid w:val="006B2AD8"/>
    <w:rsid w:val="006B2D20"/>
    <w:rsid w:val="006B58B0"/>
    <w:rsid w:val="006B5C2F"/>
    <w:rsid w:val="006E0EA8"/>
    <w:rsid w:val="006E36CF"/>
    <w:rsid w:val="006F2C19"/>
    <w:rsid w:val="006F6E5C"/>
    <w:rsid w:val="007306C7"/>
    <w:rsid w:val="007310E0"/>
    <w:rsid w:val="00731F4B"/>
    <w:rsid w:val="0074179F"/>
    <w:rsid w:val="00750AC1"/>
    <w:rsid w:val="00751FCC"/>
    <w:rsid w:val="00760B4C"/>
    <w:rsid w:val="007621D3"/>
    <w:rsid w:val="00765773"/>
    <w:rsid w:val="00765D3C"/>
    <w:rsid w:val="00775D09"/>
    <w:rsid w:val="00785352"/>
    <w:rsid w:val="007910CC"/>
    <w:rsid w:val="0079288A"/>
    <w:rsid w:val="007A1667"/>
    <w:rsid w:val="007A3D16"/>
    <w:rsid w:val="007A42D7"/>
    <w:rsid w:val="007A7C4C"/>
    <w:rsid w:val="007C2957"/>
    <w:rsid w:val="007C775F"/>
    <w:rsid w:val="007C7D86"/>
    <w:rsid w:val="007D63B1"/>
    <w:rsid w:val="007E6C25"/>
    <w:rsid w:val="007E6EBF"/>
    <w:rsid w:val="007F4602"/>
    <w:rsid w:val="007F6669"/>
    <w:rsid w:val="007F73CA"/>
    <w:rsid w:val="008042C7"/>
    <w:rsid w:val="00804DC1"/>
    <w:rsid w:val="00804E43"/>
    <w:rsid w:val="00806C22"/>
    <w:rsid w:val="008174C4"/>
    <w:rsid w:val="0082403E"/>
    <w:rsid w:val="00825E45"/>
    <w:rsid w:val="0082772E"/>
    <w:rsid w:val="00844304"/>
    <w:rsid w:val="0084773C"/>
    <w:rsid w:val="00852EA3"/>
    <w:rsid w:val="0085424B"/>
    <w:rsid w:val="00855906"/>
    <w:rsid w:val="00862078"/>
    <w:rsid w:val="008775BD"/>
    <w:rsid w:val="0089629B"/>
    <w:rsid w:val="00897266"/>
    <w:rsid w:val="008D467C"/>
    <w:rsid w:val="008D66FD"/>
    <w:rsid w:val="008E1661"/>
    <w:rsid w:val="008E17E9"/>
    <w:rsid w:val="008E6D44"/>
    <w:rsid w:val="008F661A"/>
    <w:rsid w:val="00901B6F"/>
    <w:rsid w:val="00905D1D"/>
    <w:rsid w:val="00906592"/>
    <w:rsid w:val="009108BB"/>
    <w:rsid w:val="009422A7"/>
    <w:rsid w:val="00945C1B"/>
    <w:rsid w:val="00952711"/>
    <w:rsid w:val="00975EFF"/>
    <w:rsid w:val="00977969"/>
    <w:rsid w:val="00986FBE"/>
    <w:rsid w:val="0099185A"/>
    <w:rsid w:val="00992B19"/>
    <w:rsid w:val="009A23AE"/>
    <w:rsid w:val="009A6F30"/>
    <w:rsid w:val="009A72E8"/>
    <w:rsid w:val="009B1A73"/>
    <w:rsid w:val="009B1B98"/>
    <w:rsid w:val="009C15E5"/>
    <w:rsid w:val="009C3E66"/>
    <w:rsid w:val="009C6C77"/>
    <w:rsid w:val="009E05CC"/>
    <w:rsid w:val="009E0842"/>
    <w:rsid w:val="009E3907"/>
    <w:rsid w:val="00A05E3D"/>
    <w:rsid w:val="00A06B83"/>
    <w:rsid w:val="00A06E0F"/>
    <w:rsid w:val="00A10326"/>
    <w:rsid w:val="00A12C0B"/>
    <w:rsid w:val="00A136DD"/>
    <w:rsid w:val="00A175AC"/>
    <w:rsid w:val="00A22BD7"/>
    <w:rsid w:val="00A30963"/>
    <w:rsid w:val="00A30D58"/>
    <w:rsid w:val="00A313B3"/>
    <w:rsid w:val="00A402B4"/>
    <w:rsid w:val="00A511C7"/>
    <w:rsid w:val="00A522D6"/>
    <w:rsid w:val="00A56902"/>
    <w:rsid w:val="00A61043"/>
    <w:rsid w:val="00A64C3F"/>
    <w:rsid w:val="00A71C57"/>
    <w:rsid w:val="00A7430D"/>
    <w:rsid w:val="00A80CBB"/>
    <w:rsid w:val="00A90B0E"/>
    <w:rsid w:val="00AA168D"/>
    <w:rsid w:val="00AA4DAE"/>
    <w:rsid w:val="00AB01B9"/>
    <w:rsid w:val="00AB7083"/>
    <w:rsid w:val="00AC1E63"/>
    <w:rsid w:val="00AC57A6"/>
    <w:rsid w:val="00AD083C"/>
    <w:rsid w:val="00AE1FFA"/>
    <w:rsid w:val="00AE419A"/>
    <w:rsid w:val="00AE5EE9"/>
    <w:rsid w:val="00AF20C5"/>
    <w:rsid w:val="00AF452D"/>
    <w:rsid w:val="00AF724C"/>
    <w:rsid w:val="00B00031"/>
    <w:rsid w:val="00B01256"/>
    <w:rsid w:val="00B07787"/>
    <w:rsid w:val="00B11B08"/>
    <w:rsid w:val="00B17476"/>
    <w:rsid w:val="00B401E4"/>
    <w:rsid w:val="00B44B83"/>
    <w:rsid w:val="00B665A3"/>
    <w:rsid w:val="00B8711F"/>
    <w:rsid w:val="00B932D8"/>
    <w:rsid w:val="00BA4FAC"/>
    <w:rsid w:val="00BA7AB1"/>
    <w:rsid w:val="00BA7AB6"/>
    <w:rsid w:val="00BB292F"/>
    <w:rsid w:val="00BD1559"/>
    <w:rsid w:val="00BD5F8B"/>
    <w:rsid w:val="00BE0D64"/>
    <w:rsid w:val="00C13297"/>
    <w:rsid w:val="00C16C8D"/>
    <w:rsid w:val="00C21E8E"/>
    <w:rsid w:val="00C4022C"/>
    <w:rsid w:val="00C552C0"/>
    <w:rsid w:val="00C56A0C"/>
    <w:rsid w:val="00C57DDA"/>
    <w:rsid w:val="00C67AFE"/>
    <w:rsid w:val="00C751FE"/>
    <w:rsid w:val="00C77F6D"/>
    <w:rsid w:val="00C81591"/>
    <w:rsid w:val="00C81CEF"/>
    <w:rsid w:val="00C824A1"/>
    <w:rsid w:val="00C842DB"/>
    <w:rsid w:val="00C846F3"/>
    <w:rsid w:val="00C86E88"/>
    <w:rsid w:val="00CA1CBF"/>
    <w:rsid w:val="00CA7970"/>
    <w:rsid w:val="00CB51AA"/>
    <w:rsid w:val="00CC527C"/>
    <w:rsid w:val="00CD0CC2"/>
    <w:rsid w:val="00CD4485"/>
    <w:rsid w:val="00CD63B7"/>
    <w:rsid w:val="00CE204D"/>
    <w:rsid w:val="00CF0C10"/>
    <w:rsid w:val="00CF308E"/>
    <w:rsid w:val="00D07800"/>
    <w:rsid w:val="00D4033A"/>
    <w:rsid w:val="00D40A68"/>
    <w:rsid w:val="00D52CBC"/>
    <w:rsid w:val="00D53C14"/>
    <w:rsid w:val="00D611CD"/>
    <w:rsid w:val="00D61314"/>
    <w:rsid w:val="00D632BA"/>
    <w:rsid w:val="00D64528"/>
    <w:rsid w:val="00D67E4B"/>
    <w:rsid w:val="00D73B91"/>
    <w:rsid w:val="00D866BD"/>
    <w:rsid w:val="00D90943"/>
    <w:rsid w:val="00DA5943"/>
    <w:rsid w:val="00DC14B4"/>
    <w:rsid w:val="00DC318D"/>
    <w:rsid w:val="00DC6F51"/>
    <w:rsid w:val="00DD4D5B"/>
    <w:rsid w:val="00DD66C7"/>
    <w:rsid w:val="00DD7F5E"/>
    <w:rsid w:val="00DE1886"/>
    <w:rsid w:val="00DF0717"/>
    <w:rsid w:val="00DF450D"/>
    <w:rsid w:val="00E0690F"/>
    <w:rsid w:val="00E124D6"/>
    <w:rsid w:val="00E12D7A"/>
    <w:rsid w:val="00E21002"/>
    <w:rsid w:val="00E2275E"/>
    <w:rsid w:val="00E22B20"/>
    <w:rsid w:val="00E245DB"/>
    <w:rsid w:val="00E2668A"/>
    <w:rsid w:val="00E341E6"/>
    <w:rsid w:val="00E36A1E"/>
    <w:rsid w:val="00E4178A"/>
    <w:rsid w:val="00E72929"/>
    <w:rsid w:val="00E73DEB"/>
    <w:rsid w:val="00E86F2B"/>
    <w:rsid w:val="00EA5E9D"/>
    <w:rsid w:val="00EC6E19"/>
    <w:rsid w:val="00ED32B3"/>
    <w:rsid w:val="00ED671F"/>
    <w:rsid w:val="00EE2D91"/>
    <w:rsid w:val="00EE4689"/>
    <w:rsid w:val="00EE4824"/>
    <w:rsid w:val="00EF48ED"/>
    <w:rsid w:val="00EF62D8"/>
    <w:rsid w:val="00EF6ECA"/>
    <w:rsid w:val="00F06ACF"/>
    <w:rsid w:val="00F1414C"/>
    <w:rsid w:val="00F21489"/>
    <w:rsid w:val="00F262CF"/>
    <w:rsid w:val="00F36690"/>
    <w:rsid w:val="00F36DBB"/>
    <w:rsid w:val="00F407AC"/>
    <w:rsid w:val="00F42685"/>
    <w:rsid w:val="00F44F23"/>
    <w:rsid w:val="00F63FF9"/>
    <w:rsid w:val="00F658A6"/>
    <w:rsid w:val="00F73E82"/>
    <w:rsid w:val="00F90ABB"/>
    <w:rsid w:val="00F9789E"/>
    <w:rsid w:val="00FA173B"/>
    <w:rsid w:val="00FA46AE"/>
    <w:rsid w:val="00FC1FCB"/>
    <w:rsid w:val="00FD0320"/>
    <w:rsid w:val="00FD0BC0"/>
    <w:rsid w:val="00FD29C4"/>
    <w:rsid w:val="00FE2F6B"/>
    <w:rsid w:val="00FE4207"/>
    <w:rsid w:val="00FE4272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C1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C1F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1C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B1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rylandmatters.org/2022/04/21/whats-in-store-for-future-congressional-redistricting-cycles-in-maryland/" TargetMode="External"/><Relationship Id="rId1" Type="http://schemas.openxmlformats.org/officeDocument/2006/relationships/hyperlink" Target="https://www.marylandmatters.org/2022/04/04/hogan-to-sign-redrawn-congressional-map-appeal-on-earlier-map-to-be-withdra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220</cp:revision>
  <dcterms:created xsi:type="dcterms:W3CDTF">2022-10-08T00:35:00Z</dcterms:created>
  <dcterms:modified xsi:type="dcterms:W3CDTF">2022-10-11T00:59:00Z</dcterms:modified>
</cp:coreProperties>
</file>