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EEBC" w14:textId="0C4C55F5" w:rsidR="006F2C19" w:rsidRPr="00D73B91" w:rsidRDefault="00CA7970">
      <w:pPr>
        <w:rPr>
          <w:szCs w:val="20"/>
        </w:rPr>
      </w:pPr>
      <w:r w:rsidRPr="00D73B91">
        <w:rPr>
          <w:szCs w:val="20"/>
        </w:rPr>
        <w:t xml:space="preserve">To: </w:t>
      </w:r>
      <w:r w:rsidRPr="00D73B91">
        <w:rPr>
          <w:szCs w:val="20"/>
        </w:rPr>
        <w:tab/>
      </w:r>
      <w:r w:rsidR="005F7C1D">
        <w:rPr>
          <w:szCs w:val="20"/>
        </w:rPr>
        <w:t xml:space="preserve">Jonathan </w:t>
      </w:r>
      <w:proofErr w:type="spellStart"/>
      <w:r w:rsidR="005F7C1D">
        <w:rPr>
          <w:szCs w:val="20"/>
        </w:rPr>
        <w:t>Cervas</w:t>
      </w:r>
      <w:proofErr w:type="spellEnd"/>
      <w:r w:rsidR="0082403E">
        <w:rPr>
          <w:szCs w:val="20"/>
        </w:rPr>
        <w:t>, Ph.</w:t>
      </w:r>
      <w:r w:rsidR="00472FED">
        <w:rPr>
          <w:szCs w:val="20"/>
        </w:rPr>
        <w:t xml:space="preserve">D. &amp; Bernard </w:t>
      </w:r>
      <w:proofErr w:type="spellStart"/>
      <w:r w:rsidR="00472FED">
        <w:rPr>
          <w:szCs w:val="20"/>
        </w:rPr>
        <w:t>Grofman</w:t>
      </w:r>
      <w:proofErr w:type="spellEnd"/>
      <w:r w:rsidR="00472FED">
        <w:rPr>
          <w:szCs w:val="20"/>
        </w:rPr>
        <w:t>, Ph.D.</w:t>
      </w:r>
    </w:p>
    <w:p w14:paraId="3C1F65CF" w14:textId="77777777" w:rsidR="00CA7970" w:rsidRPr="00D73B91" w:rsidRDefault="00CA7970">
      <w:pPr>
        <w:rPr>
          <w:szCs w:val="20"/>
        </w:rPr>
      </w:pPr>
      <w:r w:rsidRPr="00D73B91">
        <w:rPr>
          <w:szCs w:val="20"/>
        </w:rPr>
        <w:t>From:</w:t>
      </w:r>
      <w:r w:rsidRPr="00D73B91">
        <w:rPr>
          <w:szCs w:val="20"/>
        </w:rPr>
        <w:tab/>
        <w:t>Scott Matsuda</w:t>
      </w:r>
    </w:p>
    <w:p w14:paraId="1B9182EE" w14:textId="790468E3" w:rsidR="00CA7970" w:rsidRPr="00D73B91" w:rsidRDefault="00CA7970">
      <w:pPr>
        <w:rPr>
          <w:szCs w:val="20"/>
        </w:rPr>
      </w:pPr>
      <w:r w:rsidRPr="00D73B91">
        <w:rPr>
          <w:szCs w:val="20"/>
        </w:rPr>
        <w:t>Date:</w:t>
      </w:r>
      <w:r w:rsidRPr="00D73B91">
        <w:rPr>
          <w:szCs w:val="20"/>
        </w:rPr>
        <w:tab/>
      </w:r>
      <w:r w:rsidR="00B90FC3">
        <w:rPr>
          <w:szCs w:val="20"/>
        </w:rPr>
        <w:t>9/28/2022</w:t>
      </w:r>
    </w:p>
    <w:p w14:paraId="385897F0" w14:textId="25EF5693" w:rsidR="00CA7970" w:rsidRPr="00906592" w:rsidRDefault="00CA7970" w:rsidP="00CA7970">
      <w:pPr>
        <w:jc w:val="center"/>
        <w:rPr>
          <w:b/>
          <w:bCs/>
          <w:szCs w:val="20"/>
          <w:u w:val="single"/>
        </w:rPr>
      </w:pPr>
      <w:r w:rsidRPr="00852EA3">
        <w:rPr>
          <w:szCs w:val="20"/>
          <w:u w:val="single"/>
        </w:rPr>
        <w:t>Case Briefing</w:t>
      </w:r>
      <w:r w:rsidR="00906592">
        <w:rPr>
          <w:szCs w:val="20"/>
          <w:u w:val="single"/>
        </w:rPr>
        <w:t xml:space="preserve"> </w:t>
      </w:r>
      <w:r w:rsidR="00061BAC">
        <w:rPr>
          <w:b/>
          <w:bCs/>
          <w:szCs w:val="20"/>
          <w:u w:val="single"/>
        </w:rPr>
        <w:t>[</w:t>
      </w:r>
      <w:r w:rsidR="00773823">
        <w:rPr>
          <w:b/>
          <w:bCs/>
          <w:szCs w:val="20"/>
          <w:u w:val="single"/>
        </w:rPr>
        <w:t>NORTH CAROLINA</w:t>
      </w:r>
      <w:r w:rsidR="00061BAC">
        <w:rPr>
          <w:b/>
          <w:bCs/>
          <w:szCs w:val="20"/>
          <w:u w:val="single"/>
        </w:rPr>
        <w:t>]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470"/>
      </w:tblGrid>
      <w:tr w:rsidR="00D73B91" w:rsidRPr="00D73B91" w14:paraId="216BB34A" w14:textId="77777777" w:rsidTr="008F564F">
        <w:trPr>
          <w:trHeight w:val="71"/>
        </w:trPr>
        <w:tc>
          <w:tcPr>
            <w:tcW w:w="1998" w:type="dxa"/>
          </w:tcPr>
          <w:p w14:paraId="39C9A3DC" w14:textId="77777777" w:rsidR="00D73B91" w:rsidRPr="00D73B91" w:rsidRDefault="00D73B9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Citation </w:t>
            </w:r>
          </w:p>
        </w:tc>
        <w:tc>
          <w:tcPr>
            <w:tcW w:w="7470" w:type="dxa"/>
          </w:tcPr>
          <w:p w14:paraId="04E800C2" w14:textId="663B3DF5" w:rsidR="005F539F" w:rsidRDefault="000E51BC" w:rsidP="00B401E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0E51BC">
              <w:rPr>
                <w:rFonts w:ascii="Arial" w:hAnsi="Arial" w:cs="Arial"/>
                <w:i/>
                <w:sz w:val="20"/>
                <w:szCs w:val="20"/>
              </w:rPr>
              <w:t>Harper v. Hall</w:t>
            </w:r>
            <w:r w:rsidRPr="000E51BC">
              <w:rPr>
                <w:rFonts w:ascii="Arial" w:hAnsi="Arial" w:cs="Arial"/>
                <w:iCs/>
                <w:sz w:val="20"/>
                <w:szCs w:val="20"/>
              </w:rPr>
              <w:t>, 868 S.E.2d 499 (</w:t>
            </w:r>
            <w:r w:rsidR="002A4863">
              <w:rPr>
                <w:rFonts w:ascii="Arial" w:hAnsi="Arial" w:cs="Arial"/>
                <w:iCs/>
                <w:sz w:val="20"/>
                <w:szCs w:val="20"/>
              </w:rPr>
              <w:t xml:space="preserve">N.C. </w:t>
            </w:r>
            <w:r w:rsidRPr="000E51BC">
              <w:rPr>
                <w:rFonts w:ascii="Arial" w:hAnsi="Arial" w:cs="Arial"/>
                <w:iCs/>
                <w:sz w:val="20"/>
                <w:szCs w:val="20"/>
              </w:rPr>
              <w:t>2022)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07A00851" w14:textId="653D8A1A" w:rsidR="008F564F" w:rsidRPr="00A64C3F" w:rsidRDefault="008F564F" w:rsidP="008F564F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474A3C" w:rsidRPr="00D73B91" w14:paraId="579CDEAF" w14:textId="77777777" w:rsidTr="00DD66C7">
        <w:trPr>
          <w:trHeight w:val="549"/>
        </w:trPr>
        <w:tc>
          <w:tcPr>
            <w:tcW w:w="1998" w:type="dxa"/>
          </w:tcPr>
          <w:p w14:paraId="2A45B22E" w14:textId="77777777" w:rsidR="00474A3C" w:rsidRDefault="00474A3C" w:rsidP="00474A3C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Judicial Breakdown / Partisan or Nonpartisan</w:t>
            </w:r>
          </w:p>
          <w:p w14:paraId="3BC9E9A3" w14:textId="4ED1530C" w:rsidR="00474A3C" w:rsidRPr="00D73B91" w:rsidRDefault="00474A3C" w:rsidP="00474A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4DB767B2" w14:textId="665CDBF0" w:rsidR="00304C74" w:rsidRDefault="00304C74" w:rsidP="00474A3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Hudson, J. (</w:t>
            </w:r>
            <w:r w:rsidR="00AC6734">
              <w:rPr>
                <w:rFonts w:ascii="Arial" w:hAnsi="Arial" w:cs="Arial"/>
                <w:iCs/>
                <w:sz w:val="20"/>
                <w:szCs w:val="20"/>
              </w:rPr>
              <w:t>D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), issued the </w:t>
            </w:r>
            <w:r w:rsidR="002D0168">
              <w:rPr>
                <w:rFonts w:ascii="Arial" w:hAnsi="Arial" w:cs="Arial"/>
                <w:iCs/>
                <w:sz w:val="20"/>
                <w:szCs w:val="20"/>
              </w:rPr>
              <w:t>4</w:t>
            </w:r>
            <w:r>
              <w:rPr>
                <w:rFonts w:ascii="Arial" w:hAnsi="Arial" w:cs="Arial"/>
                <w:iCs/>
                <w:sz w:val="20"/>
                <w:szCs w:val="20"/>
              </w:rPr>
              <w:t>-</w:t>
            </w:r>
            <w:r w:rsidR="002D0168">
              <w:rPr>
                <w:rFonts w:ascii="Arial" w:hAnsi="Arial" w:cs="Arial"/>
                <w:iCs/>
                <w:sz w:val="20"/>
                <w:szCs w:val="20"/>
              </w:rPr>
              <w:t>3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opinion</w:t>
            </w:r>
            <w:r w:rsidR="008C3B79">
              <w:rPr>
                <w:rFonts w:ascii="Arial" w:hAnsi="Arial" w:cs="Arial"/>
                <w:iCs/>
                <w:sz w:val="20"/>
                <w:szCs w:val="20"/>
              </w:rPr>
              <w:t xml:space="preserve">; joined by Justices Morgan (D), </w:t>
            </w:r>
            <w:r w:rsidR="00F40F41">
              <w:rPr>
                <w:rFonts w:ascii="Arial" w:hAnsi="Arial" w:cs="Arial"/>
                <w:iCs/>
                <w:sz w:val="20"/>
                <w:szCs w:val="20"/>
              </w:rPr>
              <w:t>Ervin (D), and Earls (D)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  <w:r>
              <w:rPr>
                <w:rStyle w:val="FootnoteReference"/>
                <w:rFonts w:ascii="Arial" w:hAnsi="Arial" w:cs="Arial"/>
                <w:iCs/>
                <w:sz w:val="20"/>
                <w:szCs w:val="20"/>
              </w:rPr>
              <w:footnoteReference w:id="1"/>
            </w:r>
          </w:p>
          <w:p w14:paraId="4BFEB0B2" w14:textId="446472B9" w:rsidR="00304C74" w:rsidRDefault="00304C74" w:rsidP="00EE387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04C74">
              <w:rPr>
                <w:rFonts w:ascii="Arial" w:hAnsi="Arial" w:cs="Arial"/>
                <w:iCs/>
                <w:sz w:val="20"/>
                <w:szCs w:val="20"/>
              </w:rPr>
              <w:t xml:space="preserve">Justice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Morgan,</w:t>
            </w:r>
            <w:r w:rsidRPr="00304C74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D04697">
              <w:rPr>
                <w:rFonts w:ascii="Arial" w:hAnsi="Arial" w:cs="Arial"/>
                <w:iCs/>
                <w:sz w:val="20"/>
                <w:szCs w:val="20"/>
              </w:rPr>
              <w:t xml:space="preserve">filed a </w:t>
            </w:r>
            <w:r w:rsidRPr="00304C74">
              <w:rPr>
                <w:rFonts w:ascii="Arial" w:hAnsi="Arial" w:cs="Arial"/>
                <w:iCs/>
                <w:sz w:val="20"/>
                <w:szCs w:val="20"/>
              </w:rPr>
              <w:t>concurring</w:t>
            </w:r>
            <w:r w:rsidR="00AC6734">
              <w:rPr>
                <w:rFonts w:ascii="Arial" w:hAnsi="Arial" w:cs="Arial"/>
                <w:iCs/>
                <w:sz w:val="20"/>
                <w:szCs w:val="20"/>
              </w:rPr>
              <w:t xml:space="preserve"> in opinion</w:t>
            </w:r>
            <w:r w:rsidR="00563B96">
              <w:rPr>
                <w:rFonts w:ascii="Arial" w:hAnsi="Arial" w:cs="Arial"/>
                <w:iCs/>
                <w:sz w:val="20"/>
                <w:szCs w:val="20"/>
              </w:rPr>
              <w:t>, joined by Justice Earls</w:t>
            </w:r>
            <w:r w:rsidRPr="00304C74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305E6331" w14:textId="5C1B12D1" w:rsidR="00474A3C" w:rsidRDefault="00304C74" w:rsidP="00EE387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04C74">
              <w:rPr>
                <w:rFonts w:ascii="Arial" w:hAnsi="Arial" w:cs="Arial"/>
                <w:iCs/>
                <w:sz w:val="20"/>
                <w:szCs w:val="20"/>
              </w:rPr>
              <w:t>Chief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304C74">
              <w:rPr>
                <w:rFonts w:ascii="Arial" w:hAnsi="Arial" w:cs="Arial"/>
                <w:iCs/>
                <w:sz w:val="20"/>
                <w:szCs w:val="20"/>
              </w:rPr>
              <w:t xml:space="preserve">Justice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Newby</w:t>
            </w:r>
            <w:r w:rsidR="00C47B25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 w:rsidR="00AC6734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 w:rsidR="00C47B25">
              <w:rPr>
                <w:rFonts w:ascii="Arial" w:hAnsi="Arial" w:cs="Arial"/>
                <w:iCs/>
                <w:sz w:val="20"/>
                <w:szCs w:val="20"/>
              </w:rPr>
              <w:t>)</w:t>
            </w:r>
            <w:r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Pr="00304C74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382607">
              <w:rPr>
                <w:rFonts w:ascii="Arial" w:hAnsi="Arial" w:cs="Arial"/>
                <w:iCs/>
                <w:sz w:val="20"/>
                <w:szCs w:val="20"/>
              </w:rPr>
              <w:t xml:space="preserve">filed a </w:t>
            </w:r>
            <w:r w:rsidRPr="00304C74">
              <w:rPr>
                <w:rFonts w:ascii="Arial" w:hAnsi="Arial" w:cs="Arial"/>
                <w:iCs/>
                <w:sz w:val="20"/>
                <w:szCs w:val="20"/>
              </w:rPr>
              <w:t>dissenting</w:t>
            </w:r>
            <w:r w:rsidR="00AC6734">
              <w:rPr>
                <w:rFonts w:ascii="Arial" w:hAnsi="Arial" w:cs="Arial"/>
                <w:iCs/>
                <w:sz w:val="20"/>
                <w:szCs w:val="20"/>
              </w:rPr>
              <w:t xml:space="preserve"> opinion</w:t>
            </w:r>
            <w:r w:rsidR="002D0168">
              <w:rPr>
                <w:rFonts w:ascii="Arial" w:hAnsi="Arial" w:cs="Arial"/>
                <w:iCs/>
                <w:sz w:val="20"/>
                <w:szCs w:val="20"/>
              </w:rPr>
              <w:t>, joined by Justices Berger</w:t>
            </w:r>
            <w:r w:rsidR="00B248DA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 w:rsidR="00AC6734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 w:rsidR="00B248DA">
              <w:rPr>
                <w:rFonts w:ascii="Arial" w:hAnsi="Arial" w:cs="Arial"/>
                <w:iCs/>
                <w:sz w:val="20"/>
                <w:szCs w:val="20"/>
              </w:rPr>
              <w:t>)</w:t>
            </w:r>
            <w:r w:rsidR="002D0168">
              <w:rPr>
                <w:rFonts w:ascii="Arial" w:hAnsi="Arial" w:cs="Arial"/>
                <w:iCs/>
                <w:sz w:val="20"/>
                <w:szCs w:val="20"/>
              </w:rPr>
              <w:t xml:space="preserve"> and Barringer</w:t>
            </w:r>
            <w:r w:rsidR="00B248DA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 w:rsidR="00AC6734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 w:rsidR="00B248DA">
              <w:rPr>
                <w:rFonts w:ascii="Arial" w:hAnsi="Arial" w:cs="Arial"/>
                <w:iCs/>
                <w:sz w:val="20"/>
                <w:szCs w:val="20"/>
              </w:rPr>
              <w:t>)</w:t>
            </w:r>
            <w:r w:rsidR="002D0168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4C14DE31" w14:textId="67AB440C" w:rsidR="005D6E3A" w:rsidRPr="00A64C3F" w:rsidRDefault="005D6E3A" w:rsidP="005D6E3A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ED671F" w:rsidRPr="00D73B91" w14:paraId="1553CCF4" w14:textId="77777777" w:rsidTr="00B665A3">
        <w:trPr>
          <w:trHeight w:val="900"/>
        </w:trPr>
        <w:tc>
          <w:tcPr>
            <w:tcW w:w="1998" w:type="dxa"/>
          </w:tcPr>
          <w:p w14:paraId="48278285" w14:textId="185C2B74" w:rsidR="00ED671F" w:rsidRDefault="00474A3C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Procedural History</w:t>
            </w:r>
          </w:p>
          <w:p w14:paraId="36E704DD" w14:textId="2EC70AA0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2A4F72DA" w14:textId="14C1CBE0" w:rsidR="00E918AC" w:rsidRDefault="00E918AC" w:rsidP="00E918A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11/16/2021, the </w:t>
            </w:r>
            <w:r w:rsidR="004959B8">
              <w:rPr>
                <w:rFonts w:ascii="Arial" w:hAnsi="Arial" w:cs="Arial"/>
                <w:sz w:val="20"/>
                <w:szCs w:val="20"/>
              </w:rPr>
              <w:t xml:space="preserve">plaintiffs, </w:t>
            </w:r>
            <w:r>
              <w:rPr>
                <w:rFonts w:ascii="Arial" w:hAnsi="Arial" w:cs="Arial"/>
                <w:sz w:val="20"/>
                <w:szCs w:val="20"/>
              </w:rPr>
              <w:t>North Carolina League of Conservation Voters, Inc. et al.</w:t>
            </w:r>
            <w:r w:rsidR="007D1152">
              <w:rPr>
                <w:rFonts w:ascii="Arial" w:hAnsi="Arial" w:cs="Arial"/>
                <w:sz w:val="20"/>
                <w:szCs w:val="20"/>
              </w:rPr>
              <w:t xml:space="preserve"> (NCLCV)</w:t>
            </w:r>
            <w:r w:rsidR="004959B8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filed a motion for preliminary injunction, alleging that the 2021 districting plans </w:t>
            </w:r>
            <w:r w:rsidRPr="00E918AC">
              <w:rPr>
                <w:rFonts w:ascii="Arial" w:hAnsi="Arial" w:cs="Arial"/>
                <w:sz w:val="20"/>
                <w:szCs w:val="20"/>
              </w:rPr>
              <w:t>violate</w:t>
            </w:r>
            <w:r w:rsidR="009A1D84">
              <w:rPr>
                <w:rFonts w:ascii="Arial" w:hAnsi="Arial" w:cs="Arial"/>
                <w:sz w:val="20"/>
                <w:szCs w:val="20"/>
              </w:rPr>
              <w:t>d</w:t>
            </w:r>
            <w:r w:rsidRPr="00E918AC">
              <w:rPr>
                <w:rFonts w:ascii="Arial" w:hAnsi="Arial" w:cs="Arial"/>
                <w:sz w:val="20"/>
                <w:szCs w:val="20"/>
              </w:rPr>
              <w:t xml:space="preserve"> the North Carolina Constitution by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E918A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A3FB547" w14:textId="3E030F7C" w:rsidR="00E918AC" w:rsidRDefault="00E918AC" w:rsidP="00E918A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E918AC">
              <w:rPr>
                <w:rFonts w:ascii="Arial" w:hAnsi="Arial" w:cs="Arial"/>
                <w:sz w:val="20"/>
                <w:szCs w:val="20"/>
              </w:rPr>
              <w:t>stablishing severe partisan gerrymanders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18AC">
              <w:rPr>
                <w:rFonts w:ascii="Arial" w:hAnsi="Arial" w:cs="Arial"/>
                <w:sz w:val="20"/>
                <w:szCs w:val="20"/>
              </w:rPr>
              <w:t xml:space="preserve">violation of the Free Elections Clause, </w:t>
            </w:r>
            <w:r w:rsidR="00C459A9">
              <w:rPr>
                <w:rFonts w:ascii="Arial" w:hAnsi="Arial" w:cs="Arial"/>
                <w:sz w:val="20"/>
                <w:szCs w:val="20"/>
              </w:rPr>
              <w:t>a</w:t>
            </w:r>
            <w:r w:rsidRPr="00E918AC">
              <w:rPr>
                <w:rFonts w:ascii="Arial" w:hAnsi="Arial" w:cs="Arial"/>
                <w:sz w:val="20"/>
                <w:szCs w:val="20"/>
              </w:rPr>
              <w:t xml:space="preserve">rt. I, § 10, the Equal Protection Clause, </w:t>
            </w:r>
            <w:r w:rsidR="00C459A9">
              <w:rPr>
                <w:rFonts w:ascii="Arial" w:hAnsi="Arial" w:cs="Arial"/>
                <w:sz w:val="20"/>
                <w:szCs w:val="20"/>
              </w:rPr>
              <w:t>a</w:t>
            </w:r>
            <w:r w:rsidRPr="00E918AC">
              <w:rPr>
                <w:rFonts w:ascii="Arial" w:hAnsi="Arial" w:cs="Arial"/>
                <w:sz w:val="20"/>
                <w:szCs w:val="20"/>
              </w:rPr>
              <w:t>rt. I, § 19, and the Freedom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18AC">
              <w:rPr>
                <w:rFonts w:ascii="Arial" w:hAnsi="Arial" w:cs="Arial"/>
                <w:sz w:val="20"/>
                <w:szCs w:val="20"/>
              </w:rPr>
              <w:t xml:space="preserve">Speech and Assembly Clauses, </w:t>
            </w:r>
            <w:r w:rsidR="00C459A9">
              <w:rPr>
                <w:rFonts w:ascii="Arial" w:hAnsi="Arial" w:cs="Arial"/>
                <w:sz w:val="20"/>
                <w:szCs w:val="20"/>
              </w:rPr>
              <w:t>a</w:t>
            </w:r>
            <w:r w:rsidRPr="00E918AC">
              <w:rPr>
                <w:rFonts w:ascii="Arial" w:hAnsi="Arial" w:cs="Arial"/>
                <w:sz w:val="20"/>
                <w:szCs w:val="20"/>
              </w:rPr>
              <w:t>rt. I, §§ 12</w:t>
            </w:r>
            <w:r w:rsidR="003B68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5EB6">
              <w:rPr>
                <w:rFonts w:ascii="Arial" w:hAnsi="Arial" w:cs="Arial"/>
                <w:sz w:val="20"/>
                <w:szCs w:val="20"/>
              </w:rPr>
              <w:t>and</w:t>
            </w:r>
            <w:r w:rsidRPr="00E918AC">
              <w:rPr>
                <w:rFonts w:ascii="Arial" w:hAnsi="Arial" w:cs="Arial"/>
                <w:sz w:val="20"/>
                <w:szCs w:val="20"/>
              </w:rPr>
              <w:t xml:space="preserve"> 14; </w:t>
            </w:r>
            <w:r w:rsidR="00EF1BFB">
              <w:rPr>
                <w:rFonts w:ascii="Arial" w:hAnsi="Arial" w:cs="Arial"/>
                <w:sz w:val="20"/>
                <w:szCs w:val="20"/>
              </w:rPr>
              <w:t>and</w:t>
            </w:r>
          </w:p>
          <w:p w14:paraId="6D3A828E" w14:textId="3DC93E9A" w:rsidR="00ED671F" w:rsidRDefault="00E918AC" w:rsidP="00E918A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E918AC">
              <w:rPr>
                <w:rFonts w:ascii="Arial" w:hAnsi="Arial" w:cs="Arial"/>
                <w:sz w:val="20"/>
                <w:szCs w:val="20"/>
              </w:rPr>
              <w:t>y engaging in racial vote dilution in violation of the Free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18AC">
              <w:rPr>
                <w:rFonts w:ascii="Arial" w:hAnsi="Arial" w:cs="Arial"/>
                <w:sz w:val="20"/>
                <w:szCs w:val="20"/>
              </w:rPr>
              <w:t xml:space="preserve">Elections Clause, Art. I, § 10, and the Equal Protection Clause, </w:t>
            </w:r>
            <w:r w:rsidR="00C459A9">
              <w:rPr>
                <w:rFonts w:ascii="Arial" w:hAnsi="Arial" w:cs="Arial"/>
                <w:sz w:val="20"/>
                <w:szCs w:val="20"/>
              </w:rPr>
              <w:t>a</w:t>
            </w:r>
            <w:r w:rsidRPr="00E918AC">
              <w:rPr>
                <w:rFonts w:ascii="Arial" w:hAnsi="Arial" w:cs="Arial"/>
                <w:sz w:val="20"/>
                <w:szCs w:val="20"/>
              </w:rPr>
              <w:t>rt. I, § 19; and by violating the Whole County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18AC">
              <w:rPr>
                <w:rFonts w:ascii="Arial" w:hAnsi="Arial" w:cs="Arial"/>
                <w:sz w:val="20"/>
                <w:szCs w:val="20"/>
              </w:rPr>
              <w:t xml:space="preserve">Provisions, </w:t>
            </w:r>
            <w:r w:rsidR="00C459A9">
              <w:rPr>
                <w:rFonts w:ascii="Arial" w:hAnsi="Arial" w:cs="Arial"/>
                <w:sz w:val="20"/>
                <w:szCs w:val="20"/>
              </w:rPr>
              <w:t>a</w:t>
            </w:r>
            <w:r w:rsidRPr="00E918AC">
              <w:rPr>
                <w:rFonts w:ascii="Arial" w:hAnsi="Arial" w:cs="Arial"/>
                <w:sz w:val="20"/>
                <w:szCs w:val="20"/>
              </w:rPr>
              <w:t>rt. II, §§ 3(3)</w:t>
            </w:r>
            <w:r w:rsidR="00AE1E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5EB6">
              <w:rPr>
                <w:rFonts w:ascii="Arial" w:hAnsi="Arial" w:cs="Arial"/>
                <w:sz w:val="20"/>
                <w:szCs w:val="20"/>
              </w:rPr>
              <w:t>and</w:t>
            </w:r>
            <w:r w:rsidRPr="00E918AC">
              <w:rPr>
                <w:rFonts w:ascii="Arial" w:hAnsi="Arial" w:cs="Arial"/>
                <w:sz w:val="20"/>
                <w:szCs w:val="20"/>
              </w:rPr>
              <w:t xml:space="preserve"> 5(3).</w:t>
            </w:r>
          </w:p>
          <w:p w14:paraId="7C3354B2" w14:textId="5734F305" w:rsidR="00A95548" w:rsidRDefault="004959B8" w:rsidP="00A9554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11/18/2021, </w:t>
            </w:r>
            <w:r w:rsidR="00D044B7">
              <w:rPr>
                <w:rFonts w:ascii="Arial" w:hAnsi="Arial" w:cs="Arial"/>
                <w:sz w:val="20"/>
                <w:szCs w:val="20"/>
              </w:rPr>
              <w:t>separate</w:t>
            </w:r>
            <w:r>
              <w:rPr>
                <w:rFonts w:ascii="Arial" w:hAnsi="Arial" w:cs="Arial"/>
                <w:sz w:val="20"/>
                <w:szCs w:val="20"/>
              </w:rPr>
              <w:t xml:space="preserve"> plaintiffs, Harper et al., filed a similar motion alleging that the maps violated the </w:t>
            </w:r>
            <w:r w:rsidRPr="00CA61C7">
              <w:rPr>
                <w:rFonts w:ascii="Arial" w:hAnsi="Arial" w:cs="Arial"/>
                <w:smallCaps/>
                <w:sz w:val="20"/>
                <w:szCs w:val="20"/>
              </w:rPr>
              <w:t>N.C. Const.</w:t>
            </w:r>
            <w:r>
              <w:rPr>
                <w:rFonts w:ascii="Arial" w:hAnsi="Arial" w:cs="Arial"/>
                <w:sz w:val="20"/>
                <w:szCs w:val="20"/>
              </w:rPr>
              <w:t xml:space="preserve"> art. I, §§ 10, 12, 14,</w:t>
            </w:r>
            <w:r w:rsidR="00432302">
              <w:rPr>
                <w:rFonts w:ascii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hAnsi="Arial" w:cs="Arial"/>
                <w:sz w:val="20"/>
                <w:szCs w:val="20"/>
              </w:rPr>
              <w:t xml:space="preserve"> 19.</w:t>
            </w:r>
          </w:p>
          <w:p w14:paraId="47C52968" w14:textId="07BEEF84" w:rsidR="005F5FB7" w:rsidRDefault="005F5FB7" w:rsidP="00A9554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="007E0006">
              <w:rPr>
                <w:rFonts w:ascii="Arial" w:hAnsi="Arial" w:cs="Arial"/>
                <w:sz w:val="20"/>
                <w:szCs w:val="20"/>
              </w:rPr>
              <w:t xml:space="preserve"> 11/19 and 11/22/2021, respectively</w:t>
            </w:r>
            <w:r>
              <w:rPr>
                <w:rFonts w:ascii="Arial" w:hAnsi="Arial" w:cs="Arial"/>
                <w:sz w:val="20"/>
                <w:szCs w:val="20"/>
              </w:rPr>
              <w:t>, the two actions were assigned to a three-judge panel</w:t>
            </w:r>
            <w:r w:rsidR="007E0006">
              <w:rPr>
                <w:rFonts w:ascii="Arial" w:hAnsi="Arial" w:cs="Arial"/>
                <w:sz w:val="20"/>
                <w:szCs w:val="20"/>
              </w:rPr>
              <w:t>, and</w:t>
            </w:r>
            <w:r w:rsidR="004D61BA">
              <w:rPr>
                <w:rFonts w:ascii="Arial" w:hAnsi="Arial" w:cs="Arial"/>
                <w:sz w:val="20"/>
                <w:szCs w:val="20"/>
              </w:rPr>
              <w:t>,</w:t>
            </w:r>
            <w:r w:rsidR="007E0006">
              <w:rPr>
                <w:rFonts w:ascii="Arial" w:hAnsi="Arial" w:cs="Arial"/>
                <w:sz w:val="20"/>
                <w:szCs w:val="20"/>
              </w:rPr>
              <w:t xml:space="preserve"> on 12/3/2021, the Superior Court, Wake County, denied the two motions</w:t>
            </w:r>
            <w:r w:rsidR="00B228B8">
              <w:rPr>
                <w:rFonts w:ascii="Arial" w:hAnsi="Arial" w:cs="Arial"/>
                <w:sz w:val="20"/>
                <w:szCs w:val="20"/>
              </w:rPr>
              <w:t xml:space="preserve"> for preliminary injuncti</w:t>
            </w:r>
            <w:r w:rsidR="003C4C68">
              <w:rPr>
                <w:rFonts w:ascii="Arial" w:hAnsi="Arial" w:cs="Arial"/>
                <w:sz w:val="20"/>
                <w:szCs w:val="20"/>
              </w:rPr>
              <w:t>on</w:t>
            </w:r>
            <w:r w:rsidR="007E000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6AB4367" w14:textId="77777777" w:rsidR="0057331D" w:rsidRDefault="00E27D8D" w:rsidP="00A9554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plaintiffs filed an appeal with the N.C. Court of Appeals, which denied their </w:t>
            </w:r>
            <w:r w:rsidR="00175B2B">
              <w:rPr>
                <w:rFonts w:ascii="Arial" w:hAnsi="Arial" w:cs="Arial"/>
                <w:sz w:val="20"/>
                <w:szCs w:val="20"/>
              </w:rPr>
              <w:t>request for a temporary stay.</w:t>
            </w:r>
          </w:p>
          <w:p w14:paraId="3AF49951" w14:textId="6402B041" w:rsidR="00022AEC" w:rsidRDefault="0052543D" w:rsidP="00A9554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Plaintiffs subsequently filed several petitions with the N.C. Supreme Court, which</w:t>
            </w:r>
            <w:r w:rsidR="00575EC4">
              <w:rPr>
                <w:rFonts w:ascii="Arial" w:hAnsi="Arial" w:cs="Arial"/>
                <w:sz w:val="20"/>
                <w:szCs w:val="20"/>
              </w:rPr>
              <w:t xml:space="preserve">, on 12/8/2021, </w:t>
            </w:r>
            <w:r>
              <w:rPr>
                <w:rFonts w:ascii="Arial" w:hAnsi="Arial" w:cs="Arial"/>
                <w:sz w:val="20"/>
                <w:szCs w:val="20"/>
              </w:rPr>
              <w:t>granted the preliminary injunction and temporary stayed the candidate filing period until a judgment on the merits</w:t>
            </w:r>
            <w:r w:rsidR="00A175F2">
              <w:rPr>
                <w:rFonts w:ascii="Arial" w:hAnsi="Arial" w:cs="Arial"/>
                <w:sz w:val="20"/>
                <w:szCs w:val="20"/>
              </w:rPr>
              <w:t xml:space="preserve"> was reached</w:t>
            </w:r>
            <w:r w:rsidR="003F245F">
              <w:rPr>
                <w:rFonts w:ascii="Arial" w:hAnsi="Arial" w:cs="Arial"/>
                <w:sz w:val="20"/>
                <w:szCs w:val="20"/>
              </w:rPr>
              <w:t>—a ruling was ordered to be issued by 1/11/2022.</w:t>
            </w:r>
          </w:p>
          <w:p w14:paraId="5D49C949" w14:textId="53929F42" w:rsidR="0052543D" w:rsidRDefault="003241B9" w:rsidP="00022AE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</w:t>
            </w:r>
            <w:r w:rsidR="0052543D">
              <w:rPr>
                <w:rFonts w:ascii="Arial" w:hAnsi="Arial" w:cs="Arial"/>
                <w:sz w:val="20"/>
                <w:szCs w:val="20"/>
              </w:rPr>
              <w:t>n 12/13/2021</w:t>
            </w:r>
            <w:r>
              <w:rPr>
                <w:rFonts w:ascii="Arial" w:hAnsi="Arial" w:cs="Arial"/>
                <w:sz w:val="20"/>
                <w:szCs w:val="20"/>
              </w:rPr>
              <w:t>, the Common Cause plaintiffs moved to intervene, were granted their motion on 12/16, and filed their complaint on 12/16, alleging similar claims as the NCLCV and Harper plaintiffs.</w:t>
            </w:r>
            <w:r w:rsidR="00A1691D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B6B613D" w14:textId="5B6B97F9" w:rsidR="00A74B56" w:rsidRPr="002815D6" w:rsidRDefault="00A359ED" w:rsidP="002815D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12/17/2021, the Legislative Defendants—along with the remaining defendants—filed their answer, asserting numerous defenses</w:t>
            </w:r>
            <w:r w:rsidR="00736464">
              <w:rPr>
                <w:rFonts w:ascii="Arial" w:hAnsi="Arial" w:cs="Arial"/>
                <w:sz w:val="20"/>
                <w:szCs w:val="20"/>
              </w:rPr>
              <w:t>.</w:t>
            </w:r>
            <w:r w:rsidR="00736464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2"/>
            </w:r>
          </w:p>
          <w:p w14:paraId="63F72FA8" w14:textId="4429A0D9" w:rsidR="004A0238" w:rsidRDefault="00627D7C" w:rsidP="002815D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627D7C">
              <w:rPr>
                <w:rFonts w:ascii="Arial" w:hAnsi="Arial" w:cs="Arial"/>
                <w:sz w:val="20"/>
                <w:szCs w:val="20"/>
              </w:rPr>
              <w:t>he trial court made extensive factual findings based on the evidence presented at trial</w:t>
            </w:r>
            <w:r w:rsidR="00555208">
              <w:rPr>
                <w:rFonts w:ascii="Arial" w:hAnsi="Arial" w:cs="Arial"/>
                <w:sz w:val="20"/>
                <w:szCs w:val="20"/>
              </w:rPr>
              <w:t>; t</w:t>
            </w:r>
            <w:r w:rsidRPr="00627D7C">
              <w:rPr>
                <w:rFonts w:ascii="Arial" w:hAnsi="Arial" w:cs="Arial"/>
                <w:sz w:val="20"/>
                <w:szCs w:val="20"/>
              </w:rPr>
              <w:t xml:space="preserve">he factual findings confirmed plaintiffs' assertions that each </w:t>
            </w:r>
            <w:r w:rsidRPr="00627D7C">
              <w:rPr>
                <w:rFonts w:ascii="Arial" w:hAnsi="Arial" w:cs="Arial"/>
                <w:sz w:val="20"/>
                <w:szCs w:val="20"/>
              </w:rPr>
              <w:lastRenderedPageBreak/>
              <w:t>of the three enacted maps were "extreme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7D7C">
              <w:rPr>
                <w:rFonts w:ascii="Arial" w:hAnsi="Arial" w:cs="Arial"/>
                <w:sz w:val="20"/>
                <w:szCs w:val="20"/>
              </w:rPr>
              <w:t>partisan outliers" and the product of "intentional, pro-Republican partisan redistricting."</w:t>
            </w:r>
          </w:p>
          <w:p w14:paraId="5AE3E2C5" w14:textId="14E0FB31" w:rsidR="00E83CB0" w:rsidRDefault="00E83CB0" w:rsidP="002815D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381BDF">
              <w:rPr>
                <w:rFonts w:ascii="Arial" w:hAnsi="Arial" w:cs="Arial"/>
                <w:sz w:val="20"/>
                <w:szCs w:val="20"/>
              </w:rPr>
              <w:t xml:space="preserve">extensive </w:t>
            </w:r>
            <w:r>
              <w:rPr>
                <w:rFonts w:ascii="Arial" w:hAnsi="Arial" w:cs="Arial"/>
                <w:sz w:val="20"/>
                <w:szCs w:val="20"/>
              </w:rPr>
              <w:t xml:space="preserve">factual findings </w:t>
            </w:r>
            <w:r w:rsidR="002406C8">
              <w:rPr>
                <w:rFonts w:ascii="Arial" w:hAnsi="Arial" w:cs="Arial"/>
                <w:sz w:val="20"/>
                <w:szCs w:val="20"/>
              </w:rPr>
              <w:t>of the</w:t>
            </w:r>
            <w:r w:rsidR="00381BDF">
              <w:rPr>
                <w:rFonts w:ascii="Arial" w:hAnsi="Arial" w:cs="Arial"/>
                <w:sz w:val="20"/>
                <w:szCs w:val="20"/>
              </w:rPr>
              <w:t xml:space="preserve"> expert testimon</w:t>
            </w:r>
            <w:r w:rsidR="000E4044">
              <w:rPr>
                <w:rFonts w:ascii="Arial" w:hAnsi="Arial" w:cs="Arial"/>
                <w:sz w:val="20"/>
                <w:szCs w:val="20"/>
              </w:rPr>
              <w:t>ies</w:t>
            </w:r>
            <w:r w:rsidR="00381B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are detailed at </w:t>
            </w:r>
            <w:r w:rsidR="00DC0D0E" w:rsidRPr="006E2065">
              <w:rPr>
                <w:rFonts w:ascii="Arial" w:hAnsi="Arial" w:cs="Arial"/>
                <w:i/>
                <w:iCs/>
                <w:sz w:val="20"/>
                <w:szCs w:val="20"/>
              </w:rPr>
              <w:t>Harper</w:t>
            </w:r>
            <w:r w:rsidR="00DC0D0E">
              <w:rPr>
                <w:rFonts w:ascii="Arial" w:hAnsi="Arial" w:cs="Arial"/>
                <w:sz w:val="20"/>
                <w:szCs w:val="20"/>
              </w:rPr>
              <w:t xml:space="preserve">, 868, S.E.2d at </w:t>
            </w:r>
            <w:r>
              <w:rPr>
                <w:rFonts w:ascii="Arial" w:hAnsi="Arial" w:cs="Arial"/>
                <w:sz w:val="20"/>
                <w:szCs w:val="20"/>
              </w:rPr>
              <w:t>518</w:t>
            </w:r>
            <w:r w:rsidR="001A043A">
              <w:rPr>
                <w:rFonts w:ascii="Arial" w:hAnsi="Arial" w:cs="Arial"/>
                <w:sz w:val="20"/>
                <w:szCs w:val="20"/>
              </w:rPr>
              <w:t>–</w:t>
            </w:r>
            <w:r w:rsidR="002815D6">
              <w:rPr>
                <w:rFonts w:ascii="Arial" w:hAnsi="Arial" w:cs="Arial"/>
                <w:sz w:val="20"/>
                <w:szCs w:val="20"/>
              </w:rPr>
              <w:t>23.</w:t>
            </w:r>
          </w:p>
          <w:p w14:paraId="5E55EBB0" w14:textId="1C9D6062" w:rsidR="002815D6" w:rsidRDefault="002815D6" w:rsidP="00F472B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Notwithstanding, despite the </w:t>
            </w:r>
            <w:r w:rsidR="005F4A4D">
              <w:rPr>
                <w:rFonts w:ascii="Arial" w:hAnsi="Arial" w:cs="Arial"/>
                <w:sz w:val="20"/>
                <w:szCs w:val="20"/>
              </w:rPr>
              <w:t xml:space="preserve">trial </w:t>
            </w:r>
            <w:r>
              <w:rPr>
                <w:rFonts w:ascii="Arial" w:hAnsi="Arial" w:cs="Arial"/>
                <w:sz w:val="20"/>
                <w:szCs w:val="20"/>
              </w:rPr>
              <w:t xml:space="preserve">court’s findings of partisan gerrymandering, the trial court </w:t>
            </w:r>
            <w:r w:rsidR="00F472B9" w:rsidRPr="00F472B9">
              <w:rPr>
                <w:rFonts w:ascii="Arial" w:hAnsi="Arial" w:cs="Arial"/>
                <w:sz w:val="20"/>
                <w:szCs w:val="20"/>
              </w:rPr>
              <w:t>concluded</w:t>
            </w:r>
            <w:r w:rsidR="001C0938">
              <w:rPr>
                <w:rFonts w:ascii="Arial" w:hAnsi="Arial" w:cs="Arial"/>
                <w:sz w:val="20"/>
                <w:szCs w:val="20"/>
              </w:rPr>
              <w:t>,</w:t>
            </w:r>
            <w:r w:rsidR="00F472B9" w:rsidRPr="00F472B9">
              <w:rPr>
                <w:rFonts w:ascii="Arial" w:hAnsi="Arial" w:cs="Arial"/>
                <w:sz w:val="20"/>
                <w:szCs w:val="20"/>
              </w:rPr>
              <w:t xml:space="preserve"> as a matter of law</w:t>
            </w:r>
            <w:r w:rsidR="001C0938">
              <w:rPr>
                <w:rFonts w:ascii="Arial" w:hAnsi="Arial" w:cs="Arial"/>
                <w:sz w:val="20"/>
                <w:szCs w:val="20"/>
              </w:rPr>
              <w:t>,</w:t>
            </w:r>
            <w:r w:rsidR="00F472B9" w:rsidRPr="00F472B9"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 w:rsidR="00F472B9">
              <w:rPr>
                <w:rFonts w:ascii="Arial" w:hAnsi="Arial" w:cs="Arial"/>
                <w:sz w:val="20"/>
                <w:szCs w:val="20"/>
              </w:rPr>
              <w:t>“</w:t>
            </w:r>
            <w:r w:rsidR="00F472B9" w:rsidRPr="00F472B9">
              <w:rPr>
                <w:rFonts w:ascii="Arial" w:hAnsi="Arial" w:cs="Arial"/>
                <w:sz w:val="20"/>
                <w:szCs w:val="20"/>
              </w:rPr>
              <w:t>claims of</w:t>
            </w:r>
            <w:r w:rsidR="00F472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72B9" w:rsidRPr="00F472B9">
              <w:rPr>
                <w:rFonts w:ascii="Arial" w:hAnsi="Arial" w:cs="Arial"/>
                <w:sz w:val="20"/>
                <w:szCs w:val="20"/>
              </w:rPr>
              <w:t>extreme partisan gerrymandering present purely political questions that are nonjusticiable under the North Carolina</w:t>
            </w:r>
            <w:r w:rsidR="00F472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72B9" w:rsidRPr="00F472B9">
              <w:rPr>
                <w:rFonts w:ascii="Arial" w:hAnsi="Arial" w:cs="Arial"/>
                <w:sz w:val="20"/>
                <w:szCs w:val="20"/>
              </w:rPr>
              <w:t>Constitution</w:t>
            </w:r>
            <w:r w:rsidR="00F472B9">
              <w:rPr>
                <w:rFonts w:ascii="Arial" w:hAnsi="Arial" w:cs="Arial"/>
                <w:sz w:val="20"/>
                <w:szCs w:val="20"/>
              </w:rPr>
              <w:t>” and “</w:t>
            </w:r>
            <w:r w:rsidR="00F472B9" w:rsidRPr="00F472B9">
              <w:rPr>
                <w:rFonts w:ascii="Arial" w:hAnsi="Arial" w:cs="Arial"/>
                <w:sz w:val="20"/>
                <w:szCs w:val="20"/>
              </w:rPr>
              <w:t>that the enacted maps are not unconstitutional as a result of partisan</w:t>
            </w:r>
            <w:r w:rsidR="00F472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72B9" w:rsidRPr="00F472B9">
              <w:rPr>
                <w:rFonts w:ascii="Arial" w:hAnsi="Arial" w:cs="Arial"/>
                <w:sz w:val="20"/>
                <w:szCs w:val="20"/>
              </w:rPr>
              <w:t>gerrymandering.</w:t>
            </w:r>
            <w:r w:rsidR="00F472B9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082143F4" w14:textId="550CEFA5" w:rsidR="00FD28C8" w:rsidRDefault="00FD28C8" w:rsidP="00FD28C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</w:t>
            </w:r>
            <w:r w:rsidR="00ED1554">
              <w:rPr>
                <w:rFonts w:ascii="Arial" w:hAnsi="Arial" w:cs="Arial"/>
                <w:sz w:val="20"/>
                <w:szCs w:val="20"/>
              </w:rPr>
              <w:t>us, th</w:t>
            </w:r>
            <w:r>
              <w:rPr>
                <w:rFonts w:ascii="Arial" w:hAnsi="Arial" w:cs="Arial"/>
                <w:sz w:val="20"/>
                <w:szCs w:val="20"/>
              </w:rPr>
              <w:t xml:space="preserve">e trial court denied the plaintiffs’ motions. </w:t>
            </w:r>
          </w:p>
          <w:p w14:paraId="72F0A76C" w14:textId="66FC25DC" w:rsidR="0096313C" w:rsidRPr="00F472B9" w:rsidRDefault="000465AB" w:rsidP="0096313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1/11 and 1/12/2022, all plaintiffs filed a notice of appeal to the N.C. Supreme Court from the trial court’s </w:t>
            </w:r>
            <w:r w:rsidR="00D86CD2">
              <w:rPr>
                <w:rFonts w:ascii="Arial" w:hAnsi="Arial" w:cs="Arial"/>
                <w:sz w:val="20"/>
                <w:szCs w:val="20"/>
              </w:rPr>
              <w:t>final judgment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D671F" w:rsidRPr="00D73B91" w14:paraId="37413AE7" w14:textId="77777777" w:rsidTr="00060D48">
        <w:trPr>
          <w:trHeight w:val="423"/>
        </w:trPr>
        <w:tc>
          <w:tcPr>
            <w:tcW w:w="1998" w:type="dxa"/>
          </w:tcPr>
          <w:p w14:paraId="4AEA63B6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002A5D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Disposition </w:t>
            </w:r>
          </w:p>
        </w:tc>
        <w:tc>
          <w:tcPr>
            <w:tcW w:w="7470" w:type="dxa"/>
          </w:tcPr>
          <w:p w14:paraId="2A66052F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26E195EC" w14:textId="260CFACC" w:rsidR="00ED671F" w:rsidRPr="00060D48" w:rsidRDefault="002F126D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Reversed and remanded</w:t>
            </w:r>
            <w:r w:rsidR="0087573C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87573C" w:rsidRPr="0087573C">
              <w:rPr>
                <w:rFonts w:ascii="Arial" w:hAnsi="Arial" w:cs="Arial"/>
                <w:sz w:val="20"/>
                <w:szCs w:val="20"/>
              </w:rPr>
              <w:t>court to oversee the redrawing of the maps by the General</w:t>
            </w:r>
            <w:r w:rsidR="008757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573C" w:rsidRPr="0087573C">
              <w:rPr>
                <w:rFonts w:ascii="Arial" w:hAnsi="Arial" w:cs="Arial"/>
                <w:sz w:val="20"/>
                <w:szCs w:val="20"/>
              </w:rPr>
              <w:t>Assembly or, if necessary, by the court.</w:t>
            </w:r>
          </w:p>
        </w:tc>
      </w:tr>
      <w:tr w:rsidR="00ED671F" w:rsidRPr="00D73B91" w14:paraId="0AA16A26" w14:textId="77777777" w:rsidTr="008A4CD0">
        <w:trPr>
          <w:trHeight w:val="270"/>
        </w:trPr>
        <w:tc>
          <w:tcPr>
            <w:tcW w:w="1998" w:type="dxa"/>
          </w:tcPr>
          <w:p w14:paraId="5C7D8449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48D297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Facts </w:t>
            </w:r>
          </w:p>
        </w:tc>
        <w:tc>
          <w:tcPr>
            <w:tcW w:w="7470" w:type="dxa"/>
          </w:tcPr>
          <w:p w14:paraId="42C3BE2D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0DE190BB" w14:textId="5C3000E7" w:rsidR="00ED671F" w:rsidRDefault="0051566C" w:rsidP="0051566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2/24/2021, </w:t>
            </w:r>
            <w:r w:rsidR="00172731">
              <w:rPr>
                <w:rFonts w:ascii="Arial" w:hAnsi="Arial" w:cs="Arial"/>
                <w:sz w:val="20"/>
                <w:szCs w:val="20"/>
              </w:rPr>
              <w:t>N.C.</w:t>
            </w:r>
            <w:r w:rsidRPr="0051566C">
              <w:rPr>
                <w:rFonts w:ascii="Arial" w:hAnsi="Arial" w:cs="Arial"/>
                <w:sz w:val="20"/>
                <w:szCs w:val="20"/>
              </w:rPr>
              <w:t xml:space="preserve"> State Board of Elections Executive Director Karen Brinson Bell recommended to the House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566C">
              <w:rPr>
                <w:rFonts w:ascii="Arial" w:hAnsi="Arial" w:cs="Arial"/>
                <w:sz w:val="20"/>
                <w:szCs w:val="20"/>
              </w:rPr>
              <w:t>Elections Law and Campaign Finance Reform Committee that the 2022 primary elections be delayed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to provide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more time for redistricting, due to the announced delay in the release of full census data by the U.S. Census Bureau.</w:t>
            </w:r>
          </w:p>
          <w:p w14:paraId="1C2A3387" w14:textId="77777777" w:rsidR="00E034AC" w:rsidRDefault="00E034AC" w:rsidP="00E034A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Committee, however, rejected the recommendation.</w:t>
            </w:r>
          </w:p>
          <w:p w14:paraId="3E517E21" w14:textId="759AD377" w:rsidR="00E034AC" w:rsidRDefault="00A770C4" w:rsidP="00A770C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8/5/2021, the </w:t>
            </w:r>
            <w:r w:rsidRPr="00A770C4">
              <w:rPr>
                <w:rFonts w:ascii="Arial" w:hAnsi="Arial" w:cs="Arial"/>
                <w:sz w:val="20"/>
                <w:szCs w:val="20"/>
              </w:rPr>
              <w:t>General Assembly's Senate Committee on Redistricting and Elections and House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70C4">
              <w:rPr>
                <w:rFonts w:ascii="Arial" w:hAnsi="Arial" w:cs="Arial"/>
                <w:sz w:val="20"/>
                <w:szCs w:val="20"/>
              </w:rPr>
              <w:t>Redistricting Committee</w:t>
            </w:r>
            <w:r w:rsidR="00347F5D">
              <w:rPr>
                <w:rFonts w:ascii="Arial" w:hAnsi="Arial" w:cs="Arial"/>
                <w:sz w:val="20"/>
                <w:szCs w:val="20"/>
              </w:rPr>
              <w:t xml:space="preserve"> met to begin discussing the redistricting process.</w:t>
            </w:r>
          </w:p>
          <w:p w14:paraId="4FAF69DA" w14:textId="2D4D1E10" w:rsidR="00347F5D" w:rsidRDefault="00347F5D" w:rsidP="00347F5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8/9/2021, the chairs of the Joint Redistricting Committee (JRC) released its proposed criteria by which to redistrict</w:t>
            </w:r>
            <w:r w:rsidR="00AF62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B875EA5" w14:textId="2CEAAF11" w:rsidR="00347F5D" w:rsidRDefault="00347F5D" w:rsidP="00347F5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JRC rejected public comment from citizens and legislators to “</w:t>
            </w:r>
            <w:r w:rsidRPr="00347F5D">
              <w:rPr>
                <w:rFonts w:ascii="Arial" w:hAnsi="Arial" w:cs="Arial"/>
                <w:sz w:val="20"/>
                <w:szCs w:val="20"/>
              </w:rPr>
              <w:t xml:space="preserve">change the criteria, which mandated a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347F5D">
              <w:rPr>
                <w:rFonts w:ascii="Arial" w:hAnsi="Arial" w:cs="Arial"/>
                <w:sz w:val="20"/>
                <w:szCs w:val="20"/>
              </w:rPr>
              <w:t>race-blind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347F5D">
              <w:rPr>
                <w:rFonts w:ascii="Arial" w:hAnsi="Arial" w:cs="Arial"/>
                <w:sz w:val="20"/>
                <w:szCs w:val="20"/>
              </w:rPr>
              <w:t xml:space="preserve"> approach, to allow for the consideration of racial data </w:t>
            </w:r>
            <w:proofErr w:type="gramStart"/>
            <w:r w:rsidRPr="00347F5D">
              <w:rPr>
                <w:rFonts w:ascii="Arial" w:hAnsi="Arial" w:cs="Arial"/>
                <w:sz w:val="20"/>
                <w:szCs w:val="20"/>
              </w:rPr>
              <w:t>in order 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47F5D">
              <w:rPr>
                <w:rFonts w:ascii="Arial" w:hAnsi="Arial" w:cs="Arial"/>
                <w:sz w:val="20"/>
                <w:szCs w:val="20"/>
              </w:rPr>
              <w:t>ensure compliance with the Voting Rights Act (VRA).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315E1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3"/>
            </w:r>
          </w:p>
          <w:p w14:paraId="1E7CADAC" w14:textId="69CAC825" w:rsidR="00D42A96" w:rsidRDefault="00F315E1" w:rsidP="00F315E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JRC adopted its final criteria on 8/12/2021.</w:t>
            </w:r>
          </w:p>
          <w:p w14:paraId="236D2329" w14:textId="713510A3" w:rsidR="00F315E1" w:rsidRDefault="00136582" w:rsidP="00F315E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10/5/2021, a</w:t>
            </w:r>
            <w:r w:rsidR="00321705">
              <w:rPr>
                <w:rFonts w:ascii="Arial" w:hAnsi="Arial" w:cs="Arial"/>
                <w:sz w:val="20"/>
                <w:szCs w:val="20"/>
              </w:rPr>
              <w:t>fter 13 public hearings across the state, the House and Senate Redistricting Committees began the redistricting process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0D6CA7" w14:textId="27D69C04" w:rsidR="00321705" w:rsidRDefault="00136582" w:rsidP="00136582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10/6/2021, computer stations were set up for legislators to draw their maps.  </w:t>
            </w:r>
          </w:p>
          <w:p w14:paraId="49FA3D29" w14:textId="38F26668" w:rsidR="00136582" w:rsidRDefault="00136582" w:rsidP="0013658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36582">
              <w:rPr>
                <w:rFonts w:ascii="Arial" w:hAnsi="Arial" w:cs="Arial"/>
                <w:sz w:val="20"/>
                <w:szCs w:val="20"/>
              </w:rPr>
              <w:t>The stations would be open during business hours, and both the rooms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6582">
              <w:rPr>
                <w:rFonts w:ascii="Arial" w:hAnsi="Arial" w:cs="Arial"/>
                <w:sz w:val="20"/>
                <w:szCs w:val="20"/>
              </w:rPr>
              <w:t>the screens of the station computers would be live-streamed and available for public viewing while the stations were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6582">
              <w:rPr>
                <w:rFonts w:ascii="Arial" w:hAnsi="Arial" w:cs="Arial"/>
                <w:sz w:val="20"/>
                <w:szCs w:val="20"/>
              </w:rPr>
              <w:t xml:space="preserve">open. </w:t>
            </w:r>
          </w:p>
          <w:p w14:paraId="6F2C0C08" w14:textId="1DDD5434" w:rsidR="00136582" w:rsidRDefault="00136582" w:rsidP="0013658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82">
              <w:rPr>
                <w:rFonts w:ascii="Arial" w:hAnsi="Arial" w:cs="Arial"/>
                <w:sz w:val="20"/>
                <w:szCs w:val="20"/>
              </w:rPr>
              <w:t>In an effort to</w:t>
            </w:r>
            <w:proofErr w:type="gramEnd"/>
            <w:r w:rsidRPr="00136582">
              <w:rPr>
                <w:rFonts w:ascii="Arial" w:hAnsi="Arial" w:cs="Arial"/>
                <w:sz w:val="20"/>
                <w:szCs w:val="20"/>
              </w:rPr>
              <w:t xml:space="preserve"> show transparency, Legislative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6582">
              <w:rPr>
                <w:rFonts w:ascii="Arial" w:hAnsi="Arial" w:cs="Arial"/>
                <w:sz w:val="20"/>
                <w:szCs w:val="20"/>
              </w:rPr>
              <w:t>Defendants "</w:t>
            </w:r>
            <w:proofErr w:type="spellStart"/>
            <w:r w:rsidRPr="00136582">
              <w:rPr>
                <w:rFonts w:ascii="Arial" w:hAnsi="Arial" w:cs="Arial"/>
                <w:sz w:val="20"/>
                <w:szCs w:val="20"/>
              </w:rPr>
              <w:t>requir</w:t>
            </w:r>
            <w:proofErr w:type="spellEnd"/>
            <w:r w:rsidRPr="00136582">
              <w:rPr>
                <w:rFonts w:ascii="Arial" w:hAnsi="Arial" w:cs="Arial"/>
                <w:sz w:val="20"/>
                <w:szCs w:val="20"/>
              </w:rPr>
              <w:t>[ed] legislators to draw and submit maps using software on computer terminals in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6582">
              <w:rPr>
                <w:rFonts w:ascii="Arial" w:hAnsi="Arial" w:cs="Arial"/>
                <w:sz w:val="20"/>
                <w:szCs w:val="20"/>
              </w:rPr>
              <w:t>redistricting committee hearing rooms</w:t>
            </w:r>
            <w:r>
              <w:rPr>
                <w:rFonts w:ascii="Arial" w:hAnsi="Arial" w:cs="Arial"/>
                <w:sz w:val="20"/>
                <w:szCs w:val="20"/>
              </w:rPr>
              <w:t xml:space="preserve">” and </w:t>
            </w:r>
            <w:r w:rsidRPr="00136582">
              <w:rPr>
                <w:rFonts w:ascii="Arial" w:hAnsi="Arial" w:cs="Arial"/>
                <w:sz w:val="20"/>
                <w:szCs w:val="20"/>
              </w:rPr>
              <w:t>Senate Committees would only consider maps drawn and submitted on the software."</w:t>
            </w:r>
          </w:p>
          <w:p w14:paraId="4EF400DE" w14:textId="659B99B6" w:rsidR="00136582" w:rsidRDefault="00136582" w:rsidP="00136582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However, </w:t>
            </w:r>
            <w:r w:rsidRPr="00136582">
              <w:rPr>
                <w:rFonts w:ascii="Arial" w:hAnsi="Arial" w:cs="Arial"/>
                <w:sz w:val="20"/>
                <w:szCs w:val="20"/>
              </w:rPr>
              <w:t>the House and Senate Committees did not actively prevent legislators and their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6582">
              <w:rPr>
                <w:rFonts w:ascii="Arial" w:hAnsi="Arial" w:cs="Arial"/>
                <w:sz w:val="20"/>
                <w:szCs w:val="20"/>
              </w:rPr>
              <w:t>staff from relying on pre-drawn maps created using political data, or even direct consultation of political data."</w:t>
            </w:r>
          </w:p>
          <w:p w14:paraId="1D64C1EC" w14:textId="3AD87C58" w:rsidR="00324273" w:rsidRPr="00136582" w:rsidRDefault="00324273" w:rsidP="0032427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Proposed versions of the maps were filed on 10/28</w:t>
            </w:r>
            <w:r w:rsidR="00E33E81">
              <w:rPr>
                <w:rFonts w:ascii="Arial" w:hAnsi="Arial" w:cs="Arial"/>
                <w:sz w:val="20"/>
                <w:szCs w:val="20"/>
              </w:rPr>
              <w:t xml:space="preserve"> and 10/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384735">
              <w:rPr>
                <w:rFonts w:ascii="Arial" w:hAnsi="Arial" w:cs="Arial"/>
                <w:sz w:val="20"/>
                <w:szCs w:val="20"/>
              </w:rPr>
              <w:t>/2021,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final maps were adopted on 11/3 and 11/4/2021</w:t>
            </w:r>
            <w:r w:rsidR="001159D2">
              <w:rPr>
                <w:rFonts w:ascii="Arial" w:hAnsi="Arial" w:cs="Arial"/>
                <w:sz w:val="20"/>
                <w:szCs w:val="20"/>
              </w:rPr>
              <w:t>; on 11/4/2021, the maps were ratified into law, passed along strict party-line votes in each chamber.</w:t>
            </w:r>
          </w:p>
          <w:p w14:paraId="6A639D96" w14:textId="5E820D9F" w:rsidR="00F14779" w:rsidRPr="0051566C" w:rsidRDefault="00F14779" w:rsidP="00F1477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165E79B3" w14:textId="77777777" w:rsidTr="009A6F30">
        <w:trPr>
          <w:trHeight w:val="891"/>
        </w:trPr>
        <w:tc>
          <w:tcPr>
            <w:tcW w:w="1998" w:type="dxa"/>
            <w:tcBorders>
              <w:left w:val="nil"/>
            </w:tcBorders>
          </w:tcPr>
          <w:p w14:paraId="6D71E16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Issue(s) or </w:t>
            </w:r>
          </w:p>
          <w:p w14:paraId="44E250EA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Question(s) </w:t>
            </w:r>
          </w:p>
          <w:p w14:paraId="394708E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Presented </w:t>
            </w:r>
          </w:p>
        </w:tc>
        <w:tc>
          <w:tcPr>
            <w:tcW w:w="7470" w:type="dxa"/>
            <w:tcBorders>
              <w:right w:val="nil"/>
            </w:tcBorders>
          </w:tcPr>
          <w:p w14:paraId="15EB8F58" w14:textId="77777777" w:rsidR="005D0651" w:rsidRDefault="005D0651" w:rsidP="003D06A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(1) </w:t>
            </w:r>
            <w:r w:rsidR="00F75088">
              <w:rPr>
                <w:rFonts w:ascii="Arial" w:hAnsi="Arial" w:cs="Arial"/>
                <w:sz w:val="20"/>
                <w:szCs w:val="20"/>
              </w:rPr>
              <w:t>W</w:t>
            </w:r>
            <w:r w:rsidR="00F75088" w:rsidRPr="00F75088">
              <w:rPr>
                <w:rFonts w:ascii="Arial" w:hAnsi="Arial" w:cs="Arial"/>
                <w:sz w:val="20"/>
                <w:szCs w:val="20"/>
              </w:rPr>
              <w:t>hether plaintiffs' claims are justiciable under the North Carolina</w:t>
            </w:r>
            <w:r w:rsidR="003D06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5088" w:rsidRPr="003D06A8">
              <w:rPr>
                <w:rFonts w:ascii="Arial" w:hAnsi="Arial" w:cs="Arial"/>
                <w:sz w:val="20"/>
                <w:szCs w:val="20"/>
              </w:rPr>
              <w:t xml:space="preserve">Constitution and, if so, </w:t>
            </w:r>
          </w:p>
          <w:p w14:paraId="187E8A25" w14:textId="77777777" w:rsidR="00ED671F" w:rsidRDefault="005D0651" w:rsidP="003D06A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(2) </w:t>
            </w:r>
            <w:r w:rsidR="005D4B9A">
              <w:rPr>
                <w:rFonts w:ascii="Arial" w:hAnsi="Arial" w:cs="Arial"/>
                <w:sz w:val="20"/>
                <w:szCs w:val="20"/>
              </w:rPr>
              <w:t>W</w:t>
            </w:r>
            <w:r w:rsidR="00F75088" w:rsidRPr="003D06A8">
              <w:rPr>
                <w:rFonts w:ascii="Arial" w:hAnsi="Arial" w:cs="Arial"/>
                <w:sz w:val="20"/>
                <w:szCs w:val="20"/>
              </w:rPr>
              <w:t>hether Legislative Defendants' enacted plans for congressional and state legislative</w:t>
            </w:r>
            <w:r w:rsidR="003D06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5088" w:rsidRPr="003D06A8">
              <w:rPr>
                <w:rFonts w:ascii="Arial" w:hAnsi="Arial" w:cs="Arial"/>
                <w:sz w:val="20"/>
                <w:szCs w:val="20"/>
              </w:rPr>
              <w:t>districts violate the free elections clause, equal protection clause, free speech clause, and freedom of</w:t>
            </w:r>
            <w:r w:rsidR="003D06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5088" w:rsidRPr="003D06A8">
              <w:rPr>
                <w:rFonts w:ascii="Arial" w:hAnsi="Arial" w:cs="Arial"/>
                <w:sz w:val="20"/>
                <w:szCs w:val="20"/>
              </w:rPr>
              <w:t xml:space="preserve">assembly clause of </w:t>
            </w:r>
            <w:r w:rsidR="0097215F">
              <w:rPr>
                <w:rFonts w:ascii="Arial" w:hAnsi="Arial" w:cs="Arial"/>
                <w:sz w:val="20"/>
                <w:szCs w:val="20"/>
              </w:rPr>
              <w:t>the N.C.</w:t>
            </w:r>
            <w:r w:rsidR="00F75088" w:rsidRPr="003D06A8">
              <w:rPr>
                <w:rFonts w:ascii="Arial" w:hAnsi="Arial" w:cs="Arial"/>
                <w:sz w:val="20"/>
                <w:szCs w:val="20"/>
              </w:rPr>
              <w:t xml:space="preserve"> constitution.</w:t>
            </w:r>
          </w:p>
          <w:p w14:paraId="752E9030" w14:textId="779E8C70" w:rsidR="003F3557" w:rsidRPr="003D06A8" w:rsidRDefault="003F3557" w:rsidP="003F35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36271834" w14:textId="77777777" w:rsidTr="00A10326">
        <w:trPr>
          <w:trHeight w:val="2070"/>
        </w:trPr>
        <w:tc>
          <w:tcPr>
            <w:tcW w:w="1998" w:type="dxa"/>
            <w:tcBorders>
              <w:left w:val="nil"/>
            </w:tcBorders>
          </w:tcPr>
          <w:p w14:paraId="416F900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Rule(s) </w:t>
            </w:r>
          </w:p>
        </w:tc>
        <w:tc>
          <w:tcPr>
            <w:tcW w:w="7470" w:type="dxa"/>
            <w:tcBorders>
              <w:right w:val="nil"/>
            </w:tcBorders>
          </w:tcPr>
          <w:p w14:paraId="55BE116D" w14:textId="0404EF0E" w:rsidR="00A134FF" w:rsidRPr="00A134FF" w:rsidRDefault="00A134FF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Declaration of Rights, </w:t>
            </w:r>
            <w:r w:rsidR="00220F99" w:rsidRPr="0027641C">
              <w:rPr>
                <w:rFonts w:ascii="Arial" w:hAnsi="Arial" w:cs="Arial"/>
                <w:smallCaps/>
                <w:sz w:val="20"/>
                <w:szCs w:val="20"/>
              </w:rPr>
              <w:t>N.C. Const.</w:t>
            </w:r>
            <w:r w:rsidR="00220F99" w:rsidRPr="0027641C">
              <w:rPr>
                <w:rFonts w:ascii="Arial" w:hAnsi="Arial" w:cs="Arial"/>
                <w:sz w:val="20"/>
                <w:szCs w:val="20"/>
              </w:rPr>
              <w:t xml:space="preserve"> art.</w:t>
            </w:r>
            <w:r w:rsidR="00220F99">
              <w:rPr>
                <w:rFonts w:ascii="Arial" w:hAnsi="Arial" w:cs="Arial"/>
                <w:sz w:val="20"/>
                <w:szCs w:val="20"/>
              </w:rPr>
              <w:t xml:space="preserve"> I.</w:t>
            </w:r>
          </w:p>
          <w:p w14:paraId="54A0E71F" w14:textId="4C539FB6" w:rsidR="00ED671F" w:rsidRDefault="0027641C" w:rsidP="00A134F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7641C">
              <w:rPr>
                <w:rFonts w:ascii="Arial" w:hAnsi="Arial" w:cs="Arial"/>
                <w:sz w:val="20"/>
                <w:szCs w:val="20"/>
              </w:rPr>
              <w:t>§ 10</w:t>
            </w:r>
            <w:r w:rsidR="00692422">
              <w:rPr>
                <w:rFonts w:ascii="Arial" w:hAnsi="Arial" w:cs="Arial"/>
                <w:sz w:val="20"/>
                <w:szCs w:val="20"/>
              </w:rPr>
              <w:t>, Free Elections</w:t>
            </w:r>
          </w:p>
          <w:p w14:paraId="5401FFE2" w14:textId="5D3A459A" w:rsidR="0027641C" w:rsidRDefault="0027641C" w:rsidP="00A134F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7641C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7641C">
              <w:rPr>
                <w:rFonts w:ascii="Arial" w:hAnsi="Arial" w:cs="Arial"/>
                <w:sz w:val="20"/>
                <w:szCs w:val="20"/>
              </w:rPr>
              <w:t>ll elections shall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641C">
              <w:rPr>
                <w:rFonts w:ascii="Arial" w:hAnsi="Arial" w:cs="Arial"/>
                <w:sz w:val="20"/>
                <w:szCs w:val="20"/>
              </w:rPr>
              <w:t>be free" means that every vote must count equally.</w:t>
            </w:r>
          </w:p>
          <w:p w14:paraId="77037034" w14:textId="3F22E8BA" w:rsidR="002C79CF" w:rsidRDefault="00692422" w:rsidP="00A134F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§ 12, Right of Assembly and Petition</w:t>
            </w:r>
          </w:p>
          <w:p w14:paraId="155F791F" w14:textId="3BD2445C" w:rsidR="00692422" w:rsidRPr="00692422" w:rsidRDefault="00692422" w:rsidP="00A134F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692422">
              <w:rPr>
                <w:rFonts w:ascii="Arial" w:hAnsi="Arial" w:cs="Arial"/>
                <w:sz w:val="20"/>
                <w:szCs w:val="20"/>
              </w:rPr>
              <w:t>The people have a right to assemble together to consult for their common good, to instruct their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92422">
              <w:rPr>
                <w:rFonts w:ascii="Arial" w:hAnsi="Arial" w:cs="Arial"/>
                <w:sz w:val="20"/>
                <w:szCs w:val="20"/>
              </w:rPr>
              <w:t>representatives, and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92422">
              <w:rPr>
                <w:rFonts w:ascii="Arial" w:hAnsi="Arial" w:cs="Arial"/>
                <w:sz w:val="20"/>
                <w:szCs w:val="20"/>
              </w:rPr>
              <w:t>apply to the General Assembly for redress of grievances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 . .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3E0655C5" w14:textId="3946F8B8" w:rsidR="00692422" w:rsidRDefault="00692422" w:rsidP="00A134F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§ 14, Freedom of Speech and Press</w:t>
            </w:r>
          </w:p>
          <w:p w14:paraId="2CF771F3" w14:textId="63AB8810" w:rsidR="00692422" w:rsidRPr="00692422" w:rsidRDefault="00692422" w:rsidP="00A134F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92422">
              <w:rPr>
                <w:rFonts w:ascii="Arial" w:hAnsi="Arial" w:cs="Arial"/>
                <w:sz w:val="20"/>
                <w:szCs w:val="20"/>
              </w:rPr>
              <w:t>Freedom of speech and of the press are two of the great bulwarks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92422">
              <w:rPr>
                <w:rFonts w:ascii="Arial" w:hAnsi="Arial" w:cs="Arial"/>
                <w:sz w:val="20"/>
                <w:szCs w:val="20"/>
              </w:rPr>
              <w:t>of liberty and therefore shall never be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92422">
              <w:rPr>
                <w:rFonts w:ascii="Arial" w:hAnsi="Arial" w:cs="Arial"/>
                <w:sz w:val="20"/>
                <w:szCs w:val="20"/>
              </w:rPr>
              <w:t>restrained, but every person shall be held responsible for their abuse.</w:t>
            </w:r>
          </w:p>
          <w:p w14:paraId="5D0BBD31" w14:textId="72C079D1" w:rsidR="00692422" w:rsidRDefault="00692422" w:rsidP="00A134F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§ 19, Law of the Land; Equal Protection of the Laws</w:t>
            </w:r>
          </w:p>
          <w:p w14:paraId="5C9D7AE6" w14:textId="2BCED73F" w:rsidR="00692422" w:rsidRDefault="00BE30C6" w:rsidP="00A134F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BE30C6">
              <w:rPr>
                <w:rFonts w:ascii="Arial" w:hAnsi="Arial" w:cs="Arial"/>
                <w:sz w:val="20"/>
                <w:szCs w:val="20"/>
              </w:rPr>
              <w:t>No person shall be denied the equal protection of the laws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  <w:p w14:paraId="39246248" w14:textId="1E5239C1" w:rsidR="003C6D57" w:rsidRDefault="003C6D57" w:rsidP="003C6D5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Political Question </w:t>
            </w:r>
            <w:r w:rsidR="00C3175C">
              <w:rPr>
                <w:rFonts w:ascii="Arial" w:hAnsi="Arial" w:cs="Arial"/>
                <w:sz w:val="20"/>
                <w:szCs w:val="20"/>
              </w:rPr>
              <w:t>Criterion</w:t>
            </w:r>
            <w:r>
              <w:rPr>
                <w:rFonts w:ascii="Arial" w:hAnsi="Arial" w:cs="Arial"/>
                <w:sz w:val="20"/>
                <w:szCs w:val="20"/>
              </w:rPr>
              <w:t xml:space="preserve"> in N.C.:</w:t>
            </w:r>
          </w:p>
          <w:p w14:paraId="7FED0BA8" w14:textId="43A30FDE" w:rsidR="003C6D57" w:rsidRDefault="003C6D57" w:rsidP="003C6D5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C6D57">
              <w:rPr>
                <w:rFonts w:ascii="Arial" w:hAnsi="Arial" w:cs="Arial"/>
                <w:sz w:val="20"/>
                <w:szCs w:val="20"/>
              </w:rPr>
              <w:t xml:space="preserve">(1) </w:t>
            </w:r>
            <w:r w:rsidR="00B611EF">
              <w:rPr>
                <w:rFonts w:ascii="Arial" w:hAnsi="Arial" w:cs="Arial"/>
                <w:sz w:val="20"/>
                <w:szCs w:val="20"/>
              </w:rPr>
              <w:t>Whether</w:t>
            </w:r>
            <w:r w:rsidRPr="003C6D57">
              <w:rPr>
                <w:rFonts w:ascii="Arial" w:hAnsi="Arial" w:cs="Arial"/>
                <w:sz w:val="20"/>
                <w:szCs w:val="20"/>
              </w:rPr>
              <w:t xml:space="preserve"> there is "a textually demonstrable constitutional commitment of the issue"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6D57">
              <w:rPr>
                <w:rFonts w:ascii="Arial" w:hAnsi="Arial" w:cs="Arial"/>
                <w:sz w:val="20"/>
                <w:szCs w:val="20"/>
              </w:rPr>
              <w:t xml:space="preserve">the "sole discretion" of a "coordinate political </w:t>
            </w:r>
            <w:proofErr w:type="gramStart"/>
            <w:r w:rsidRPr="003C6D57">
              <w:rPr>
                <w:rFonts w:ascii="Arial" w:hAnsi="Arial" w:cs="Arial"/>
                <w:sz w:val="20"/>
                <w:szCs w:val="20"/>
              </w:rPr>
              <w:t>department[</w:t>
            </w:r>
            <w:proofErr w:type="gramEnd"/>
            <w:r w:rsidRPr="003C6D57">
              <w:rPr>
                <w:rFonts w:ascii="Arial" w:hAnsi="Arial" w:cs="Arial"/>
                <w:sz w:val="20"/>
                <w:szCs w:val="20"/>
              </w:rPr>
              <w:t>,]"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6D57">
              <w:rPr>
                <w:rFonts w:ascii="Arial" w:hAnsi="Arial" w:cs="Arial"/>
                <w:sz w:val="20"/>
                <w:szCs w:val="20"/>
              </w:rPr>
              <w:t xml:space="preserve">and </w:t>
            </w:r>
          </w:p>
          <w:p w14:paraId="4FF4B64A" w14:textId="693FA192" w:rsidR="003C6D57" w:rsidRDefault="003C6D57" w:rsidP="003C6D5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C6D57">
              <w:rPr>
                <w:rFonts w:ascii="Arial" w:hAnsi="Arial" w:cs="Arial"/>
                <w:sz w:val="20"/>
                <w:szCs w:val="20"/>
              </w:rPr>
              <w:t xml:space="preserve">(2) </w:t>
            </w:r>
            <w:r w:rsidR="00B611EF">
              <w:rPr>
                <w:rFonts w:ascii="Arial" w:hAnsi="Arial" w:cs="Arial"/>
                <w:sz w:val="20"/>
                <w:szCs w:val="20"/>
              </w:rPr>
              <w:t xml:space="preserve">Whether </w:t>
            </w:r>
            <w:r w:rsidRPr="003C6D57">
              <w:rPr>
                <w:rFonts w:ascii="Arial" w:hAnsi="Arial" w:cs="Arial"/>
                <w:sz w:val="20"/>
                <w:szCs w:val="20"/>
              </w:rPr>
              <w:t>those questions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6D57">
              <w:rPr>
                <w:rFonts w:ascii="Arial" w:hAnsi="Arial" w:cs="Arial"/>
                <w:sz w:val="20"/>
                <w:szCs w:val="20"/>
              </w:rPr>
              <w:t>can be resolved only by making "policy choices and value determinations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3C6D57">
              <w:rPr>
                <w:rFonts w:ascii="Arial" w:hAnsi="Arial" w:cs="Arial"/>
                <w:sz w:val="20"/>
                <w:szCs w:val="20"/>
              </w:rPr>
              <w:t>"</w:t>
            </w:r>
          </w:p>
          <w:p w14:paraId="0BC34620" w14:textId="14962ABC" w:rsidR="003C00AB" w:rsidRDefault="003C00AB" w:rsidP="003C00AB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Strict Scrutiny Basis of Review for Violations of Fundamental Rights</w:t>
            </w:r>
          </w:p>
          <w:p w14:paraId="1F5279E7" w14:textId="296DC748" w:rsidR="003C00AB" w:rsidRPr="00BA7169" w:rsidRDefault="00BA7169" w:rsidP="00BA716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plan </w:t>
            </w:r>
            <w:r w:rsidRPr="00BA7169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036E90">
              <w:rPr>
                <w:rFonts w:ascii="Arial" w:hAnsi="Arial" w:cs="Arial"/>
                <w:sz w:val="20"/>
                <w:szCs w:val="20"/>
              </w:rPr>
              <w:t xml:space="preserve">presumptively </w:t>
            </w:r>
            <w:r w:rsidRPr="00BA7169">
              <w:rPr>
                <w:rFonts w:ascii="Arial" w:hAnsi="Arial" w:cs="Arial"/>
                <w:sz w:val="20"/>
                <w:szCs w:val="20"/>
              </w:rPr>
              <w:t>unconstitutional unless the General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7169">
              <w:rPr>
                <w:rFonts w:ascii="Arial" w:hAnsi="Arial" w:cs="Arial"/>
                <w:sz w:val="20"/>
                <w:szCs w:val="20"/>
              </w:rPr>
              <w:t>Assembly can demonstrate that the plan is "narrowly tailored to advance a compelling governmental interest."</w:t>
            </w:r>
          </w:p>
          <w:p w14:paraId="6FF57219" w14:textId="4FC1E5E6" w:rsidR="00BE30C6" w:rsidRPr="0027641C" w:rsidRDefault="00BE30C6" w:rsidP="00BE30C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EAC0DAF" w14:textId="77777777" w:rsidTr="000011E4">
        <w:trPr>
          <w:trHeight w:val="450"/>
        </w:trPr>
        <w:tc>
          <w:tcPr>
            <w:tcW w:w="1998" w:type="dxa"/>
            <w:tcBorders>
              <w:left w:val="nil"/>
            </w:tcBorders>
          </w:tcPr>
          <w:p w14:paraId="14D844C1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Holding(s) </w:t>
            </w:r>
          </w:p>
        </w:tc>
        <w:tc>
          <w:tcPr>
            <w:tcW w:w="7470" w:type="dxa"/>
            <w:tcBorders>
              <w:right w:val="nil"/>
            </w:tcBorders>
          </w:tcPr>
          <w:p w14:paraId="5752B6D0" w14:textId="17AE76FA" w:rsidR="00830484" w:rsidRPr="0002283D" w:rsidRDefault="00830484" w:rsidP="0083048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283D">
              <w:rPr>
                <w:rFonts w:ascii="Arial" w:hAnsi="Arial" w:cs="Arial"/>
                <w:sz w:val="20"/>
                <w:szCs w:val="20"/>
              </w:rPr>
              <w:t>(1) Court held that the plaintiffs' claims are justiciable under the North Carolina Constitution</w:t>
            </w:r>
            <w:r w:rsidR="00816908" w:rsidRPr="0002283D">
              <w:rPr>
                <w:rFonts w:ascii="Arial" w:hAnsi="Arial" w:cs="Arial"/>
                <w:sz w:val="20"/>
                <w:szCs w:val="20"/>
              </w:rPr>
              <w:t>;</w:t>
            </w:r>
            <w:r w:rsidRPr="0002283D">
              <w:rPr>
                <w:rFonts w:ascii="Arial" w:hAnsi="Arial" w:cs="Arial"/>
                <w:sz w:val="20"/>
                <w:szCs w:val="20"/>
              </w:rPr>
              <w:t xml:space="preserve"> and</w:t>
            </w:r>
          </w:p>
          <w:p w14:paraId="47D26CFD" w14:textId="427CF931" w:rsidR="00ED671F" w:rsidRPr="0002283D" w:rsidRDefault="00830484" w:rsidP="00900A3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283D">
              <w:rPr>
                <w:rFonts w:ascii="Arial" w:hAnsi="Arial" w:cs="Arial"/>
                <w:sz w:val="20"/>
                <w:szCs w:val="20"/>
              </w:rPr>
              <w:t xml:space="preserve">(2) </w:t>
            </w:r>
            <w:r w:rsidR="00826A10" w:rsidRPr="0002283D">
              <w:rPr>
                <w:rFonts w:ascii="Arial" w:hAnsi="Arial" w:cs="Arial"/>
                <w:sz w:val="20"/>
                <w:szCs w:val="20"/>
              </w:rPr>
              <w:t>Court held that the</w:t>
            </w:r>
            <w:r w:rsidRPr="0002283D">
              <w:rPr>
                <w:rFonts w:ascii="Arial" w:hAnsi="Arial" w:cs="Arial"/>
                <w:sz w:val="20"/>
                <w:szCs w:val="20"/>
              </w:rPr>
              <w:t xml:space="preserve"> Legislative Defendants' enacted plans for congressional and state legislative districts violate</w:t>
            </w:r>
            <w:r w:rsidR="0085117E">
              <w:rPr>
                <w:rFonts w:ascii="Arial" w:hAnsi="Arial" w:cs="Arial"/>
                <w:sz w:val="20"/>
                <w:szCs w:val="20"/>
              </w:rPr>
              <w:t>d</w:t>
            </w:r>
            <w:r w:rsidRPr="0002283D">
              <w:rPr>
                <w:rFonts w:ascii="Arial" w:hAnsi="Arial" w:cs="Arial"/>
                <w:sz w:val="20"/>
                <w:szCs w:val="20"/>
              </w:rPr>
              <w:t xml:space="preserve"> the free elections clause, equal protection clause, free speech clause, and freedom of assembly clause of the N.C. constitution</w:t>
            </w:r>
            <w:r w:rsidR="00FE00A3" w:rsidRPr="0002283D">
              <w:rPr>
                <w:rFonts w:ascii="Arial" w:hAnsi="Arial" w:cs="Arial"/>
                <w:sz w:val="20"/>
                <w:szCs w:val="20"/>
              </w:rPr>
              <w:t>, beyond a reasonable doubt.</w:t>
            </w:r>
          </w:p>
        </w:tc>
      </w:tr>
      <w:tr w:rsidR="00ED671F" w:rsidRPr="008D467C" w14:paraId="5135565A" w14:textId="77777777" w:rsidTr="005A4170">
        <w:trPr>
          <w:trHeight w:val="1431"/>
        </w:trPr>
        <w:tc>
          <w:tcPr>
            <w:tcW w:w="1998" w:type="dxa"/>
            <w:tcBorders>
              <w:left w:val="nil"/>
            </w:tcBorders>
          </w:tcPr>
          <w:p w14:paraId="5995E25E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1A0A4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Rationale </w:t>
            </w:r>
          </w:p>
        </w:tc>
        <w:tc>
          <w:tcPr>
            <w:tcW w:w="7470" w:type="dxa"/>
            <w:tcBorders>
              <w:right w:val="nil"/>
            </w:tcBorders>
          </w:tcPr>
          <w:p w14:paraId="10098011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12CE7908" w14:textId="6F182CC5" w:rsidR="00ED671F" w:rsidRDefault="00A55EDB" w:rsidP="00D55B2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63BFB">
              <w:rPr>
                <w:rFonts w:ascii="Arial" w:hAnsi="Arial" w:cs="Arial"/>
                <w:b/>
                <w:bCs/>
                <w:sz w:val="20"/>
                <w:szCs w:val="20"/>
              </w:rPr>
              <w:t>STANDING</w:t>
            </w:r>
            <w:r w:rsidRPr="00063BFB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55B2A" w:rsidRPr="00063BFB">
              <w:rPr>
                <w:rFonts w:ascii="Arial" w:hAnsi="Arial" w:cs="Arial"/>
                <w:sz w:val="20"/>
                <w:szCs w:val="20"/>
              </w:rPr>
              <w:t xml:space="preserve">Court rejected the trial court’s ruling that </w:t>
            </w:r>
            <w:r w:rsidR="00932AC5" w:rsidRPr="00063BFB">
              <w:rPr>
                <w:rFonts w:ascii="Arial" w:hAnsi="Arial" w:cs="Arial"/>
                <w:sz w:val="20"/>
                <w:szCs w:val="20"/>
              </w:rPr>
              <w:t>there was no “</w:t>
            </w:r>
            <w:r w:rsidR="00D55B2A" w:rsidRPr="00063BFB">
              <w:rPr>
                <w:rFonts w:ascii="Arial" w:hAnsi="Arial" w:cs="Arial"/>
                <w:sz w:val="20"/>
                <w:szCs w:val="20"/>
              </w:rPr>
              <w:t>deprivation of a</w:t>
            </w:r>
            <w:r w:rsidR="00D55B2A" w:rsidRPr="00D55B2A">
              <w:rPr>
                <w:rFonts w:ascii="Arial" w:hAnsi="Arial" w:cs="Arial"/>
                <w:sz w:val="20"/>
                <w:szCs w:val="20"/>
              </w:rPr>
              <w:t xml:space="preserve"> constitutionally guaranteed</w:t>
            </w:r>
            <w:r w:rsidR="00D55B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5B2A" w:rsidRPr="00D55B2A">
              <w:rPr>
                <w:rFonts w:ascii="Arial" w:hAnsi="Arial" w:cs="Arial"/>
                <w:sz w:val="20"/>
                <w:szCs w:val="20"/>
              </w:rPr>
              <w:t>personal right</w:t>
            </w:r>
            <w:r w:rsidR="00932AC5">
              <w:rPr>
                <w:rFonts w:ascii="Arial" w:hAnsi="Arial" w:cs="Arial"/>
                <w:sz w:val="20"/>
                <w:szCs w:val="20"/>
              </w:rPr>
              <w:t>”</w:t>
            </w:r>
            <w:r w:rsidR="005D44E4">
              <w:rPr>
                <w:rFonts w:ascii="Arial" w:hAnsi="Arial" w:cs="Arial"/>
                <w:sz w:val="20"/>
                <w:szCs w:val="20"/>
              </w:rPr>
              <w:t>—and thus no standing—</w:t>
            </w:r>
            <w:r w:rsidR="00932AC5">
              <w:rPr>
                <w:rFonts w:ascii="Arial" w:hAnsi="Arial" w:cs="Arial"/>
                <w:sz w:val="20"/>
                <w:szCs w:val="20"/>
              </w:rPr>
              <w:t xml:space="preserve">because </w:t>
            </w:r>
            <w:r w:rsidR="000A405F" w:rsidRPr="000A405F">
              <w:rPr>
                <w:rFonts w:ascii="Arial" w:hAnsi="Arial" w:cs="Arial"/>
                <w:sz w:val="20"/>
                <w:szCs w:val="20"/>
              </w:rPr>
              <w:t xml:space="preserve">"the federal injury-in-fact requirement has no place in the text or history of </w:t>
            </w:r>
            <w:r w:rsidR="00AD4A96">
              <w:rPr>
                <w:rFonts w:ascii="Arial" w:hAnsi="Arial" w:cs="Arial"/>
                <w:sz w:val="20"/>
                <w:szCs w:val="20"/>
              </w:rPr>
              <w:t>[the N.C.]</w:t>
            </w:r>
            <w:r w:rsidR="000A405F" w:rsidRPr="000A405F">
              <w:rPr>
                <w:rFonts w:ascii="Arial" w:hAnsi="Arial" w:cs="Arial"/>
                <w:sz w:val="20"/>
                <w:szCs w:val="20"/>
              </w:rPr>
              <w:t xml:space="preserve"> Constitution."</w:t>
            </w:r>
            <w:r w:rsidR="000A405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A405F">
              <w:rPr>
                <w:rFonts w:ascii="Arial" w:hAnsi="Arial" w:cs="Arial"/>
                <w:i/>
                <w:iCs/>
                <w:sz w:val="20"/>
                <w:szCs w:val="20"/>
              </w:rPr>
              <w:t>Committee to Elect Dan Forest v. Employees Political Action Committee</w:t>
            </w:r>
            <w:r w:rsidR="000A405F">
              <w:rPr>
                <w:rFonts w:ascii="Arial" w:hAnsi="Arial" w:cs="Arial"/>
                <w:sz w:val="20"/>
                <w:szCs w:val="20"/>
              </w:rPr>
              <w:t>, 853 S.E.2d 698 (</w:t>
            </w:r>
            <w:r w:rsidR="008E04C5">
              <w:rPr>
                <w:rFonts w:ascii="Arial" w:hAnsi="Arial" w:cs="Arial"/>
                <w:sz w:val="20"/>
                <w:szCs w:val="20"/>
              </w:rPr>
              <w:t xml:space="preserve">N.C. </w:t>
            </w:r>
            <w:r w:rsidR="00FB790C">
              <w:rPr>
                <w:rFonts w:ascii="Arial" w:hAnsi="Arial" w:cs="Arial"/>
                <w:sz w:val="20"/>
                <w:szCs w:val="20"/>
              </w:rPr>
              <w:t>2021</w:t>
            </w:r>
            <w:r w:rsidR="000A405F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611DB5D3" w14:textId="32732D28" w:rsidR="00BC0F56" w:rsidRPr="00BC0F56" w:rsidRDefault="00BC0F56" w:rsidP="00BC0F5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BC0F56">
              <w:rPr>
                <w:rFonts w:ascii="Arial" w:hAnsi="Arial" w:cs="Arial"/>
                <w:sz w:val="20"/>
                <w:szCs w:val="20"/>
              </w:rPr>
              <w:t>n the case of direct constitutional challenges to statutes 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C0F56">
              <w:rPr>
                <w:rFonts w:ascii="Arial" w:hAnsi="Arial" w:cs="Arial"/>
                <w:sz w:val="20"/>
                <w:szCs w:val="20"/>
              </w:rPr>
              <w:t xml:space="preserve">other acts of government, </w:t>
            </w:r>
            <w:r>
              <w:rPr>
                <w:rFonts w:ascii="Arial" w:hAnsi="Arial" w:cs="Arial"/>
                <w:sz w:val="20"/>
                <w:szCs w:val="20"/>
              </w:rPr>
              <w:t>the court</w:t>
            </w:r>
            <w:r w:rsidRPr="00BC0F56">
              <w:rPr>
                <w:rFonts w:ascii="Arial" w:hAnsi="Arial" w:cs="Arial"/>
                <w:sz w:val="20"/>
                <w:szCs w:val="20"/>
              </w:rPr>
              <w:t xml:space="preserve"> require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BC0F56">
              <w:rPr>
                <w:rFonts w:ascii="Arial" w:hAnsi="Arial" w:cs="Arial"/>
                <w:sz w:val="20"/>
                <w:szCs w:val="20"/>
              </w:rPr>
              <w:t xml:space="preserve"> only the requisite "concrete adverseness</w:t>
            </w:r>
            <w:r w:rsidR="00D30386">
              <w:rPr>
                <w:rFonts w:ascii="Arial" w:hAnsi="Arial" w:cs="Arial"/>
                <w:sz w:val="20"/>
                <w:szCs w:val="20"/>
              </w:rPr>
              <w:t>.”</w:t>
            </w:r>
          </w:p>
          <w:p w14:paraId="1A2DF3DB" w14:textId="529AA4CB" w:rsidR="00370E76" w:rsidRDefault="00370E76" w:rsidP="00D21BA7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370E76">
              <w:rPr>
                <w:rFonts w:ascii="Arial" w:hAnsi="Arial" w:cs="Arial"/>
                <w:sz w:val="20"/>
                <w:szCs w:val="20"/>
              </w:rPr>
              <w:t xml:space="preserve">lleging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370E76">
              <w:rPr>
                <w:rFonts w:ascii="Arial" w:hAnsi="Arial" w:cs="Arial"/>
                <w:sz w:val="20"/>
                <w:szCs w:val="20"/>
              </w:rPr>
              <w:t xml:space="preserve"> violation of a legal right which belongs to </w:t>
            </w:r>
            <w:r w:rsidR="0086532F">
              <w:rPr>
                <w:rFonts w:ascii="Arial" w:hAnsi="Arial" w:cs="Arial"/>
                <w:sz w:val="20"/>
                <w:szCs w:val="20"/>
              </w:rPr>
              <w:t>a person</w:t>
            </w:r>
            <w:r w:rsidRPr="00370E76">
              <w:rPr>
                <w:rFonts w:ascii="Arial" w:hAnsi="Arial" w:cs="Arial"/>
                <w:sz w:val="20"/>
                <w:szCs w:val="20"/>
              </w:rPr>
              <w:t>, even if widely shared with others and even if</w:t>
            </w:r>
            <w:r w:rsidR="0086532F">
              <w:rPr>
                <w:rFonts w:ascii="Arial" w:hAnsi="Arial" w:cs="Arial"/>
                <w:sz w:val="20"/>
                <w:szCs w:val="20"/>
              </w:rPr>
              <w:t xml:space="preserve"> they</w:t>
            </w:r>
            <w:r w:rsidRPr="0086532F">
              <w:rPr>
                <w:rFonts w:ascii="Arial" w:hAnsi="Arial" w:cs="Arial"/>
                <w:sz w:val="20"/>
                <w:szCs w:val="20"/>
              </w:rPr>
              <w:t xml:space="preserve"> are not entitled to relief under their theory of the legal right, is sufficient to show the requisite "concrete</w:t>
            </w:r>
            <w:r w:rsidR="00A062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627F">
              <w:rPr>
                <w:rFonts w:ascii="Arial" w:hAnsi="Arial" w:cs="Arial"/>
                <w:sz w:val="20"/>
                <w:szCs w:val="20"/>
              </w:rPr>
              <w:t xml:space="preserve">adverseness" in </w:t>
            </w:r>
            <w:r w:rsidR="00C62FE2">
              <w:rPr>
                <w:rFonts w:ascii="Arial" w:hAnsi="Arial" w:cs="Arial"/>
                <w:sz w:val="20"/>
                <w:szCs w:val="20"/>
              </w:rPr>
              <w:lastRenderedPageBreak/>
              <w:t>N.C.</w:t>
            </w:r>
            <w:r w:rsidRPr="00A0627F">
              <w:rPr>
                <w:rFonts w:ascii="Arial" w:hAnsi="Arial" w:cs="Arial"/>
                <w:sz w:val="20"/>
                <w:szCs w:val="20"/>
              </w:rPr>
              <w:t xml:space="preserve"> courts which </w:t>
            </w:r>
            <w:r w:rsidR="00E17D1F">
              <w:rPr>
                <w:rFonts w:ascii="Arial" w:hAnsi="Arial" w:cs="Arial"/>
                <w:sz w:val="20"/>
                <w:szCs w:val="20"/>
              </w:rPr>
              <w:t>the court</w:t>
            </w:r>
            <w:r w:rsidRPr="00A0627F">
              <w:rPr>
                <w:rFonts w:ascii="Arial" w:hAnsi="Arial" w:cs="Arial"/>
                <w:sz w:val="20"/>
                <w:szCs w:val="20"/>
              </w:rPr>
              <w:t xml:space="preserve">, for purely pragmatic reasons (i.e., </w:t>
            </w:r>
            <w:r w:rsidRPr="000A0D67">
              <w:rPr>
                <w:rFonts w:ascii="Arial" w:hAnsi="Arial" w:cs="Arial"/>
                <w:sz w:val="20"/>
                <w:szCs w:val="20"/>
                <w:u w:val="single"/>
              </w:rPr>
              <w:t>not a limitation on judicial power</w:t>
            </w:r>
            <w:r w:rsidRPr="00A0627F">
              <w:rPr>
                <w:rFonts w:ascii="Arial" w:hAnsi="Arial" w:cs="Arial"/>
                <w:sz w:val="20"/>
                <w:szCs w:val="20"/>
              </w:rPr>
              <w:t>), require</w:t>
            </w:r>
            <w:r w:rsidR="00D21BA7">
              <w:rPr>
                <w:rFonts w:ascii="Arial" w:hAnsi="Arial" w:cs="Arial"/>
                <w:sz w:val="20"/>
                <w:szCs w:val="20"/>
              </w:rPr>
              <w:t>s</w:t>
            </w:r>
            <w:r w:rsidRPr="00A0627F">
              <w:rPr>
                <w:rFonts w:ascii="Arial" w:hAnsi="Arial" w:cs="Arial"/>
                <w:sz w:val="20"/>
                <w:szCs w:val="20"/>
              </w:rPr>
              <w:t xml:space="preserve"> in the resolution of constitutional</w:t>
            </w:r>
            <w:r w:rsidR="00D21B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1BA7">
              <w:rPr>
                <w:rFonts w:ascii="Arial" w:hAnsi="Arial" w:cs="Arial"/>
                <w:sz w:val="20"/>
                <w:szCs w:val="20"/>
              </w:rPr>
              <w:t>questions.</w:t>
            </w:r>
          </w:p>
          <w:p w14:paraId="11B0F1B7" w14:textId="4501B16F" w:rsidR="000A42F7" w:rsidRPr="000A42F7" w:rsidRDefault="000A42F7" w:rsidP="000A42F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Therefore, t</w:t>
            </w:r>
            <w:r w:rsidRPr="000A42F7">
              <w:rPr>
                <w:rFonts w:ascii="Arial" w:hAnsi="Arial" w:cs="Arial"/>
                <w:sz w:val="20"/>
                <w:szCs w:val="20"/>
              </w:rPr>
              <w:t>he trial court contravened the concrete adverseness rationale for the direct injury requirement by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A42F7">
              <w:rPr>
                <w:rFonts w:ascii="Arial" w:hAnsi="Arial" w:cs="Arial"/>
                <w:sz w:val="20"/>
                <w:szCs w:val="20"/>
              </w:rPr>
              <w:t>concluding that plaintiffs lacked standing because their partisan gerrymandering claims</w:t>
            </w:r>
            <w:r w:rsidR="005B6362">
              <w:rPr>
                <w:rFonts w:ascii="Arial" w:hAnsi="Arial" w:cs="Arial"/>
                <w:sz w:val="20"/>
                <w:szCs w:val="20"/>
              </w:rPr>
              <w:t xml:space="preserve"> were not cognizable.</w:t>
            </w:r>
          </w:p>
          <w:p w14:paraId="5292DD83" w14:textId="4D00A6A0" w:rsidR="000A405F" w:rsidRPr="00D618DD" w:rsidRDefault="00443C32" w:rsidP="00D618D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POLITICAL QUESTION</w:t>
            </w:r>
            <w:r w:rsidR="00182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JUSTICIABILITY</w:t>
            </w:r>
            <w:r w:rsidR="00464A81">
              <w:rPr>
                <w:rStyle w:val="FootnoteReference"/>
                <w:rFonts w:ascii="Arial" w:hAnsi="Arial" w:cs="Arial"/>
                <w:b/>
                <w:bCs/>
                <w:sz w:val="20"/>
                <w:szCs w:val="20"/>
              </w:rPr>
              <w:footnoteReference w:id="4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8111F9">
              <w:rPr>
                <w:rFonts w:ascii="Arial" w:hAnsi="Arial" w:cs="Arial"/>
                <w:sz w:val="20"/>
                <w:szCs w:val="20"/>
              </w:rPr>
              <w:t>In a case of first impression, the c</w:t>
            </w:r>
            <w:r>
              <w:rPr>
                <w:rFonts w:ascii="Arial" w:hAnsi="Arial" w:cs="Arial"/>
                <w:sz w:val="20"/>
                <w:szCs w:val="20"/>
              </w:rPr>
              <w:t>ourt rejected Legislative Defendants</w:t>
            </w:r>
            <w:r w:rsidR="00F67DDB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 xml:space="preserve"> claim that </w:t>
            </w:r>
            <w:r w:rsidRPr="00443C32">
              <w:rPr>
                <w:rFonts w:ascii="Arial" w:hAnsi="Arial" w:cs="Arial"/>
                <w:sz w:val="20"/>
                <w:szCs w:val="20"/>
              </w:rPr>
              <w:t>partisan gerrymandering claims present a nonjusticiable "purely political question</w:t>
            </w:r>
            <w:r>
              <w:rPr>
                <w:rFonts w:ascii="Arial" w:hAnsi="Arial" w:cs="Arial"/>
                <w:sz w:val="20"/>
                <w:szCs w:val="20"/>
              </w:rPr>
              <w:t>,” because</w:t>
            </w:r>
            <w:r w:rsidR="00F269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18DD">
              <w:rPr>
                <w:rFonts w:ascii="Arial" w:hAnsi="Arial" w:cs="Arial"/>
                <w:sz w:val="20"/>
                <w:szCs w:val="20"/>
              </w:rPr>
              <w:t xml:space="preserve">while </w:t>
            </w:r>
            <w:r w:rsidR="00D618DD" w:rsidRPr="00D618DD">
              <w:rPr>
                <w:rFonts w:ascii="Arial" w:hAnsi="Arial" w:cs="Arial"/>
                <w:sz w:val="20"/>
                <w:szCs w:val="20"/>
              </w:rPr>
              <w:t>the Supreme Court has concluded</w:t>
            </w:r>
            <w:r w:rsidR="00D618DD">
              <w:rPr>
                <w:rFonts w:ascii="Arial" w:hAnsi="Arial" w:cs="Arial"/>
                <w:sz w:val="20"/>
                <w:szCs w:val="20"/>
              </w:rPr>
              <w:t xml:space="preserve"> that</w:t>
            </w:r>
            <w:r w:rsidR="00D618DD" w:rsidRPr="00D618DD">
              <w:rPr>
                <w:rFonts w:ascii="Arial" w:hAnsi="Arial" w:cs="Arial"/>
                <w:sz w:val="20"/>
                <w:szCs w:val="20"/>
              </w:rPr>
              <w:t xml:space="preserve"> partisan gerrymandering claims are</w:t>
            </w:r>
            <w:r w:rsidR="00D618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18DD" w:rsidRPr="00D618DD">
              <w:rPr>
                <w:rFonts w:ascii="Arial" w:hAnsi="Arial" w:cs="Arial"/>
                <w:sz w:val="20"/>
                <w:szCs w:val="20"/>
              </w:rPr>
              <w:t xml:space="preserve">nonjusticiable in federal courts, </w:t>
            </w:r>
            <w:r w:rsidR="00D618DD">
              <w:rPr>
                <w:rFonts w:ascii="Arial" w:hAnsi="Arial" w:cs="Arial"/>
                <w:sz w:val="20"/>
                <w:szCs w:val="20"/>
              </w:rPr>
              <w:t>“</w:t>
            </w:r>
            <w:r w:rsidR="00D618DD" w:rsidRPr="00D618DD">
              <w:rPr>
                <w:rFonts w:ascii="Arial" w:hAnsi="Arial" w:cs="Arial"/>
                <w:sz w:val="20"/>
                <w:szCs w:val="20"/>
              </w:rPr>
              <w:t>it does not follow that they are nonjusticiable in North Carolina courts</w:t>
            </w:r>
            <w:r w:rsidR="00D618DD">
              <w:rPr>
                <w:rFonts w:ascii="Arial" w:hAnsi="Arial" w:cs="Arial"/>
                <w:sz w:val="20"/>
                <w:szCs w:val="20"/>
              </w:rPr>
              <w:t>.”</w:t>
            </w:r>
          </w:p>
          <w:p w14:paraId="06C94498" w14:textId="152FAF5F" w:rsidR="000A405F" w:rsidRDefault="00F26947" w:rsidP="00F2694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26947">
              <w:rPr>
                <w:rFonts w:ascii="Arial" w:hAnsi="Arial" w:cs="Arial"/>
                <w:sz w:val="20"/>
                <w:szCs w:val="20"/>
              </w:rPr>
              <w:t xml:space="preserve">The trial court and Legislative Defendants rely in part on </w:t>
            </w:r>
            <w:proofErr w:type="spellStart"/>
            <w:r w:rsidRPr="00F26947"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proofErr w:type="spellEnd"/>
            <w:r w:rsidRPr="00F26947">
              <w:rPr>
                <w:rFonts w:ascii="Arial" w:hAnsi="Arial" w:cs="Arial"/>
                <w:sz w:val="20"/>
                <w:szCs w:val="20"/>
              </w:rPr>
              <w:t xml:space="preserve"> and other federal cases</w:t>
            </w:r>
            <w:r>
              <w:rPr>
                <w:rFonts w:ascii="Arial" w:hAnsi="Arial" w:cs="Arial"/>
                <w:sz w:val="20"/>
                <w:szCs w:val="20"/>
              </w:rPr>
              <w:t xml:space="preserve">—which </w:t>
            </w:r>
            <w:r w:rsidRPr="00F26947">
              <w:rPr>
                <w:rFonts w:ascii="Arial" w:hAnsi="Arial" w:cs="Arial"/>
                <w:sz w:val="20"/>
                <w:szCs w:val="20"/>
              </w:rPr>
              <w:t>may be instructive, but they are certainly not controlling.</w:t>
            </w:r>
          </w:p>
          <w:p w14:paraId="616789BB" w14:textId="44B2C457" w:rsidR="00F13BEC" w:rsidRDefault="00F13BEC" w:rsidP="00F13BEC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13BEC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F13BEC">
              <w:rPr>
                <w:rFonts w:ascii="Arial" w:hAnsi="Arial" w:cs="Arial"/>
                <w:sz w:val="20"/>
                <w:szCs w:val="20"/>
              </w:rPr>
              <w:t>hile federal standing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3BEC">
              <w:rPr>
                <w:rFonts w:ascii="Arial" w:hAnsi="Arial" w:cs="Arial"/>
                <w:sz w:val="20"/>
                <w:szCs w:val="20"/>
              </w:rPr>
              <w:t>doctrine can be instructive as to general principles . . . and for comparative analysis, the nuts and bolts of North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3BEC">
              <w:rPr>
                <w:rFonts w:ascii="Arial" w:hAnsi="Arial" w:cs="Arial"/>
                <w:sz w:val="20"/>
                <w:szCs w:val="20"/>
              </w:rPr>
              <w:t>Carolina standing doctrine are not coincident with federal standing doctrine."</w:t>
            </w:r>
            <w:r w:rsidR="00B2132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9232229" w14:textId="49D9A2A0" w:rsidR="00224F02" w:rsidRDefault="009352CE" w:rsidP="00224F0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contrast to the three considerations used in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proofErr w:type="spellEnd"/>
            <w:r w:rsidR="0037210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to find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nonjus</w:t>
            </w:r>
            <w:r w:rsidR="00372109">
              <w:rPr>
                <w:rFonts w:ascii="Arial" w:hAnsi="Arial" w:cs="Arial"/>
                <w:sz w:val="20"/>
                <w:szCs w:val="20"/>
              </w:rPr>
              <w:t>ticiability</w:t>
            </w:r>
            <w:proofErr w:type="spellEnd"/>
            <w:r w:rsidR="00372109">
              <w:rPr>
                <w:rFonts w:ascii="Arial" w:hAnsi="Arial" w:cs="Arial"/>
                <w:sz w:val="20"/>
                <w:szCs w:val="20"/>
              </w:rPr>
              <w:t xml:space="preserve"> (lack of a “judicially determinable” standard; absence of a standard that was “clear, </w:t>
            </w:r>
            <w:proofErr w:type="gramStart"/>
            <w:r w:rsidR="00372109">
              <w:rPr>
                <w:rFonts w:ascii="Arial" w:hAnsi="Arial" w:cs="Arial"/>
                <w:sz w:val="20"/>
                <w:szCs w:val="20"/>
              </w:rPr>
              <w:t>manageable[</w:t>
            </w:r>
            <w:proofErr w:type="gramEnd"/>
            <w:r w:rsidR="00372109">
              <w:rPr>
                <w:rFonts w:ascii="Arial" w:hAnsi="Arial" w:cs="Arial"/>
                <w:sz w:val="20"/>
                <w:szCs w:val="20"/>
              </w:rPr>
              <w:t>,] and politically neutral”; and the role of federal courts in the constitutional system)</w:t>
            </w:r>
            <w:r>
              <w:rPr>
                <w:rFonts w:ascii="Arial" w:hAnsi="Arial" w:cs="Arial"/>
                <w:sz w:val="20"/>
                <w:szCs w:val="20"/>
              </w:rPr>
              <w:t>, here:</w:t>
            </w:r>
          </w:p>
          <w:p w14:paraId="196F164B" w14:textId="515E81B4" w:rsidR="009352CE" w:rsidRPr="004764CD" w:rsidRDefault="009352CE" w:rsidP="004764CD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  <w:r w:rsidR="004764CD">
              <w:rPr>
                <w:rFonts w:ascii="Arial" w:hAnsi="Arial" w:cs="Arial"/>
                <w:sz w:val="20"/>
                <w:szCs w:val="20"/>
              </w:rPr>
              <w:t xml:space="preserve"> the N.C. Constitution is </w:t>
            </w:r>
            <w:r w:rsidR="004764CD" w:rsidRPr="004764CD">
              <w:rPr>
                <w:rFonts w:ascii="Arial" w:hAnsi="Arial" w:cs="Arial"/>
                <w:sz w:val="20"/>
                <w:szCs w:val="20"/>
              </w:rPr>
              <w:t>"is more</w:t>
            </w:r>
            <w:r w:rsidR="004764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64CD" w:rsidRPr="004764CD">
              <w:rPr>
                <w:rFonts w:ascii="Arial" w:hAnsi="Arial" w:cs="Arial"/>
                <w:sz w:val="20"/>
                <w:szCs w:val="20"/>
              </w:rPr>
              <w:t>detailed and specific than the federal Constitution in the protection of the rights of its citizens."</w:t>
            </w:r>
          </w:p>
          <w:p w14:paraId="2D608E1B" w14:textId="4086FE75" w:rsidR="009352CE" w:rsidRPr="00F24770" w:rsidRDefault="009352CE" w:rsidP="00F24770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  <w:r w:rsidR="00A67D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4770">
              <w:rPr>
                <w:rFonts w:ascii="Arial" w:hAnsi="Arial" w:cs="Arial"/>
                <w:sz w:val="20"/>
                <w:szCs w:val="20"/>
              </w:rPr>
              <w:t xml:space="preserve">N.C. </w:t>
            </w:r>
            <w:r w:rsidR="00F24770" w:rsidRPr="00F24770">
              <w:rPr>
                <w:rFonts w:ascii="Arial" w:hAnsi="Arial" w:cs="Arial"/>
                <w:sz w:val="20"/>
                <w:szCs w:val="20"/>
              </w:rPr>
              <w:t>state law provides more</w:t>
            </w:r>
            <w:r w:rsidR="00F247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4770" w:rsidRPr="00F24770">
              <w:rPr>
                <w:rFonts w:ascii="Arial" w:hAnsi="Arial" w:cs="Arial"/>
                <w:sz w:val="20"/>
                <w:szCs w:val="20"/>
              </w:rPr>
              <w:t>specific neutral criteria against which to evaluate alleged partisan gerrymanders, and those criteria would not</w:t>
            </w:r>
            <w:r w:rsidR="00F247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4770" w:rsidRPr="00F24770">
              <w:rPr>
                <w:rFonts w:ascii="Arial" w:hAnsi="Arial" w:cs="Arial"/>
                <w:sz w:val="20"/>
                <w:szCs w:val="20"/>
              </w:rPr>
              <w:t xml:space="preserve">require </w:t>
            </w:r>
            <w:r w:rsidR="009753DF">
              <w:rPr>
                <w:rFonts w:ascii="Arial" w:hAnsi="Arial" w:cs="Arial"/>
                <w:sz w:val="20"/>
                <w:szCs w:val="20"/>
              </w:rPr>
              <w:t>the</w:t>
            </w:r>
            <w:r w:rsidR="00F24770" w:rsidRPr="00F24770">
              <w:rPr>
                <w:rFonts w:ascii="Arial" w:hAnsi="Arial" w:cs="Arial"/>
                <w:sz w:val="20"/>
                <w:szCs w:val="20"/>
              </w:rPr>
              <w:t xml:space="preserve"> court system to consider </w:t>
            </w:r>
            <w:r w:rsidR="00EC7943">
              <w:rPr>
                <w:rFonts w:ascii="Arial" w:hAnsi="Arial" w:cs="Arial"/>
                <w:sz w:val="20"/>
                <w:szCs w:val="20"/>
              </w:rPr>
              <w:t>50</w:t>
            </w:r>
            <w:r w:rsidR="00F24770" w:rsidRPr="00F24770">
              <w:rPr>
                <w:rFonts w:ascii="Arial" w:hAnsi="Arial" w:cs="Arial"/>
                <w:sz w:val="20"/>
                <w:szCs w:val="20"/>
              </w:rPr>
              <w:t xml:space="preserve"> separate sets of criteria, as would </w:t>
            </w:r>
            <w:proofErr w:type="gramStart"/>
            <w:r w:rsidR="00F24770" w:rsidRPr="00F24770">
              <w:rPr>
                <w:rFonts w:ascii="Arial" w:hAnsi="Arial" w:cs="Arial"/>
                <w:sz w:val="20"/>
                <w:szCs w:val="20"/>
              </w:rPr>
              <w:t>federal</w:t>
            </w:r>
            <w:proofErr w:type="gramEnd"/>
            <w:r w:rsidR="00F24770" w:rsidRPr="00F24770">
              <w:rPr>
                <w:rFonts w:ascii="Arial" w:hAnsi="Arial" w:cs="Arial"/>
                <w:sz w:val="20"/>
                <w:szCs w:val="20"/>
              </w:rPr>
              <w:t xml:space="preserve"> court involvement</w:t>
            </w:r>
            <w:r w:rsidR="00F2477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6AB7E9F" w14:textId="05DD7C0A" w:rsidR="009352CE" w:rsidRPr="002B0E57" w:rsidRDefault="009352CE" w:rsidP="002B0E57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(3)</w:t>
            </w:r>
            <w:r w:rsidR="00A67D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4770" w:rsidRPr="00F24770"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proofErr w:type="spellEnd"/>
            <w:r w:rsidR="00F24770" w:rsidRPr="00F24770">
              <w:rPr>
                <w:rFonts w:ascii="Arial" w:hAnsi="Arial" w:cs="Arial"/>
                <w:sz w:val="20"/>
                <w:szCs w:val="20"/>
              </w:rPr>
              <w:t xml:space="preserve"> was substantially concerned with the role of federal courts in policing partisan gerrymandering, while</w:t>
            </w:r>
            <w:r w:rsidR="00F247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4770" w:rsidRPr="00F24770">
              <w:rPr>
                <w:rFonts w:ascii="Arial" w:hAnsi="Arial" w:cs="Arial"/>
                <w:sz w:val="20"/>
                <w:szCs w:val="20"/>
              </w:rPr>
              <w:t>recognizing the independent capacity of state courts to review such claims under state constitutions as a</w:t>
            </w:r>
            <w:r w:rsidR="00F247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4770" w:rsidRPr="00F24770">
              <w:rPr>
                <w:rFonts w:ascii="Arial" w:hAnsi="Arial" w:cs="Arial"/>
                <w:sz w:val="20"/>
                <w:szCs w:val="20"/>
              </w:rPr>
              <w:t>justification for judicial abnegation at the federal level</w:t>
            </w:r>
            <w:r w:rsidR="002B0E5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86CCA63" w14:textId="15F3F56C" w:rsidR="00F26947" w:rsidRDefault="00D212A8" w:rsidP="00E0284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D212A8">
              <w:rPr>
                <w:rFonts w:ascii="Arial" w:hAnsi="Arial" w:cs="Arial"/>
                <w:sz w:val="20"/>
                <w:szCs w:val="20"/>
              </w:rPr>
              <w:t xml:space="preserve">errymandering claims are justiciable because reapportionment is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not </w:t>
            </w:r>
            <w:r w:rsidRPr="00D212A8">
              <w:rPr>
                <w:rFonts w:ascii="Arial" w:hAnsi="Arial" w:cs="Arial"/>
                <w:sz w:val="20"/>
                <w:szCs w:val="20"/>
              </w:rPr>
              <w:t>committed to the sole discretion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12A8">
              <w:rPr>
                <w:rFonts w:ascii="Arial" w:hAnsi="Arial" w:cs="Arial"/>
                <w:sz w:val="20"/>
                <w:szCs w:val="20"/>
              </w:rPr>
              <w:t>of the General Assembly</w:t>
            </w:r>
            <w:r w:rsidR="00E0284F">
              <w:rPr>
                <w:rFonts w:ascii="Arial" w:hAnsi="Arial" w:cs="Arial"/>
                <w:sz w:val="20"/>
                <w:szCs w:val="20"/>
              </w:rPr>
              <w:t>—to find otherwise would be “</w:t>
            </w:r>
            <w:r w:rsidR="00E0284F" w:rsidRPr="00E0284F">
              <w:rPr>
                <w:rFonts w:ascii="Arial" w:hAnsi="Arial" w:cs="Arial"/>
                <w:sz w:val="20"/>
                <w:szCs w:val="20"/>
              </w:rPr>
              <w:t xml:space="preserve">flatly inconsistent with </w:t>
            </w:r>
            <w:r w:rsidR="00E0284F">
              <w:rPr>
                <w:rFonts w:ascii="Arial" w:hAnsi="Arial" w:cs="Arial"/>
                <w:sz w:val="20"/>
                <w:szCs w:val="20"/>
              </w:rPr>
              <w:t>[the court’s]</w:t>
            </w:r>
            <w:r w:rsidR="00E0284F" w:rsidRPr="00E0284F">
              <w:rPr>
                <w:rFonts w:ascii="Arial" w:hAnsi="Arial" w:cs="Arial"/>
                <w:sz w:val="20"/>
                <w:szCs w:val="20"/>
              </w:rPr>
              <w:t xml:space="preserve"> precedent interpreting and applying constitutional limitations</w:t>
            </w:r>
            <w:r w:rsidR="00E028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284F" w:rsidRPr="00E0284F">
              <w:rPr>
                <w:rFonts w:ascii="Arial" w:hAnsi="Arial" w:cs="Arial"/>
                <w:sz w:val="20"/>
                <w:szCs w:val="20"/>
              </w:rPr>
              <w:t>on the General Assembly's redistricting authority</w:t>
            </w:r>
            <w:r w:rsidR="004C7034">
              <w:rPr>
                <w:rFonts w:ascii="Arial" w:hAnsi="Arial" w:cs="Arial"/>
                <w:sz w:val="20"/>
                <w:szCs w:val="20"/>
              </w:rPr>
              <w:t>.</w:t>
            </w:r>
            <w:r w:rsidR="00E0284F" w:rsidRPr="00E0284F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4B1AE489" w14:textId="35422471" w:rsidR="00E356B8" w:rsidRDefault="00E356B8" w:rsidP="00E356B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E356B8">
              <w:rPr>
                <w:rFonts w:ascii="Arial" w:hAnsi="Arial" w:cs="Arial"/>
                <w:sz w:val="20"/>
                <w:szCs w:val="20"/>
              </w:rPr>
              <w:t>he mere fact that responsibility for reapportionment is committed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56B8">
              <w:rPr>
                <w:rFonts w:ascii="Arial" w:hAnsi="Arial" w:cs="Arial"/>
                <w:sz w:val="20"/>
                <w:szCs w:val="20"/>
              </w:rPr>
              <w:t>the General Assembly does not mean that the General Assembly's decisions in carrying out its responsibility are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56B8">
              <w:rPr>
                <w:rFonts w:ascii="Arial" w:hAnsi="Arial" w:cs="Arial"/>
                <w:sz w:val="20"/>
                <w:szCs w:val="20"/>
              </w:rPr>
              <w:t>fully immunized from any judicial review.</w:t>
            </w:r>
          </w:p>
          <w:p w14:paraId="457CCDFB" w14:textId="426B6EEC" w:rsidR="00233902" w:rsidRPr="00233902" w:rsidRDefault="00233902" w:rsidP="002D7645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233902">
              <w:rPr>
                <w:rFonts w:ascii="Arial" w:hAnsi="Arial" w:cs="Arial"/>
                <w:sz w:val="20"/>
                <w:szCs w:val="20"/>
              </w:rPr>
              <w:t>f "members of the General Assembly" could violate some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3902">
              <w:rPr>
                <w:rFonts w:ascii="Arial" w:hAnsi="Arial" w:cs="Arial"/>
                <w:sz w:val="20"/>
                <w:szCs w:val="20"/>
              </w:rPr>
              <w:t>constitutional rights, "they might with equal authority, not only render themselves the Legislators of the State for life,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3902">
              <w:rPr>
                <w:rFonts w:ascii="Arial" w:hAnsi="Arial" w:cs="Arial"/>
                <w:sz w:val="20"/>
                <w:szCs w:val="20"/>
              </w:rPr>
              <w:t xml:space="preserve">without any further election of the </w:t>
            </w:r>
            <w:r w:rsidRPr="00233902">
              <w:rPr>
                <w:rFonts w:ascii="Arial" w:hAnsi="Arial" w:cs="Arial"/>
                <w:sz w:val="20"/>
                <w:szCs w:val="20"/>
              </w:rPr>
              <w:lastRenderedPageBreak/>
              <w:t>people, [but] from thence transmit the dignity and authority of legislation down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3902">
              <w:rPr>
                <w:rFonts w:ascii="Arial" w:hAnsi="Arial" w:cs="Arial"/>
                <w:sz w:val="20"/>
                <w:szCs w:val="20"/>
              </w:rPr>
              <w:t xml:space="preserve">their </w:t>
            </w:r>
            <w:proofErr w:type="gramStart"/>
            <w:r w:rsidRPr="00233902">
              <w:rPr>
                <w:rFonts w:ascii="Arial" w:hAnsi="Arial" w:cs="Arial"/>
                <w:sz w:val="20"/>
                <w:szCs w:val="20"/>
              </w:rPr>
              <w:t>heirs</w:t>
            </w:r>
            <w:proofErr w:type="gramEnd"/>
            <w:r w:rsidRPr="00233902">
              <w:rPr>
                <w:rFonts w:ascii="Arial" w:hAnsi="Arial" w:cs="Arial"/>
                <w:sz w:val="20"/>
                <w:szCs w:val="20"/>
              </w:rPr>
              <w:t xml:space="preserve"> male forever."</w:t>
            </w:r>
          </w:p>
          <w:p w14:paraId="679F5A19" w14:textId="6826D9C7" w:rsidR="00DE721A" w:rsidRPr="0020516F" w:rsidRDefault="00AF1A19" w:rsidP="00DE721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0516F">
              <w:rPr>
                <w:rFonts w:ascii="Arial" w:hAnsi="Arial" w:cs="Arial"/>
                <w:sz w:val="20"/>
                <w:szCs w:val="20"/>
                <w:u w:val="single"/>
              </w:rPr>
              <w:t>Partisan Gerrymandering claims are justiciable because partisan gerrymandering violates the Declaration of Rights in the N.C. Constitution.</w:t>
            </w:r>
          </w:p>
          <w:p w14:paraId="357D845B" w14:textId="778245E5" w:rsidR="00AF1A19" w:rsidRDefault="007008E7" w:rsidP="007008E7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008E7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987D80">
              <w:rPr>
                <w:rFonts w:ascii="Arial" w:hAnsi="Arial" w:cs="Arial"/>
                <w:b/>
                <w:bCs/>
                <w:sz w:val="20"/>
                <w:szCs w:val="20"/>
              </w:rPr>
              <w:t>principle of equality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7008E7">
              <w:rPr>
                <w:rFonts w:ascii="Arial" w:hAnsi="Arial" w:cs="Arial"/>
                <w:sz w:val="20"/>
                <w:szCs w:val="20"/>
              </w:rPr>
              <w:t>"all persons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08E7">
              <w:rPr>
                <w:rFonts w:ascii="Arial" w:hAnsi="Arial" w:cs="Arial"/>
                <w:sz w:val="20"/>
                <w:szCs w:val="20"/>
              </w:rPr>
              <w:t xml:space="preserve">are created equal") and the </w:t>
            </w:r>
            <w:r w:rsidRPr="00987D80">
              <w:rPr>
                <w:rFonts w:ascii="Arial" w:hAnsi="Arial" w:cs="Arial"/>
                <w:b/>
                <w:bCs/>
                <w:sz w:val="20"/>
                <w:szCs w:val="20"/>
              </w:rPr>
              <w:t>principle of popular sovereignty</w:t>
            </w:r>
            <w:r w:rsidRPr="007008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5C9E">
              <w:rPr>
                <w:rFonts w:ascii="Arial" w:hAnsi="Arial" w:cs="Arial"/>
                <w:sz w:val="20"/>
                <w:szCs w:val="20"/>
              </w:rPr>
              <w:t>(</w:t>
            </w:r>
            <w:r w:rsidRPr="007008E7">
              <w:rPr>
                <w:rFonts w:ascii="Arial" w:hAnsi="Arial" w:cs="Arial"/>
                <w:sz w:val="20"/>
                <w:szCs w:val="20"/>
              </w:rPr>
              <w:t>"political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08E7">
              <w:rPr>
                <w:rFonts w:ascii="Arial" w:hAnsi="Arial" w:cs="Arial"/>
                <w:sz w:val="20"/>
                <w:szCs w:val="20"/>
              </w:rPr>
              <w:t xml:space="preserve">power" of the people is channeled through the proper functioning of the democratic processes of </w:t>
            </w:r>
            <w:r w:rsidR="00875D3B">
              <w:rPr>
                <w:rFonts w:ascii="Arial" w:hAnsi="Arial" w:cs="Arial"/>
                <w:sz w:val="20"/>
                <w:szCs w:val="20"/>
              </w:rPr>
              <w:t>the</w:t>
            </w:r>
            <w:r w:rsidRPr="007008E7">
              <w:rPr>
                <w:rFonts w:ascii="Arial" w:hAnsi="Arial" w:cs="Arial"/>
                <w:sz w:val="20"/>
                <w:szCs w:val="20"/>
              </w:rPr>
              <w:t xml:space="preserve"> constitutional system to the people's representatives in government) are the two most fundamental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08E7">
              <w:rPr>
                <w:rFonts w:ascii="Arial" w:hAnsi="Arial" w:cs="Arial"/>
                <w:sz w:val="20"/>
                <w:szCs w:val="20"/>
              </w:rPr>
              <w:t xml:space="preserve">principles of </w:t>
            </w:r>
            <w:r w:rsidR="00824161">
              <w:rPr>
                <w:rFonts w:ascii="Arial" w:hAnsi="Arial" w:cs="Arial"/>
                <w:sz w:val="20"/>
                <w:szCs w:val="20"/>
              </w:rPr>
              <w:t>the</w:t>
            </w:r>
            <w:r w:rsidRPr="007008E7">
              <w:rPr>
                <w:rFonts w:ascii="Arial" w:hAnsi="Arial" w:cs="Arial"/>
                <w:sz w:val="20"/>
                <w:szCs w:val="20"/>
              </w:rPr>
              <w:t xml:space="preserve"> Declaration of Rights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B37136" w14:textId="0C65B3D4" w:rsidR="00826931" w:rsidRDefault="00826931" w:rsidP="00826931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26931">
              <w:rPr>
                <w:rFonts w:ascii="Arial" w:hAnsi="Arial" w:cs="Arial"/>
                <w:sz w:val="20"/>
                <w:szCs w:val="20"/>
              </w:rPr>
              <w:t>While these are two separate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6931">
              <w:rPr>
                <w:rFonts w:ascii="Arial" w:hAnsi="Arial" w:cs="Arial"/>
                <w:sz w:val="20"/>
                <w:szCs w:val="20"/>
              </w:rPr>
              <w:t xml:space="preserve">fundamental principles under </w:t>
            </w: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Pr="00826931">
              <w:rPr>
                <w:rFonts w:ascii="Arial" w:hAnsi="Arial" w:cs="Arial"/>
                <w:sz w:val="20"/>
                <w:szCs w:val="20"/>
              </w:rPr>
              <w:t xml:space="preserve"> present constitutional system, one cannot exist without the other.</w:t>
            </w:r>
          </w:p>
          <w:p w14:paraId="34B07B72" w14:textId="54FDB029" w:rsidR="007806B5" w:rsidRDefault="00A14688" w:rsidP="00502DCD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14688">
              <w:rPr>
                <w:rFonts w:ascii="Arial" w:hAnsi="Arial" w:cs="Arial"/>
                <w:sz w:val="20"/>
                <w:szCs w:val="20"/>
              </w:rPr>
              <w:t>If through state action the ruling party chokes off the channels of political change on 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4688">
              <w:rPr>
                <w:rFonts w:ascii="Arial" w:hAnsi="Arial" w:cs="Arial"/>
                <w:sz w:val="20"/>
                <w:szCs w:val="20"/>
              </w:rPr>
              <w:t>unequal basis, then government ceases to "</w:t>
            </w:r>
            <w:proofErr w:type="gramStart"/>
            <w:r w:rsidRPr="00A14688">
              <w:rPr>
                <w:rFonts w:ascii="Arial" w:hAnsi="Arial" w:cs="Arial"/>
                <w:sz w:val="20"/>
                <w:szCs w:val="20"/>
              </w:rPr>
              <w:t>derive[</w:t>
            </w:r>
            <w:proofErr w:type="gramEnd"/>
            <w:r w:rsidRPr="00A14688">
              <w:rPr>
                <w:rFonts w:ascii="Arial" w:hAnsi="Arial" w:cs="Arial"/>
                <w:sz w:val="20"/>
                <w:szCs w:val="20"/>
              </w:rPr>
              <w:t xml:space="preserve"> ]" its power from the people or to be "founded upon their will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4688">
              <w:rPr>
                <w:rFonts w:ascii="Arial" w:hAnsi="Arial" w:cs="Arial"/>
                <w:sz w:val="20"/>
                <w:szCs w:val="20"/>
              </w:rPr>
              <w:t xml:space="preserve">only," and the principle of political equality that is fundamental to </w:t>
            </w:r>
            <w:r w:rsidR="00093F41">
              <w:rPr>
                <w:rFonts w:ascii="Arial" w:hAnsi="Arial" w:cs="Arial"/>
                <w:sz w:val="20"/>
                <w:szCs w:val="20"/>
              </w:rPr>
              <w:t>the</w:t>
            </w:r>
            <w:r w:rsidRPr="00A14688">
              <w:rPr>
                <w:rFonts w:ascii="Arial" w:hAnsi="Arial" w:cs="Arial"/>
                <w:sz w:val="20"/>
                <w:szCs w:val="20"/>
              </w:rPr>
              <w:t xml:space="preserve"> Declaration of Rights and </w:t>
            </w:r>
            <w:r w:rsidR="00981D7C">
              <w:rPr>
                <w:rFonts w:ascii="Arial" w:hAnsi="Arial" w:cs="Arial"/>
                <w:sz w:val="20"/>
                <w:szCs w:val="20"/>
              </w:rPr>
              <w:t>the</w:t>
            </w:r>
            <w:r w:rsidRPr="00A14688">
              <w:rPr>
                <w:rFonts w:ascii="Arial" w:hAnsi="Arial" w:cs="Arial"/>
                <w:sz w:val="20"/>
                <w:szCs w:val="20"/>
              </w:rPr>
              <w:t xml:space="preserve"> democratic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4688">
              <w:rPr>
                <w:rFonts w:ascii="Arial" w:hAnsi="Arial" w:cs="Arial"/>
                <w:sz w:val="20"/>
                <w:szCs w:val="20"/>
              </w:rPr>
              <w:t>constitutional system is violated.</w:t>
            </w:r>
          </w:p>
          <w:p w14:paraId="510EDCEA" w14:textId="06AAC9A5" w:rsidR="00502DCD" w:rsidRDefault="00502DCD" w:rsidP="00F832CC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(1) </w:t>
            </w:r>
            <w:r w:rsidR="00F832CC" w:rsidRPr="00F832CC">
              <w:rPr>
                <w:rFonts w:ascii="Arial" w:hAnsi="Arial" w:cs="Arial"/>
                <w:sz w:val="20"/>
                <w:szCs w:val="20"/>
              </w:rPr>
              <w:t>The free elections clause reflects the principle of the Glorious Revolution that those in power shall not</w:t>
            </w:r>
            <w:r w:rsidR="00F832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32CC" w:rsidRPr="00F832CC">
              <w:rPr>
                <w:rFonts w:ascii="Arial" w:hAnsi="Arial" w:cs="Arial"/>
                <w:sz w:val="20"/>
                <w:szCs w:val="20"/>
              </w:rPr>
              <w:t>attain "electoral advantage" through the dilution of votes and that representative bodies</w:t>
            </w:r>
            <w:r w:rsidR="002E5BAF">
              <w:rPr>
                <w:rFonts w:ascii="Arial" w:hAnsi="Arial" w:cs="Arial"/>
                <w:sz w:val="20"/>
                <w:szCs w:val="20"/>
              </w:rPr>
              <w:t xml:space="preserve"> . . . </w:t>
            </w:r>
            <w:r w:rsidR="00F832CC" w:rsidRPr="00F832CC">
              <w:rPr>
                <w:rFonts w:ascii="Arial" w:hAnsi="Arial" w:cs="Arial"/>
                <w:sz w:val="20"/>
                <w:szCs w:val="20"/>
              </w:rPr>
              <w:t>must be "free and lawful."</w:t>
            </w:r>
          </w:p>
          <w:p w14:paraId="029F98C8" w14:textId="0186B7F6" w:rsidR="000501CB" w:rsidRDefault="000501CB" w:rsidP="000501CB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Historical </w:t>
            </w:r>
            <w:r w:rsidRPr="000501CB">
              <w:rPr>
                <w:rFonts w:ascii="Arial" w:hAnsi="Arial" w:cs="Arial"/>
                <w:sz w:val="20"/>
                <w:szCs w:val="20"/>
              </w:rPr>
              <w:t xml:space="preserve">sources indicate that </w:t>
            </w:r>
            <w:r w:rsidR="002E5BAF">
              <w:rPr>
                <w:rFonts w:ascii="Arial" w:hAnsi="Arial" w:cs="Arial"/>
                <w:sz w:val="20"/>
                <w:szCs w:val="20"/>
              </w:rPr>
              <w:t>the</w:t>
            </w:r>
            <w:r w:rsidRPr="000501CB">
              <w:rPr>
                <w:rFonts w:ascii="Arial" w:hAnsi="Arial" w:cs="Arial"/>
                <w:sz w:val="20"/>
                <w:szCs w:val="20"/>
              </w:rPr>
              <w:t xml:space="preserve"> founders did not hold the limited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01CB">
              <w:rPr>
                <w:rFonts w:ascii="Arial" w:hAnsi="Arial" w:cs="Arial"/>
                <w:sz w:val="20"/>
                <w:szCs w:val="20"/>
              </w:rPr>
              <w:t>view that the only requirement for an election to be a "free" election was that those qualified had access to the ballot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01CB">
              <w:rPr>
                <w:rFonts w:ascii="Arial" w:hAnsi="Arial" w:cs="Arial"/>
                <w:sz w:val="20"/>
                <w:szCs w:val="20"/>
              </w:rPr>
              <w:t>box</w:t>
            </w:r>
            <w:r w:rsidR="00CF50A2">
              <w:rPr>
                <w:rFonts w:ascii="Arial" w:hAnsi="Arial" w:cs="Arial"/>
                <w:sz w:val="20"/>
                <w:szCs w:val="20"/>
              </w:rPr>
              <w:t xml:space="preserve"> . . . </w:t>
            </w:r>
            <w:r w:rsidRPr="000501CB">
              <w:rPr>
                <w:rFonts w:ascii="Arial" w:hAnsi="Arial" w:cs="Arial"/>
                <w:sz w:val="20"/>
                <w:szCs w:val="20"/>
              </w:rPr>
              <w:t>rather, they adhered to the broad principles of the Glorious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01CB">
              <w:rPr>
                <w:rFonts w:ascii="Arial" w:hAnsi="Arial" w:cs="Arial"/>
                <w:sz w:val="20"/>
                <w:szCs w:val="20"/>
              </w:rPr>
              <w:t>Revolution—that all attempts to manipulate the electoral process, especially through vote dilution on a partisan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01CB">
              <w:rPr>
                <w:rFonts w:ascii="Arial" w:hAnsi="Arial" w:cs="Arial"/>
                <w:sz w:val="20"/>
                <w:szCs w:val="20"/>
              </w:rPr>
              <w:t>basis, as in the "rotten boroughs" of England, would be prohibited.</w:t>
            </w:r>
          </w:p>
          <w:p w14:paraId="284C18BB" w14:textId="3A90CF08" w:rsidR="003852C8" w:rsidRPr="003852C8" w:rsidRDefault="003852C8" w:rsidP="003852C8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852C8">
              <w:rPr>
                <w:rFonts w:ascii="Arial" w:hAnsi="Arial" w:cs="Arial"/>
                <w:sz w:val="20"/>
                <w:szCs w:val="20"/>
              </w:rPr>
              <w:t>When the legislature denies to certain voters this substantially equal voting power, including when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2C8">
              <w:rPr>
                <w:rFonts w:ascii="Arial" w:hAnsi="Arial" w:cs="Arial"/>
                <w:sz w:val="20"/>
                <w:szCs w:val="20"/>
              </w:rPr>
              <w:t xml:space="preserve">denial is </w:t>
            </w:r>
            <w:proofErr w:type="gramStart"/>
            <w:r w:rsidRPr="003852C8">
              <w:rPr>
                <w:rFonts w:ascii="Arial" w:hAnsi="Arial" w:cs="Arial"/>
                <w:sz w:val="20"/>
                <w:szCs w:val="20"/>
              </w:rPr>
              <w:t>on the basis of</w:t>
            </w:r>
            <w:proofErr w:type="gramEnd"/>
            <w:r w:rsidRPr="003852C8">
              <w:rPr>
                <w:rFonts w:ascii="Arial" w:hAnsi="Arial" w:cs="Arial"/>
                <w:sz w:val="20"/>
                <w:szCs w:val="20"/>
              </w:rPr>
              <w:t xml:space="preserve"> voters' partisan affiliation, elections are not free and do not serve to effectively ascertain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2C8">
              <w:rPr>
                <w:rFonts w:ascii="Arial" w:hAnsi="Arial" w:cs="Arial"/>
                <w:sz w:val="20"/>
                <w:szCs w:val="20"/>
              </w:rPr>
              <w:t>will of the people.</w:t>
            </w:r>
          </w:p>
          <w:p w14:paraId="7E9E9C46" w14:textId="030AA901" w:rsidR="000501CB" w:rsidRDefault="000501CB" w:rsidP="00574009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(2) </w:t>
            </w:r>
            <w:r w:rsidR="00574009">
              <w:rPr>
                <w:rFonts w:ascii="Arial" w:hAnsi="Arial" w:cs="Arial"/>
                <w:sz w:val="20"/>
                <w:szCs w:val="20"/>
              </w:rPr>
              <w:t>P</w:t>
            </w:r>
            <w:r w:rsidR="00574009" w:rsidRPr="00574009">
              <w:rPr>
                <w:rFonts w:ascii="Arial" w:hAnsi="Arial" w:cs="Arial"/>
                <w:sz w:val="20"/>
                <w:szCs w:val="20"/>
              </w:rPr>
              <w:t>artisan gerrymandering claims are cognizable under the equal protection clause of</w:t>
            </w:r>
            <w:r w:rsidR="00574009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574009" w:rsidRPr="00574009">
              <w:rPr>
                <w:rFonts w:ascii="Arial" w:hAnsi="Arial" w:cs="Arial"/>
                <w:sz w:val="20"/>
                <w:szCs w:val="20"/>
              </w:rPr>
              <w:t xml:space="preserve"> Declaration of Rights</w:t>
            </w:r>
            <w:r w:rsidR="00574009">
              <w:rPr>
                <w:rFonts w:ascii="Arial" w:hAnsi="Arial" w:cs="Arial"/>
                <w:sz w:val="20"/>
                <w:szCs w:val="20"/>
              </w:rPr>
              <w:t xml:space="preserve"> because </w:t>
            </w:r>
            <w:r w:rsidR="00574009" w:rsidRPr="00574009">
              <w:rPr>
                <w:rFonts w:ascii="Arial" w:hAnsi="Arial" w:cs="Arial"/>
                <w:sz w:val="20"/>
                <w:szCs w:val="20"/>
              </w:rPr>
              <w:t>"</w:t>
            </w:r>
            <w:r w:rsidR="00574009">
              <w:rPr>
                <w:rFonts w:ascii="Arial" w:hAnsi="Arial" w:cs="Arial"/>
                <w:sz w:val="20"/>
                <w:szCs w:val="20"/>
              </w:rPr>
              <w:t>t</w:t>
            </w:r>
            <w:r w:rsidR="00574009" w:rsidRPr="00574009">
              <w:rPr>
                <w:rFonts w:ascii="Arial" w:hAnsi="Arial" w:cs="Arial"/>
                <w:sz w:val="20"/>
                <w:szCs w:val="20"/>
              </w:rPr>
              <w:t>he fundamental right to vote on equal terms</w:t>
            </w:r>
            <w:r w:rsidR="00574009">
              <w:rPr>
                <w:rFonts w:ascii="Arial" w:hAnsi="Arial" w:cs="Arial"/>
                <w:sz w:val="20"/>
                <w:szCs w:val="20"/>
              </w:rPr>
              <w:t xml:space="preserve">” </w:t>
            </w:r>
            <w:r w:rsidR="00574009" w:rsidRPr="00574009">
              <w:rPr>
                <w:rFonts w:ascii="Arial" w:hAnsi="Arial" w:cs="Arial"/>
                <w:sz w:val="20"/>
                <w:szCs w:val="20"/>
              </w:rPr>
              <w:t>includes the right to "substantially equal voting power and substantially equal legislative</w:t>
            </w:r>
            <w:r w:rsidR="005740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4009" w:rsidRPr="00574009">
              <w:rPr>
                <w:rFonts w:ascii="Arial" w:hAnsi="Arial" w:cs="Arial"/>
                <w:sz w:val="20"/>
                <w:szCs w:val="20"/>
              </w:rPr>
              <w:t>representation</w:t>
            </w:r>
            <w:r w:rsidR="00574009">
              <w:rPr>
                <w:rFonts w:ascii="Arial" w:hAnsi="Arial" w:cs="Arial"/>
                <w:sz w:val="20"/>
                <w:szCs w:val="20"/>
              </w:rPr>
              <w:t>.</w:t>
            </w:r>
            <w:r w:rsidR="00574009" w:rsidRPr="00574009">
              <w:rPr>
                <w:rFonts w:ascii="Arial" w:hAnsi="Arial" w:cs="Arial"/>
                <w:sz w:val="20"/>
                <w:szCs w:val="20"/>
              </w:rPr>
              <w:t>"</w:t>
            </w:r>
          </w:p>
          <w:p w14:paraId="4B023F83" w14:textId="4A198A1C" w:rsidR="0087351B" w:rsidRPr="0087351B" w:rsidRDefault="0087351B" w:rsidP="0087351B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87351B">
              <w:rPr>
                <w:rFonts w:ascii="Arial" w:hAnsi="Arial" w:cs="Arial"/>
                <w:sz w:val="20"/>
                <w:szCs w:val="20"/>
              </w:rPr>
              <w:t>hen on the basis of partisanship the General Assembly enacts a districting plan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7351B">
              <w:rPr>
                <w:rFonts w:ascii="Arial" w:hAnsi="Arial" w:cs="Arial"/>
                <w:sz w:val="20"/>
                <w:szCs w:val="20"/>
              </w:rPr>
              <w:t>diminishes or dilutes a voter's opportunity to aggregate with likeminded voters to elect a governing majority—that is,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7351B">
              <w:rPr>
                <w:rFonts w:ascii="Arial" w:hAnsi="Arial" w:cs="Arial"/>
                <w:sz w:val="20"/>
                <w:szCs w:val="20"/>
              </w:rPr>
              <w:t>when a districting plan systematically makes it harder for one group of voters to elect a governing majority than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7351B">
              <w:rPr>
                <w:rFonts w:ascii="Arial" w:hAnsi="Arial" w:cs="Arial"/>
                <w:sz w:val="20"/>
                <w:szCs w:val="20"/>
              </w:rPr>
              <w:t>another group of voters of equal size—the General Assembly unconstitutionally infringes upon that voter's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7351B">
              <w:rPr>
                <w:rFonts w:ascii="Arial" w:hAnsi="Arial" w:cs="Arial"/>
                <w:sz w:val="20"/>
                <w:szCs w:val="20"/>
              </w:rPr>
              <w:t>fundamental rights to vote on equal terms and to substantially equal voting power.</w:t>
            </w:r>
          </w:p>
          <w:p w14:paraId="7E442A8D" w14:textId="2FF98BD5" w:rsidR="002541E5" w:rsidRDefault="002541E5" w:rsidP="0020516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(3) </w:t>
            </w:r>
            <w:r w:rsidR="0020516F" w:rsidRPr="0020516F">
              <w:rPr>
                <w:rFonts w:ascii="Arial" w:hAnsi="Arial" w:cs="Arial"/>
                <w:sz w:val="20"/>
                <w:szCs w:val="20"/>
              </w:rPr>
              <w:t>Partisan gerrymandering violates the freedoms of speech and association and</w:t>
            </w:r>
            <w:r w:rsidR="00205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516F" w:rsidRPr="0020516F">
              <w:rPr>
                <w:rFonts w:ascii="Arial" w:hAnsi="Arial" w:cs="Arial"/>
                <w:sz w:val="20"/>
                <w:szCs w:val="20"/>
              </w:rPr>
              <w:t>undermines their role in our democratic system</w:t>
            </w:r>
            <w:r w:rsidR="002051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36109B9" w14:textId="77777777" w:rsidR="0020516F" w:rsidRDefault="0020516F" w:rsidP="0020516F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0516F">
              <w:rPr>
                <w:rFonts w:ascii="Arial" w:hAnsi="Arial" w:cs="Arial"/>
                <w:sz w:val="20"/>
                <w:szCs w:val="20"/>
              </w:rPr>
              <w:t>When legislators apportion district lines in a way that dilutes the influence of certain voters based on their prior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516F">
              <w:rPr>
                <w:rFonts w:ascii="Arial" w:hAnsi="Arial" w:cs="Arial"/>
                <w:sz w:val="20"/>
                <w:szCs w:val="20"/>
              </w:rPr>
              <w:t>political expression—their partisan affiliation and their voting history—it imposes a burden on a right or benefit, here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516F">
              <w:rPr>
                <w:rFonts w:ascii="Arial" w:hAnsi="Arial" w:cs="Arial"/>
                <w:sz w:val="20"/>
                <w:szCs w:val="20"/>
              </w:rPr>
              <w:t xml:space="preserve">the fundamental right to equal voting power </w:t>
            </w:r>
            <w:proofErr w:type="gramStart"/>
            <w:r w:rsidRPr="0020516F">
              <w:rPr>
                <w:rFonts w:ascii="Arial" w:hAnsi="Arial" w:cs="Arial"/>
                <w:sz w:val="20"/>
                <w:szCs w:val="20"/>
              </w:rPr>
              <w:t>on the basis of</w:t>
            </w:r>
            <w:proofErr w:type="gramEnd"/>
            <w:r w:rsidRPr="0020516F">
              <w:rPr>
                <w:rFonts w:ascii="Arial" w:hAnsi="Arial" w:cs="Arial"/>
                <w:sz w:val="20"/>
                <w:szCs w:val="20"/>
              </w:rPr>
              <w:t xml:space="preserve"> their views. </w:t>
            </w:r>
          </w:p>
          <w:p w14:paraId="1376426C" w14:textId="56E1E480" w:rsidR="0020516F" w:rsidRDefault="0020516F" w:rsidP="0020516F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0516F">
              <w:rPr>
                <w:rFonts w:ascii="Arial" w:hAnsi="Arial" w:cs="Arial"/>
                <w:sz w:val="20"/>
                <w:szCs w:val="20"/>
              </w:rPr>
              <w:t>When the General Assembly systematically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516F">
              <w:rPr>
                <w:rFonts w:ascii="Arial" w:hAnsi="Arial" w:cs="Arial"/>
                <w:sz w:val="20"/>
                <w:szCs w:val="20"/>
              </w:rPr>
              <w:t xml:space="preserve">diminishes or dilutes the power of votes </w:t>
            </w:r>
            <w:proofErr w:type="gramStart"/>
            <w:r w:rsidRPr="0020516F">
              <w:rPr>
                <w:rFonts w:ascii="Arial" w:hAnsi="Arial" w:cs="Arial"/>
                <w:sz w:val="20"/>
                <w:szCs w:val="20"/>
              </w:rPr>
              <w:t>on the basis of</w:t>
            </w:r>
            <w:proofErr w:type="gramEnd"/>
            <w:r w:rsidRPr="0020516F">
              <w:rPr>
                <w:rFonts w:ascii="Arial" w:hAnsi="Arial" w:cs="Arial"/>
                <w:sz w:val="20"/>
                <w:szCs w:val="20"/>
              </w:rPr>
              <w:t xml:space="preserve"> party affiliation, it intentionally engages in a form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516F">
              <w:rPr>
                <w:rFonts w:ascii="Arial" w:hAnsi="Arial" w:cs="Arial"/>
                <w:sz w:val="20"/>
                <w:szCs w:val="20"/>
              </w:rPr>
              <w:t>viewpoint discrimination and retaliation that triggers strict scrutiny.</w:t>
            </w:r>
          </w:p>
          <w:p w14:paraId="137994E5" w14:textId="77777777" w:rsidR="002B148B" w:rsidRPr="002B148B" w:rsidRDefault="002B148B" w:rsidP="002B148B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Lastly, </w:t>
            </w:r>
            <w:r w:rsidRPr="002B148B">
              <w:rPr>
                <w:rFonts w:ascii="Arial" w:hAnsi="Arial" w:cs="Arial"/>
                <w:sz w:val="20"/>
                <w:szCs w:val="20"/>
              </w:rPr>
              <w:t>Partisan gerrymandering claims do not require the making of "policy choices and value determinations."</w:t>
            </w:r>
          </w:p>
          <w:p w14:paraId="3307E038" w14:textId="51710637" w:rsidR="002B148B" w:rsidRPr="002B148B" w:rsidRDefault="002B148B" w:rsidP="002B148B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2B148B">
              <w:rPr>
                <w:rFonts w:ascii="Arial" w:hAnsi="Arial" w:cs="Arial"/>
                <w:sz w:val="20"/>
                <w:szCs w:val="20"/>
              </w:rPr>
              <w:t>uch claims are discernable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148B">
              <w:rPr>
                <w:rFonts w:ascii="Arial" w:hAnsi="Arial" w:cs="Arial"/>
                <w:sz w:val="20"/>
                <w:szCs w:val="20"/>
              </w:rPr>
              <w:t xml:space="preserve">under the </w:t>
            </w:r>
            <w:r w:rsidR="006E4356">
              <w:rPr>
                <w:rFonts w:ascii="Arial" w:hAnsi="Arial" w:cs="Arial"/>
                <w:sz w:val="20"/>
                <w:szCs w:val="20"/>
              </w:rPr>
              <w:t xml:space="preserve">N.C. </w:t>
            </w:r>
            <w:r w:rsidRPr="002B148B">
              <w:rPr>
                <w:rFonts w:ascii="Arial" w:hAnsi="Arial" w:cs="Arial"/>
                <w:sz w:val="20"/>
                <w:szCs w:val="20"/>
              </w:rPr>
              <w:t>Constitution and precedent</w:t>
            </w:r>
            <w:r>
              <w:rPr>
                <w:rFonts w:ascii="Arial" w:hAnsi="Arial" w:cs="Arial"/>
                <w:sz w:val="20"/>
                <w:szCs w:val="20"/>
              </w:rPr>
              <w:t xml:space="preserve"> and there are </w:t>
            </w:r>
            <w:r w:rsidRPr="002B148B">
              <w:rPr>
                <w:rFonts w:ascii="Arial" w:hAnsi="Arial" w:cs="Arial"/>
                <w:sz w:val="20"/>
                <w:szCs w:val="20"/>
              </w:rPr>
              <w:t>several manageable standards for evaluating the exten</w:t>
            </w:r>
            <w:r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Pr="002B148B">
              <w:rPr>
                <w:rFonts w:ascii="Arial" w:hAnsi="Arial" w:cs="Arial"/>
                <w:sz w:val="20"/>
                <w:szCs w:val="20"/>
              </w:rPr>
              <w:t xml:space="preserve">to which districting plans dilute votes </w:t>
            </w:r>
            <w:proofErr w:type="gramStart"/>
            <w:r w:rsidRPr="002B148B">
              <w:rPr>
                <w:rFonts w:ascii="Arial" w:hAnsi="Arial" w:cs="Arial"/>
                <w:sz w:val="20"/>
                <w:szCs w:val="20"/>
              </w:rPr>
              <w:t>on the basis of</w:t>
            </w:r>
            <w:proofErr w:type="gramEnd"/>
            <w:r w:rsidRPr="002B148B">
              <w:rPr>
                <w:rFonts w:ascii="Arial" w:hAnsi="Arial" w:cs="Arial"/>
                <w:sz w:val="20"/>
                <w:szCs w:val="20"/>
              </w:rPr>
              <w:t xml:space="preserve"> partisan affiliation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(e.g., mean-median, efficiency gap, close-votes/close-seats, and partisan symmetry analyses</w:t>
            </w:r>
            <w:r w:rsidR="009A2AE2">
              <w:rPr>
                <w:rFonts w:ascii="Arial" w:hAnsi="Arial" w:cs="Arial"/>
                <w:sz w:val="20"/>
                <w:szCs w:val="20"/>
              </w:rPr>
              <w:t>, etc.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0AB6A1A3" w14:textId="1D5369C2" w:rsidR="00A14688" w:rsidRPr="005C2D45" w:rsidRDefault="002A4A64" w:rsidP="005C2D45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A773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ELECTIONS CLAUSE ARGUMENT (i.e., </w:t>
            </w:r>
            <w:r w:rsidR="007E5EB2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7A7739">
              <w:rPr>
                <w:rFonts w:ascii="Arial" w:hAnsi="Arial" w:cs="Arial"/>
                <w:b/>
                <w:bCs/>
                <w:sz w:val="20"/>
                <w:szCs w:val="20"/>
              </w:rPr>
              <w:t>ndependent</w:t>
            </w:r>
            <w:r w:rsidR="007A7739" w:rsidRPr="007A773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E5EB2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7A7739" w:rsidRPr="007A7739">
              <w:rPr>
                <w:rFonts w:ascii="Arial" w:hAnsi="Arial" w:cs="Arial"/>
                <w:b/>
                <w:bCs/>
                <w:sz w:val="20"/>
                <w:szCs w:val="20"/>
              </w:rPr>
              <w:t>tate</w:t>
            </w:r>
            <w:r w:rsidRPr="007A773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E5EB2">
              <w:rPr>
                <w:rFonts w:ascii="Arial" w:hAnsi="Arial" w:cs="Arial"/>
                <w:b/>
                <w:bCs/>
                <w:sz w:val="20"/>
                <w:szCs w:val="20"/>
              </w:rPr>
              <w:t>L</w:t>
            </w:r>
            <w:r w:rsidRPr="007A7739">
              <w:rPr>
                <w:rFonts w:ascii="Arial" w:hAnsi="Arial" w:cs="Arial"/>
                <w:b/>
                <w:bCs/>
                <w:sz w:val="20"/>
                <w:szCs w:val="20"/>
              </w:rPr>
              <w:t>egislature</w:t>
            </w:r>
            <w:r w:rsidR="007A7739" w:rsidRPr="007A773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E5EB2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7A7739" w:rsidRPr="007A7739">
              <w:rPr>
                <w:rFonts w:ascii="Arial" w:hAnsi="Arial" w:cs="Arial"/>
                <w:b/>
                <w:bCs/>
                <w:sz w:val="20"/>
                <w:szCs w:val="20"/>
              </w:rPr>
              <w:t>heory)</w:t>
            </w:r>
            <w:r w:rsidR="007A7739">
              <w:rPr>
                <w:rStyle w:val="FootnoteReference"/>
                <w:rFonts w:ascii="Arial" w:hAnsi="Arial" w:cs="Arial"/>
                <w:b/>
                <w:bCs/>
                <w:sz w:val="20"/>
                <w:szCs w:val="20"/>
              </w:rPr>
              <w:footnoteReference w:id="5"/>
            </w:r>
            <w:r w:rsidR="007A7739">
              <w:rPr>
                <w:rFonts w:ascii="Arial" w:hAnsi="Arial" w:cs="Arial"/>
                <w:sz w:val="20"/>
                <w:szCs w:val="20"/>
              </w:rPr>
              <w:t xml:space="preserve"> – Court rejected the Legislat</w:t>
            </w:r>
            <w:r w:rsidR="004E5724">
              <w:rPr>
                <w:rFonts w:ascii="Arial" w:hAnsi="Arial" w:cs="Arial"/>
                <w:sz w:val="20"/>
                <w:szCs w:val="20"/>
              </w:rPr>
              <w:t>ive</w:t>
            </w:r>
            <w:r w:rsidR="007A7739">
              <w:rPr>
                <w:rFonts w:ascii="Arial" w:hAnsi="Arial" w:cs="Arial"/>
                <w:sz w:val="20"/>
                <w:szCs w:val="20"/>
              </w:rPr>
              <w:t xml:space="preserve"> Defendants</w:t>
            </w:r>
            <w:r w:rsidR="003D1B08">
              <w:rPr>
                <w:rFonts w:ascii="Arial" w:hAnsi="Arial" w:cs="Arial"/>
                <w:sz w:val="20"/>
                <w:szCs w:val="20"/>
              </w:rPr>
              <w:t>’</w:t>
            </w:r>
            <w:r w:rsidR="007A7739">
              <w:rPr>
                <w:rFonts w:ascii="Arial" w:hAnsi="Arial" w:cs="Arial"/>
                <w:sz w:val="20"/>
                <w:szCs w:val="20"/>
              </w:rPr>
              <w:t xml:space="preserve"> argument</w:t>
            </w:r>
            <w:r w:rsidR="005C2D45">
              <w:rPr>
                <w:rFonts w:ascii="Arial" w:hAnsi="Arial" w:cs="Arial"/>
                <w:sz w:val="20"/>
                <w:szCs w:val="20"/>
              </w:rPr>
              <w:t>, which was not presented at trial, as</w:t>
            </w:r>
            <w:r w:rsidR="007A77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2D45">
              <w:rPr>
                <w:rFonts w:ascii="Arial" w:hAnsi="Arial" w:cs="Arial"/>
                <w:sz w:val="20"/>
                <w:szCs w:val="20"/>
              </w:rPr>
              <w:t>“</w:t>
            </w:r>
            <w:r w:rsidR="005C2D45" w:rsidRPr="005C2D45">
              <w:rPr>
                <w:rFonts w:ascii="Arial" w:hAnsi="Arial" w:cs="Arial"/>
                <w:sz w:val="20"/>
                <w:szCs w:val="20"/>
              </w:rPr>
              <w:t>inconsistent with nearly a</w:t>
            </w:r>
            <w:r w:rsidR="005C2D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2D45" w:rsidRPr="005C2D45">
              <w:rPr>
                <w:rFonts w:ascii="Arial" w:hAnsi="Arial" w:cs="Arial"/>
                <w:sz w:val="20"/>
                <w:szCs w:val="20"/>
              </w:rPr>
              <w:t>century of precedent of the Supreme Court of the United States affirmed as recently as 2015</w:t>
            </w:r>
            <w:r w:rsidR="005C2D45">
              <w:rPr>
                <w:rFonts w:ascii="Arial" w:hAnsi="Arial" w:cs="Arial"/>
                <w:sz w:val="20"/>
                <w:szCs w:val="20"/>
              </w:rPr>
              <w:t>” and “</w:t>
            </w:r>
            <w:r w:rsidR="005C2D45" w:rsidRPr="005C2D45">
              <w:rPr>
                <w:rFonts w:ascii="Arial" w:hAnsi="Arial" w:cs="Arial"/>
                <w:sz w:val="20"/>
                <w:szCs w:val="20"/>
              </w:rPr>
              <w:t>repugnant to</w:t>
            </w:r>
            <w:r w:rsidR="005C2D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2D45" w:rsidRPr="005C2D45">
              <w:rPr>
                <w:rFonts w:ascii="Arial" w:hAnsi="Arial" w:cs="Arial"/>
                <w:sz w:val="20"/>
                <w:szCs w:val="20"/>
              </w:rPr>
              <w:t>the sovereignty of states, the authority of state constitutions, and the independence of state courts,</w:t>
            </w:r>
            <w:r w:rsidR="004C7D21">
              <w:rPr>
                <w:rFonts w:ascii="Arial" w:hAnsi="Arial" w:cs="Arial"/>
                <w:sz w:val="20"/>
                <w:szCs w:val="20"/>
              </w:rPr>
              <w:t>” nothing that it</w:t>
            </w:r>
            <w:r w:rsidR="005C2D45" w:rsidRPr="005C2D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7D21">
              <w:rPr>
                <w:rFonts w:ascii="Arial" w:hAnsi="Arial" w:cs="Arial"/>
                <w:sz w:val="20"/>
                <w:szCs w:val="20"/>
              </w:rPr>
              <w:t>“</w:t>
            </w:r>
            <w:r w:rsidR="005C2D45" w:rsidRPr="005C2D45">
              <w:rPr>
                <w:rFonts w:ascii="Arial" w:hAnsi="Arial" w:cs="Arial"/>
                <w:sz w:val="20"/>
                <w:szCs w:val="20"/>
              </w:rPr>
              <w:t>would</w:t>
            </w:r>
            <w:r w:rsidR="005C2D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2D45" w:rsidRPr="005C2D45">
              <w:rPr>
                <w:rFonts w:ascii="Arial" w:hAnsi="Arial" w:cs="Arial"/>
                <w:sz w:val="20"/>
                <w:szCs w:val="20"/>
              </w:rPr>
              <w:t>produce absurd and dangerous consequences.</w:t>
            </w:r>
            <w:r w:rsidR="005C2D45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3F0D69F6" w14:textId="00E04CC4" w:rsidR="004C7034" w:rsidRDefault="002D4914" w:rsidP="002D491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2D4914">
              <w:rPr>
                <w:rFonts w:ascii="Arial" w:hAnsi="Arial" w:cs="Arial"/>
                <w:sz w:val="20"/>
                <w:szCs w:val="20"/>
              </w:rPr>
              <w:t xml:space="preserve">his theory contradicts the holding of </w:t>
            </w:r>
            <w:proofErr w:type="spellStart"/>
            <w:r w:rsidRPr="002D4914"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proofErr w:type="spellEnd"/>
            <w:r w:rsidRPr="002D4914">
              <w:rPr>
                <w:rFonts w:ascii="Arial" w:hAnsi="Arial" w:cs="Arial"/>
                <w:sz w:val="20"/>
                <w:szCs w:val="20"/>
              </w:rPr>
              <w:t xml:space="preserve">, where the </w:t>
            </w:r>
            <w:r w:rsidR="009C131C">
              <w:rPr>
                <w:rFonts w:ascii="Arial" w:hAnsi="Arial" w:cs="Arial"/>
                <w:sz w:val="20"/>
                <w:szCs w:val="20"/>
              </w:rPr>
              <w:t xml:space="preserve">U.S. </w:t>
            </w:r>
            <w:r w:rsidRPr="002D4914">
              <w:rPr>
                <w:rFonts w:ascii="Arial" w:hAnsi="Arial" w:cs="Arial"/>
                <w:sz w:val="20"/>
                <w:szCs w:val="20"/>
              </w:rPr>
              <w:t>Supreme Court said that "[p]</w:t>
            </w:r>
            <w:proofErr w:type="spellStart"/>
            <w:r w:rsidRPr="002D4914">
              <w:rPr>
                <w:rFonts w:ascii="Arial" w:hAnsi="Arial" w:cs="Arial"/>
                <w:sz w:val="20"/>
                <w:szCs w:val="20"/>
              </w:rPr>
              <w:t>rovisions</w:t>
            </w:r>
            <w:proofErr w:type="spellEnd"/>
            <w:r w:rsidRPr="002D4914">
              <w:rPr>
                <w:rFonts w:ascii="Arial" w:hAnsi="Arial" w:cs="Arial"/>
                <w:sz w:val="20"/>
                <w:szCs w:val="20"/>
              </w:rPr>
              <w:t xml:space="preserve"> in . . . state constitutions can provide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4914">
              <w:rPr>
                <w:rFonts w:ascii="Arial" w:hAnsi="Arial" w:cs="Arial"/>
                <w:sz w:val="20"/>
                <w:szCs w:val="20"/>
              </w:rPr>
              <w:t>standards and guidance for state courts to apply" in a case addressing the justiciability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4914">
              <w:rPr>
                <w:rFonts w:ascii="Arial" w:hAnsi="Arial" w:cs="Arial"/>
                <w:sz w:val="20"/>
                <w:szCs w:val="20"/>
              </w:rPr>
              <w:t>of partisan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4914">
              <w:rPr>
                <w:rFonts w:ascii="Arial" w:hAnsi="Arial" w:cs="Arial"/>
                <w:sz w:val="20"/>
                <w:szCs w:val="20"/>
              </w:rPr>
              <w:t>gerrymandering claims in congressional plans.</w:t>
            </w:r>
          </w:p>
          <w:p w14:paraId="1461A33A" w14:textId="0BDAAF13" w:rsidR="002D4914" w:rsidRDefault="002D4914" w:rsidP="002D491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D4914">
              <w:rPr>
                <w:rFonts w:ascii="Arial" w:hAnsi="Arial" w:cs="Arial"/>
                <w:sz w:val="20"/>
                <w:szCs w:val="20"/>
              </w:rPr>
              <w:t xml:space="preserve"> long line of decisions by the Supreme Court of the United States </w:t>
            </w:r>
            <w:proofErr w:type="gramStart"/>
            <w:r w:rsidRPr="002D4914">
              <w:rPr>
                <w:rFonts w:ascii="Arial" w:hAnsi="Arial" w:cs="Arial"/>
                <w:sz w:val="20"/>
                <w:szCs w:val="20"/>
              </w:rPr>
              <w:t>confirm</w:t>
            </w:r>
            <w:proofErr w:type="gramEnd"/>
            <w:r w:rsidRPr="002D4914">
              <w:rPr>
                <w:rFonts w:ascii="Arial" w:hAnsi="Arial" w:cs="Arial"/>
                <w:sz w:val="20"/>
                <w:szCs w:val="20"/>
              </w:rPr>
              <w:t xml:space="preserve"> the view that state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4914">
              <w:rPr>
                <w:rFonts w:ascii="Arial" w:hAnsi="Arial" w:cs="Arial"/>
                <w:sz w:val="20"/>
                <w:szCs w:val="20"/>
              </w:rPr>
              <w:t>courts may review state laws governing federal elections to determine whether they comply with the state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4914">
              <w:rPr>
                <w:rFonts w:ascii="Arial" w:hAnsi="Arial" w:cs="Arial"/>
                <w:sz w:val="20"/>
                <w:szCs w:val="20"/>
              </w:rPr>
              <w:t>constitution.</w:t>
            </w:r>
          </w:p>
          <w:p w14:paraId="5F7B34E2" w14:textId="54EDDB67" w:rsidR="002D4914" w:rsidRDefault="00B8135F" w:rsidP="002D491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PARTISAN GERRYMANDERING </w:t>
            </w:r>
            <w:r>
              <w:rPr>
                <w:rFonts w:ascii="Arial" w:hAnsi="Arial" w:cs="Arial"/>
                <w:sz w:val="20"/>
                <w:szCs w:val="20"/>
              </w:rPr>
              <w:t xml:space="preserve">– Court </w:t>
            </w:r>
            <w:r w:rsidR="00C771DD">
              <w:rPr>
                <w:rFonts w:ascii="Arial" w:hAnsi="Arial" w:cs="Arial"/>
                <w:sz w:val="20"/>
                <w:szCs w:val="20"/>
              </w:rPr>
              <w:t>held</w:t>
            </w:r>
            <w:r>
              <w:rPr>
                <w:rFonts w:ascii="Arial" w:hAnsi="Arial" w:cs="Arial"/>
                <w:sz w:val="20"/>
                <w:szCs w:val="20"/>
              </w:rPr>
              <w:t xml:space="preserve"> that</w:t>
            </w:r>
            <w:r w:rsidR="00A53081">
              <w:rPr>
                <w:rFonts w:ascii="Arial" w:hAnsi="Arial" w:cs="Arial"/>
                <w:sz w:val="20"/>
                <w:szCs w:val="20"/>
              </w:rPr>
              <w:t xml:space="preserve"> each of</w:t>
            </w:r>
            <w:r>
              <w:rPr>
                <w:rFonts w:ascii="Arial" w:hAnsi="Arial" w:cs="Arial"/>
                <w:sz w:val="20"/>
                <w:szCs w:val="20"/>
              </w:rPr>
              <w:t xml:space="preserve"> the 2021 plans violated the Declaration of Rights as partisan gerrymanders.</w:t>
            </w:r>
          </w:p>
          <w:p w14:paraId="3497AF14" w14:textId="77777777" w:rsidR="00A53081" w:rsidRDefault="00A53081" w:rsidP="00A5308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 Congressional Map</w:t>
            </w:r>
          </w:p>
          <w:p w14:paraId="52BA1DBB" w14:textId="61DAB0B2" w:rsidR="00116EAC" w:rsidRDefault="00A53081" w:rsidP="00A5308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A53081">
              <w:rPr>
                <w:rFonts w:ascii="Arial" w:hAnsi="Arial" w:cs="Arial"/>
                <w:sz w:val="20"/>
                <w:szCs w:val="20"/>
              </w:rPr>
              <w:t>ased on Dr. Mattingly's ensemble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3081">
              <w:rPr>
                <w:rFonts w:ascii="Arial" w:hAnsi="Arial" w:cs="Arial"/>
                <w:sz w:val="20"/>
                <w:szCs w:val="20"/>
              </w:rPr>
              <w:t>analysis, the trial court found "that the Congressional Map is the product of intentional, pro-Republican partisan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3081">
              <w:rPr>
                <w:rFonts w:ascii="Arial" w:hAnsi="Arial" w:cs="Arial"/>
                <w:sz w:val="20"/>
                <w:szCs w:val="20"/>
              </w:rPr>
              <w:t>redistricting.</w:t>
            </w:r>
            <w:r w:rsidR="00BE4821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20461126" w14:textId="54D52AD5" w:rsidR="00A53081" w:rsidRDefault="0086111E" w:rsidP="00A5308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addition</w:t>
            </w:r>
            <w:r w:rsidR="003624A7">
              <w:rPr>
                <w:rFonts w:ascii="Arial" w:hAnsi="Arial" w:cs="Arial"/>
                <w:sz w:val="20"/>
                <w:szCs w:val="20"/>
              </w:rPr>
              <w:t>, t</w:t>
            </w:r>
            <w:r w:rsidR="00A53081">
              <w:rPr>
                <w:rFonts w:ascii="Arial" w:hAnsi="Arial" w:cs="Arial"/>
                <w:sz w:val="20"/>
                <w:szCs w:val="20"/>
              </w:rPr>
              <w:t>he court considered</w:t>
            </w:r>
            <w:r w:rsidR="00691017">
              <w:rPr>
                <w:rFonts w:ascii="Arial" w:hAnsi="Arial" w:cs="Arial"/>
                <w:sz w:val="20"/>
                <w:szCs w:val="20"/>
              </w:rPr>
              <w:t xml:space="preserve"> various</w:t>
            </w:r>
            <w:r w:rsidR="00A53081" w:rsidRPr="00A53081">
              <w:rPr>
                <w:rFonts w:ascii="Arial" w:hAnsi="Arial" w:cs="Arial"/>
                <w:sz w:val="20"/>
                <w:szCs w:val="20"/>
              </w:rPr>
              <w:t xml:space="preserve"> "mean-median difference</w:t>
            </w:r>
            <w:r w:rsidR="00A53081">
              <w:rPr>
                <w:rFonts w:ascii="Arial" w:hAnsi="Arial" w:cs="Arial"/>
                <w:sz w:val="20"/>
                <w:szCs w:val="20"/>
              </w:rPr>
              <w:t xml:space="preserve">,” </w:t>
            </w:r>
            <w:r w:rsidR="00A53081" w:rsidRPr="00A53081">
              <w:rPr>
                <w:rFonts w:ascii="Arial" w:hAnsi="Arial" w:cs="Arial"/>
                <w:sz w:val="20"/>
                <w:szCs w:val="20"/>
              </w:rPr>
              <w:t>"efficiency gap</w:t>
            </w:r>
            <w:r w:rsidR="00A53081">
              <w:rPr>
                <w:rFonts w:ascii="Arial" w:hAnsi="Arial" w:cs="Arial"/>
                <w:sz w:val="20"/>
                <w:szCs w:val="20"/>
              </w:rPr>
              <w:t xml:space="preserve">,” </w:t>
            </w:r>
            <w:r w:rsidR="00A53081" w:rsidRPr="00A53081">
              <w:rPr>
                <w:rFonts w:ascii="Arial" w:hAnsi="Arial" w:cs="Arial"/>
                <w:sz w:val="20"/>
                <w:szCs w:val="20"/>
              </w:rPr>
              <w:t>"the lopsided margins test</w:t>
            </w:r>
            <w:r w:rsidR="00A53081">
              <w:rPr>
                <w:rFonts w:ascii="Arial" w:hAnsi="Arial" w:cs="Arial"/>
                <w:sz w:val="20"/>
                <w:szCs w:val="20"/>
              </w:rPr>
              <w:t xml:space="preserve">,” </w:t>
            </w:r>
            <w:r w:rsidR="00A53081" w:rsidRPr="00A53081">
              <w:rPr>
                <w:rFonts w:ascii="Arial" w:hAnsi="Arial" w:cs="Arial"/>
                <w:sz w:val="20"/>
                <w:szCs w:val="20"/>
              </w:rPr>
              <w:t>and "partisan symmetry" analys</w:t>
            </w:r>
            <w:r w:rsidR="00BF7C51">
              <w:rPr>
                <w:rFonts w:ascii="Arial" w:hAnsi="Arial" w:cs="Arial"/>
                <w:sz w:val="20"/>
                <w:szCs w:val="20"/>
              </w:rPr>
              <w:t>es provided</w:t>
            </w:r>
            <w:r w:rsidR="00A53081">
              <w:rPr>
                <w:rFonts w:ascii="Arial" w:hAnsi="Arial" w:cs="Arial"/>
                <w:sz w:val="20"/>
                <w:szCs w:val="20"/>
              </w:rPr>
              <w:t xml:space="preserve">, and found </w:t>
            </w:r>
            <w:r w:rsidR="00A53081" w:rsidRPr="00A53081">
              <w:rPr>
                <w:rFonts w:ascii="Arial" w:hAnsi="Arial" w:cs="Arial"/>
                <w:sz w:val="20"/>
                <w:szCs w:val="20"/>
              </w:rPr>
              <w:t xml:space="preserve">"that the </w:t>
            </w:r>
            <w:r w:rsidR="00A53081" w:rsidRPr="00A53081">
              <w:rPr>
                <w:rFonts w:ascii="Arial" w:hAnsi="Arial" w:cs="Arial"/>
                <w:sz w:val="20"/>
                <w:szCs w:val="20"/>
              </w:rPr>
              <w:lastRenderedPageBreak/>
              <w:t>2021 Congressional Plan is a partisan outlier intentionally and</w:t>
            </w:r>
            <w:r w:rsidR="00A530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3081" w:rsidRPr="00A53081">
              <w:rPr>
                <w:rFonts w:ascii="Arial" w:hAnsi="Arial" w:cs="Arial"/>
                <w:sz w:val="20"/>
                <w:szCs w:val="20"/>
              </w:rPr>
              <w:t>carefully designed to maximize Republican advantage in North Carolina's Congressional delegation."</w:t>
            </w:r>
          </w:p>
          <w:p w14:paraId="18AA1E54" w14:textId="3725F325" w:rsidR="00A53081" w:rsidRPr="007208DA" w:rsidRDefault="00A53081" w:rsidP="007208D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53081">
              <w:rPr>
                <w:rFonts w:ascii="Arial" w:hAnsi="Arial" w:cs="Arial"/>
                <w:sz w:val="20"/>
                <w:szCs w:val="20"/>
              </w:rPr>
              <w:t xml:space="preserve">Defendants </w:t>
            </w:r>
            <w:r w:rsidR="00332BAA">
              <w:rPr>
                <w:rFonts w:ascii="Arial" w:hAnsi="Arial" w:cs="Arial"/>
                <w:sz w:val="20"/>
                <w:szCs w:val="20"/>
              </w:rPr>
              <w:t>also had</w:t>
            </w:r>
            <w:r w:rsidRPr="00A53081">
              <w:rPr>
                <w:rFonts w:ascii="Arial" w:hAnsi="Arial" w:cs="Arial"/>
                <w:sz w:val="20"/>
                <w:szCs w:val="20"/>
              </w:rPr>
              <w:t xml:space="preserve"> not shown </w:t>
            </w:r>
            <w:r w:rsidR="0005617D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Pr="00A53081">
              <w:rPr>
                <w:rFonts w:ascii="Arial" w:hAnsi="Arial" w:cs="Arial"/>
                <w:sz w:val="20"/>
                <w:szCs w:val="20"/>
              </w:rPr>
              <w:t xml:space="preserve">the 2021 congressional map </w:t>
            </w:r>
            <w:r w:rsidR="006F726C">
              <w:rPr>
                <w:rFonts w:ascii="Arial" w:hAnsi="Arial" w:cs="Arial"/>
                <w:sz w:val="20"/>
                <w:szCs w:val="20"/>
              </w:rPr>
              <w:t>was</w:t>
            </w:r>
            <w:r w:rsidRPr="00A53081">
              <w:rPr>
                <w:rFonts w:ascii="Arial" w:hAnsi="Arial" w:cs="Arial"/>
                <w:sz w:val="20"/>
                <w:szCs w:val="20"/>
              </w:rPr>
              <w:t xml:space="preserve"> narrowly tailored to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3081">
              <w:rPr>
                <w:rFonts w:ascii="Arial" w:hAnsi="Arial" w:cs="Arial"/>
                <w:sz w:val="20"/>
                <w:szCs w:val="20"/>
              </w:rPr>
              <w:t>compelling governmental interest, and therefore the map fail</w:t>
            </w:r>
            <w:r w:rsidR="00C01639">
              <w:rPr>
                <w:rFonts w:ascii="Arial" w:hAnsi="Arial" w:cs="Arial"/>
                <w:sz w:val="20"/>
                <w:szCs w:val="20"/>
              </w:rPr>
              <w:t>ed</w:t>
            </w:r>
            <w:r w:rsidRPr="00A53081">
              <w:rPr>
                <w:rFonts w:ascii="Arial" w:hAnsi="Arial" w:cs="Arial"/>
                <w:sz w:val="20"/>
                <w:szCs w:val="20"/>
              </w:rPr>
              <w:t xml:space="preserve"> strict scrutiny</w:t>
            </w:r>
            <w:r w:rsidR="007208DA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7208DA" w:rsidRPr="007208DA">
              <w:rPr>
                <w:rFonts w:ascii="Arial" w:hAnsi="Arial" w:cs="Arial"/>
                <w:sz w:val="20"/>
                <w:szCs w:val="20"/>
              </w:rPr>
              <w:t>partisan advantage is</w:t>
            </w:r>
            <w:r w:rsidR="007208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08DA" w:rsidRPr="007208DA">
              <w:rPr>
                <w:rFonts w:ascii="Arial" w:hAnsi="Arial" w:cs="Arial"/>
                <w:sz w:val="20"/>
                <w:szCs w:val="20"/>
              </w:rPr>
              <w:t>neither a compelling nor a legitimate governmental interest.</w:t>
            </w:r>
          </w:p>
          <w:p w14:paraId="43268B5E" w14:textId="3344AFDA" w:rsidR="00E32C1A" w:rsidRDefault="00552C52" w:rsidP="00E32C1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Court made similar determinations for </w:t>
            </w:r>
            <w:r w:rsidR="00674D62">
              <w:rPr>
                <w:rFonts w:ascii="Arial" w:hAnsi="Arial" w:cs="Arial"/>
                <w:sz w:val="20"/>
                <w:szCs w:val="20"/>
              </w:rPr>
              <w:t xml:space="preserve">both the </w:t>
            </w:r>
            <w:r>
              <w:rPr>
                <w:rFonts w:ascii="Arial" w:hAnsi="Arial" w:cs="Arial"/>
                <w:sz w:val="20"/>
                <w:szCs w:val="20"/>
              </w:rPr>
              <w:t xml:space="preserve">State House Map and </w:t>
            </w:r>
            <w:r w:rsidR="0060391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State Senate Map, </w:t>
            </w:r>
            <w:r w:rsidRPr="00DE2DCF">
              <w:rPr>
                <w:rFonts w:ascii="Arial" w:hAnsi="Arial" w:cs="Arial"/>
                <w:i/>
                <w:iCs/>
                <w:sz w:val="20"/>
                <w:szCs w:val="20"/>
              </w:rPr>
              <w:t>see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52C52">
              <w:rPr>
                <w:rFonts w:ascii="Arial" w:hAnsi="Arial" w:cs="Arial"/>
                <w:i/>
                <w:iCs/>
                <w:sz w:val="20"/>
                <w:szCs w:val="20"/>
              </w:rPr>
              <w:t>Harper</w:t>
            </w:r>
            <w:r>
              <w:rPr>
                <w:rFonts w:ascii="Arial" w:hAnsi="Arial" w:cs="Arial"/>
                <w:sz w:val="20"/>
                <w:szCs w:val="20"/>
              </w:rPr>
              <w:t>, 868 S.E.2d at 555–58.</w:t>
            </w:r>
          </w:p>
          <w:p w14:paraId="2C5E9572" w14:textId="6BBFAB57" w:rsidR="00213F86" w:rsidRPr="0043743B" w:rsidRDefault="004254FF" w:rsidP="0043743B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FAILURE TO COMPLY WITH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STEPHENSON</w:t>
            </w:r>
            <w:r w:rsidR="007C3BE3" w:rsidRPr="004C4939">
              <w:rPr>
                <w:rStyle w:val="FootnoteReference"/>
                <w:rFonts w:ascii="Arial" w:hAnsi="Arial" w:cs="Arial"/>
                <w:b/>
                <w:bCs/>
                <w:sz w:val="20"/>
                <w:szCs w:val="20"/>
              </w:rPr>
              <w:footnoteReference w:id="6"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REQUIREMENTS </w:t>
            </w:r>
            <w:r>
              <w:rPr>
                <w:rFonts w:ascii="Arial" w:hAnsi="Arial" w:cs="Arial"/>
                <w:sz w:val="20"/>
                <w:szCs w:val="20"/>
              </w:rPr>
              <w:t xml:space="preserve">– Court found that </w:t>
            </w:r>
            <w:r w:rsidRPr="004254FF">
              <w:rPr>
                <w:rFonts w:ascii="Arial" w:hAnsi="Arial" w:cs="Arial"/>
                <w:sz w:val="20"/>
                <w:szCs w:val="20"/>
              </w:rPr>
              <w:t>the General Assembly was required to conduct a racially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54FF">
              <w:rPr>
                <w:rFonts w:ascii="Arial" w:hAnsi="Arial" w:cs="Arial"/>
                <w:sz w:val="20"/>
                <w:szCs w:val="20"/>
              </w:rPr>
              <w:t xml:space="preserve">polarized voting analysis prior to drawing district </w:t>
            </w:r>
            <w:proofErr w:type="gramStart"/>
            <w:r w:rsidRPr="004254FF">
              <w:rPr>
                <w:rFonts w:ascii="Arial" w:hAnsi="Arial" w:cs="Arial"/>
                <w:sz w:val="20"/>
                <w:szCs w:val="20"/>
              </w:rPr>
              <w:t>lines</w:t>
            </w:r>
            <w:r>
              <w:rPr>
                <w:rFonts w:ascii="Arial" w:hAnsi="Arial" w:cs="Arial"/>
                <w:sz w:val="20"/>
                <w:szCs w:val="20"/>
              </w:rPr>
              <w:t>, yet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failed to do so.</w:t>
            </w:r>
          </w:p>
          <w:p w14:paraId="5782D514" w14:textId="04DA2015" w:rsidR="00C202F4" w:rsidRPr="00E0284F" w:rsidRDefault="00C202F4" w:rsidP="00C202F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053F9293" w14:textId="77777777" w:rsidTr="000011E4">
        <w:trPr>
          <w:trHeight w:val="1242"/>
        </w:trPr>
        <w:tc>
          <w:tcPr>
            <w:tcW w:w="1998" w:type="dxa"/>
            <w:tcBorders>
              <w:left w:val="nil"/>
              <w:bottom w:val="nil"/>
            </w:tcBorders>
          </w:tcPr>
          <w:p w14:paraId="4DFF616A" w14:textId="77E50D3A" w:rsidR="00ED671F" w:rsidRDefault="005E0390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Concurring: Morgan, J.</w:t>
            </w:r>
            <w:r w:rsidR="003218D6">
              <w:rPr>
                <w:rFonts w:ascii="Arial" w:hAnsi="Arial" w:cs="Arial"/>
                <w:b/>
                <w:bCs/>
                <w:sz w:val="20"/>
                <w:szCs w:val="20"/>
              </w:rPr>
              <w:t>, joined by Earls, J.</w:t>
            </w:r>
          </w:p>
          <w:p w14:paraId="063E9EBA" w14:textId="3FA23CB2" w:rsidR="005E0390" w:rsidRPr="008D467C" w:rsidRDefault="005E0390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2C30CBCF" w14:textId="77777777" w:rsidR="00A359ED" w:rsidRDefault="005E0390" w:rsidP="005E039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5E0390">
              <w:rPr>
                <w:rFonts w:ascii="Arial" w:hAnsi="Arial" w:cs="Arial"/>
                <w:sz w:val="20"/>
                <w:szCs w:val="20"/>
              </w:rPr>
              <w:t>While I fully join my learned colleagues in my agreement with the majority opinion in this case, in my view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390">
              <w:rPr>
                <w:rFonts w:ascii="Arial" w:hAnsi="Arial" w:cs="Arial"/>
                <w:sz w:val="20"/>
                <w:szCs w:val="20"/>
              </w:rPr>
              <w:t>the dispositive strength of the Free Elections Clause warrants additional observations in light 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390">
              <w:rPr>
                <w:rFonts w:ascii="Arial" w:hAnsi="Arial" w:cs="Arial"/>
                <w:sz w:val="20"/>
                <w:szCs w:val="20"/>
              </w:rPr>
              <w:t>manner in which it has been postured and addressed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  <w:p w14:paraId="65FFC210" w14:textId="58FDA6EF" w:rsidR="005E0390" w:rsidRDefault="005E0390" w:rsidP="005E039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E0390">
              <w:rPr>
                <w:rFonts w:ascii="Arial" w:hAnsi="Arial" w:cs="Arial"/>
                <w:sz w:val="20"/>
                <w:szCs w:val="20"/>
              </w:rPr>
              <w:t xml:space="preserve">To the extent that the word "free" in </w:t>
            </w:r>
            <w:r w:rsidR="00AC6C44">
              <w:rPr>
                <w:rFonts w:ascii="Arial" w:hAnsi="Arial" w:cs="Arial"/>
                <w:sz w:val="20"/>
                <w:szCs w:val="20"/>
              </w:rPr>
              <w:t>art.</w:t>
            </w:r>
            <w:r w:rsidRPr="005E0390">
              <w:rPr>
                <w:rFonts w:ascii="Arial" w:hAnsi="Arial" w:cs="Arial"/>
                <w:sz w:val="20"/>
                <w:szCs w:val="20"/>
              </w:rPr>
              <w:t xml:space="preserve"> I, </w:t>
            </w:r>
            <w:r w:rsidR="00A547F0">
              <w:rPr>
                <w:rFonts w:ascii="Arial" w:hAnsi="Arial" w:cs="Arial"/>
                <w:sz w:val="20"/>
                <w:szCs w:val="20"/>
              </w:rPr>
              <w:t>§</w:t>
            </w:r>
            <w:r w:rsidRPr="005E0390">
              <w:rPr>
                <w:rFonts w:ascii="Arial" w:hAnsi="Arial" w:cs="Arial"/>
                <w:sz w:val="20"/>
                <w:szCs w:val="20"/>
              </w:rPr>
              <w:t xml:space="preserve"> 10 has been construed here by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390">
              <w:rPr>
                <w:rFonts w:ascii="Arial" w:hAnsi="Arial" w:cs="Arial"/>
                <w:sz w:val="20"/>
                <w:szCs w:val="20"/>
              </w:rPr>
              <w:t>Legislative Defendants, they conflate the right to a free election with the right to be free to participate in the election process.</w:t>
            </w:r>
          </w:p>
          <w:p w14:paraId="31775AB6" w14:textId="77777777" w:rsidR="00FF64EE" w:rsidRDefault="00FF64EE" w:rsidP="00FF64EE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FF64EE">
              <w:rPr>
                <w:rFonts w:ascii="Arial" w:hAnsi="Arial" w:cs="Arial"/>
                <w:sz w:val="20"/>
                <w:szCs w:val="20"/>
              </w:rPr>
              <w:t>In my view, a free election is uninhibited and unconstrained in its ability to have the prevailing candidate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64EE">
              <w:rPr>
                <w:rFonts w:ascii="Arial" w:hAnsi="Arial" w:cs="Arial"/>
                <w:sz w:val="20"/>
                <w:szCs w:val="20"/>
              </w:rPr>
              <w:t>to be chosen in a legislative contest without the stain of the outcome's predetermination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  <w:p w14:paraId="2B5C0BDB" w14:textId="7EC39D52" w:rsidR="002A5761" w:rsidRPr="00FF64EE" w:rsidRDefault="002A5761" w:rsidP="002A576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061BADDC" w14:textId="77777777" w:rsidTr="00C552C0">
        <w:trPr>
          <w:trHeight w:val="1692"/>
        </w:trPr>
        <w:tc>
          <w:tcPr>
            <w:tcW w:w="1998" w:type="dxa"/>
            <w:tcBorders>
              <w:left w:val="nil"/>
            </w:tcBorders>
          </w:tcPr>
          <w:p w14:paraId="17920F53" w14:textId="24100FBB" w:rsidR="00C866B4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Dissent</w:t>
            </w:r>
            <w:r w:rsidR="00C866B4">
              <w:rPr>
                <w:rFonts w:ascii="Arial" w:hAnsi="Arial" w:cs="Arial"/>
                <w:b/>
                <w:bCs/>
                <w:sz w:val="20"/>
                <w:szCs w:val="20"/>
              </w:rPr>
              <w:t>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C866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Newby, </w:t>
            </w:r>
            <w:r w:rsidR="005C3CDB">
              <w:rPr>
                <w:rFonts w:ascii="Arial" w:hAnsi="Arial" w:cs="Arial"/>
                <w:b/>
                <w:bCs/>
                <w:sz w:val="20"/>
                <w:szCs w:val="20"/>
              </w:rPr>
              <w:t>C.</w:t>
            </w:r>
            <w:r w:rsidR="00C866B4">
              <w:rPr>
                <w:rFonts w:ascii="Arial" w:hAnsi="Arial" w:cs="Arial"/>
                <w:b/>
                <w:bCs/>
                <w:sz w:val="20"/>
                <w:szCs w:val="20"/>
              </w:rPr>
              <w:t>J.</w:t>
            </w:r>
            <w:r w:rsidR="00275DCE">
              <w:rPr>
                <w:rFonts w:ascii="Arial" w:hAnsi="Arial" w:cs="Arial"/>
                <w:b/>
                <w:bCs/>
                <w:sz w:val="20"/>
                <w:szCs w:val="20"/>
              </w:rPr>
              <w:t>, joined by Berger, J., and Barringer, J.</w:t>
            </w:r>
          </w:p>
          <w:p w14:paraId="17384EF4" w14:textId="77777777" w:rsidR="00275DCE" w:rsidRDefault="00275DCE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B207ADD" w14:textId="0C7C4C91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  <w:tcBorders>
              <w:right w:val="nil"/>
            </w:tcBorders>
          </w:tcPr>
          <w:p w14:paraId="4E052438" w14:textId="77777777" w:rsidR="00ED671F" w:rsidRDefault="004A0BC6" w:rsidP="004A0BC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4A0BC6">
              <w:rPr>
                <w:rFonts w:ascii="Arial" w:hAnsi="Arial" w:cs="Arial"/>
                <w:sz w:val="20"/>
                <w:szCs w:val="20"/>
              </w:rPr>
              <w:t>With this decision, unguided by the constitutional text, four members of this Court become policymakers.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4A0BC6">
              <w:rPr>
                <w:rFonts w:ascii="Arial" w:hAnsi="Arial" w:cs="Arial"/>
                <w:sz w:val="20"/>
                <w:szCs w:val="20"/>
              </w:rPr>
              <w:t>They wade into the political waters by mandating their approach to redistricting.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66DCB4B6" w14:textId="0AB4B38E" w:rsidR="00A60B17" w:rsidRPr="00DD073B" w:rsidRDefault="00B03C74" w:rsidP="00DD073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A60B17" w:rsidRPr="00DD073B">
              <w:rPr>
                <w:rFonts w:ascii="Arial" w:hAnsi="Arial" w:cs="Arial"/>
                <w:sz w:val="20"/>
                <w:szCs w:val="20"/>
              </w:rPr>
              <w:t xml:space="preserve">They lament that the people have not placed a provision in our constitution for a </w:t>
            </w:r>
            <w:r w:rsidR="0054092E">
              <w:rPr>
                <w:rFonts w:ascii="Arial" w:hAnsi="Arial" w:cs="Arial"/>
                <w:sz w:val="20"/>
                <w:szCs w:val="20"/>
              </w:rPr>
              <w:t>‘</w:t>
            </w:r>
            <w:r w:rsidR="00A60B17" w:rsidRPr="00DD073B">
              <w:rPr>
                <w:rFonts w:ascii="Arial" w:hAnsi="Arial" w:cs="Arial"/>
                <w:sz w:val="20"/>
                <w:szCs w:val="20"/>
              </w:rPr>
              <w:t>citizen referendum</w:t>
            </w:r>
            <w:r w:rsidR="0054092E">
              <w:rPr>
                <w:rFonts w:ascii="Arial" w:hAnsi="Arial" w:cs="Arial"/>
                <w:sz w:val="20"/>
                <w:szCs w:val="20"/>
              </w:rPr>
              <w:t>’</w:t>
            </w:r>
            <w:r w:rsidR="00A60B17" w:rsidRPr="00DD073B">
              <w:rPr>
                <w:rFonts w:ascii="Arial" w:hAnsi="Arial" w:cs="Arial"/>
                <w:sz w:val="20"/>
                <w:szCs w:val="20"/>
              </w:rPr>
              <w:t xml:space="preserve"> and use the absence of such a provision to justify their judicial activism to amend our constitution.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55A7FAB1" w14:textId="68FD07A7" w:rsidR="0089277E" w:rsidRDefault="0089277E" w:rsidP="0089277E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9277E">
              <w:rPr>
                <w:rFonts w:ascii="Arial" w:hAnsi="Arial" w:cs="Arial"/>
                <w:sz w:val="20"/>
                <w:szCs w:val="20"/>
              </w:rPr>
              <w:t>Because the General Assembly serves as "the agent of the people for enacting laws,"</w:t>
            </w: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89277E">
              <w:rPr>
                <w:rFonts w:ascii="Arial" w:hAnsi="Arial" w:cs="Arial"/>
                <w:sz w:val="20"/>
                <w:szCs w:val="20"/>
              </w:rPr>
              <w:t>he General Assembly has plenary power, and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277E">
              <w:rPr>
                <w:rFonts w:ascii="Arial" w:hAnsi="Arial" w:cs="Arial"/>
                <w:sz w:val="20"/>
                <w:szCs w:val="20"/>
              </w:rPr>
              <w:t>restriction on the General Assembly is in fact a restriction on the people themselves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881D62" w14:textId="5F219986" w:rsidR="002C5ADC" w:rsidRDefault="0089277E" w:rsidP="0089277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89277E">
              <w:rPr>
                <w:rFonts w:ascii="Arial" w:hAnsi="Arial" w:cs="Arial"/>
                <w:sz w:val="20"/>
                <w:szCs w:val="20"/>
              </w:rPr>
              <w:t>he Court presumes that legislation is constitutional, and a constitutional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277E">
              <w:rPr>
                <w:rFonts w:ascii="Arial" w:hAnsi="Arial" w:cs="Arial"/>
                <w:sz w:val="20"/>
                <w:szCs w:val="20"/>
              </w:rPr>
              <w:t xml:space="preserve">limitation upon the General Assembly must be (1) </w:t>
            </w:r>
            <w:r w:rsidRPr="00444D33">
              <w:rPr>
                <w:rFonts w:ascii="Arial" w:hAnsi="Arial" w:cs="Arial"/>
                <w:sz w:val="20"/>
                <w:szCs w:val="20"/>
                <w:u w:val="single"/>
              </w:rPr>
              <w:t>express</w:t>
            </w:r>
            <w:r w:rsidRPr="0089277E">
              <w:rPr>
                <w:rFonts w:ascii="Arial" w:hAnsi="Arial" w:cs="Arial"/>
                <w:sz w:val="20"/>
                <w:szCs w:val="20"/>
              </w:rPr>
              <w:t xml:space="preserve"> and (2) proved beyond a reasonable doubt</w:t>
            </w:r>
            <w:r w:rsidR="00C302F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BBC8041" w14:textId="77777777" w:rsidR="00C302F5" w:rsidRDefault="00FC04EE" w:rsidP="001E403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C04EE">
              <w:rPr>
                <w:rFonts w:ascii="Arial" w:hAnsi="Arial" w:cs="Arial"/>
                <w:sz w:val="20"/>
                <w:szCs w:val="20"/>
              </w:rPr>
              <w:t>When this Court looks for constitutional limitations on the General Assembly's authority, it looks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04EE">
              <w:rPr>
                <w:rFonts w:ascii="Arial" w:hAnsi="Arial" w:cs="Arial"/>
                <w:sz w:val="20"/>
                <w:szCs w:val="20"/>
              </w:rPr>
              <w:t xml:space="preserve">to the </w:t>
            </w:r>
            <w:r w:rsidRPr="00FC04EE">
              <w:rPr>
                <w:rFonts w:ascii="Arial" w:hAnsi="Arial" w:cs="Arial"/>
                <w:sz w:val="20"/>
                <w:szCs w:val="20"/>
                <w:u w:val="single"/>
              </w:rPr>
              <w:t>plain text</w:t>
            </w:r>
            <w:r w:rsidRPr="00FC04EE">
              <w:rPr>
                <w:rFonts w:ascii="Arial" w:hAnsi="Arial" w:cs="Arial"/>
                <w:sz w:val="20"/>
                <w:szCs w:val="20"/>
              </w:rPr>
              <w:t xml:space="preserve"> of the constitution.</w:t>
            </w:r>
          </w:p>
          <w:p w14:paraId="2CB96B92" w14:textId="5FCD6C2A" w:rsidR="00DB40B1" w:rsidRDefault="00DB40B1" w:rsidP="001E403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B40B1">
              <w:rPr>
                <w:rFonts w:ascii="Arial" w:hAnsi="Arial" w:cs="Arial"/>
                <w:sz w:val="20"/>
                <w:szCs w:val="20"/>
              </w:rPr>
              <w:t xml:space="preserve">Like the Federal Constitution, there is no provision in </w:t>
            </w:r>
            <w:r w:rsidR="005E64F7">
              <w:rPr>
                <w:rFonts w:ascii="Arial" w:hAnsi="Arial" w:cs="Arial"/>
                <w:sz w:val="20"/>
                <w:szCs w:val="20"/>
              </w:rPr>
              <w:t>the N.</w:t>
            </w:r>
            <w:r w:rsidR="0026777E">
              <w:rPr>
                <w:rFonts w:ascii="Arial" w:hAnsi="Arial" w:cs="Arial"/>
                <w:sz w:val="20"/>
                <w:szCs w:val="20"/>
              </w:rPr>
              <w:t>C.</w:t>
            </w:r>
            <w:r w:rsidRPr="00DB40B1">
              <w:rPr>
                <w:rFonts w:ascii="Arial" w:hAnsi="Arial" w:cs="Arial"/>
                <w:sz w:val="20"/>
                <w:szCs w:val="20"/>
              </w:rPr>
              <w:t xml:space="preserve"> state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40B1">
              <w:rPr>
                <w:rFonts w:ascii="Arial" w:hAnsi="Arial" w:cs="Arial"/>
                <w:sz w:val="20"/>
                <w:szCs w:val="20"/>
              </w:rPr>
              <w:t xml:space="preserve">constitution remotely comparable to </w:t>
            </w:r>
            <w:r w:rsidR="00AC5223">
              <w:rPr>
                <w:rFonts w:ascii="Arial" w:hAnsi="Arial" w:cs="Arial"/>
                <w:sz w:val="20"/>
                <w:szCs w:val="20"/>
              </w:rPr>
              <w:t>the</w:t>
            </w:r>
            <w:r w:rsidRPr="00DB40B1">
              <w:rPr>
                <w:rFonts w:ascii="Arial" w:hAnsi="Arial" w:cs="Arial"/>
                <w:sz w:val="20"/>
                <w:szCs w:val="20"/>
              </w:rPr>
              <w:t xml:space="preserve"> express provision in the Florida Constitution</w:t>
            </w:r>
            <w:r>
              <w:rPr>
                <w:rFonts w:ascii="Arial" w:hAnsi="Arial" w:cs="Arial"/>
                <w:sz w:val="20"/>
                <w:szCs w:val="20"/>
              </w:rPr>
              <w:t xml:space="preserve"> (i.e., an explicit prohibition against partisan gerrymandering)</w:t>
            </w:r>
            <w:r w:rsidRPr="00DB40B1">
              <w:rPr>
                <w:rFonts w:ascii="Arial" w:hAnsi="Arial" w:cs="Arial"/>
                <w:sz w:val="20"/>
                <w:szCs w:val="20"/>
              </w:rPr>
              <w:t>.</w:t>
            </w:r>
            <w:r w:rsidR="0043169B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7"/>
            </w:r>
          </w:p>
          <w:p w14:paraId="78AF04F9" w14:textId="428024BB" w:rsidR="00DB40B1" w:rsidRDefault="007E4865" w:rsidP="007E486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E4865">
              <w:rPr>
                <w:rFonts w:ascii="Arial" w:hAnsi="Arial" w:cs="Arial"/>
                <w:sz w:val="20"/>
                <w:szCs w:val="20"/>
              </w:rPr>
              <w:t>Instead, the majority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4B8F">
              <w:rPr>
                <w:rFonts w:ascii="Arial" w:hAnsi="Arial" w:cs="Arial"/>
                <w:sz w:val="20"/>
                <w:szCs w:val="20"/>
              </w:rPr>
              <w:t>“</w:t>
            </w:r>
            <w:r w:rsidRPr="007E4865">
              <w:rPr>
                <w:rFonts w:ascii="Arial" w:hAnsi="Arial" w:cs="Arial"/>
                <w:sz w:val="20"/>
                <w:szCs w:val="20"/>
              </w:rPr>
              <w:t>inexplicably</w:t>
            </w:r>
            <w:r w:rsidR="00664B8F">
              <w:rPr>
                <w:rFonts w:ascii="Arial" w:hAnsi="Arial" w:cs="Arial"/>
                <w:sz w:val="20"/>
                <w:szCs w:val="20"/>
              </w:rPr>
              <w:t>”</w:t>
            </w:r>
            <w:r w:rsidRPr="007E4865">
              <w:rPr>
                <w:rFonts w:ascii="Arial" w:hAnsi="Arial" w:cs="Arial"/>
                <w:sz w:val="20"/>
                <w:szCs w:val="20"/>
              </w:rPr>
              <w:t xml:space="preserve"> takes the </w:t>
            </w:r>
            <w:r w:rsidR="008418B2">
              <w:rPr>
                <w:rFonts w:ascii="Arial" w:hAnsi="Arial" w:cs="Arial"/>
                <w:sz w:val="20"/>
                <w:szCs w:val="20"/>
              </w:rPr>
              <w:t xml:space="preserve">Supreme </w:t>
            </w:r>
            <w:r w:rsidRPr="007E4865">
              <w:rPr>
                <w:rFonts w:ascii="Arial" w:hAnsi="Arial" w:cs="Arial"/>
                <w:sz w:val="20"/>
                <w:szCs w:val="20"/>
              </w:rPr>
              <w:t>Court's statement</w:t>
            </w:r>
            <w:r w:rsidR="00C707C0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="00C707C0"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proofErr w:type="spellEnd"/>
            <w:r w:rsidRPr="007E4865">
              <w:rPr>
                <w:rFonts w:ascii="Arial" w:hAnsi="Arial" w:cs="Arial"/>
                <w:sz w:val="20"/>
                <w:szCs w:val="20"/>
              </w:rPr>
              <w:t xml:space="preserve"> that the "[p]</w:t>
            </w:r>
            <w:proofErr w:type="spellStart"/>
            <w:r w:rsidRPr="007E4865">
              <w:rPr>
                <w:rFonts w:ascii="Arial" w:hAnsi="Arial" w:cs="Arial"/>
                <w:sz w:val="20"/>
                <w:szCs w:val="20"/>
              </w:rPr>
              <w:t>rovisions</w:t>
            </w:r>
            <w:proofErr w:type="spellEnd"/>
            <w:r w:rsidRPr="007E4865">
              <w:rPr>
                <w:rFonts w:ascii="Arial" w:hAnsi="Arial" w:cs="Arial"/>
                <w:sz w:val="20"/>
                <w:szCs w:val="20"/>
              </w:rPr>
              <w:t xml:space="preserve"> in state statutes and state </w:t>
            </w:r>
            <w:r w:rsidRPr="007E4865">
              <w:rPr>
                <w:rFonts w:ascii="Arial" w:hAnsi="Arial" w:cs="Arial"/>
                <w:sz w:val="20"/>
                <w:szCs w:val="20"/>
              </w:rPr>
              <w:lastRenderedPageBreak/>
              <w:t>constitutions can provide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E4865">
              <w:rPr>
                <w:rFonts w:ascii="Arial" w:hAnsi="Arial" w:cs="Arial"/>
                <w:sz w:val="20"/>
                <w:szCs w:val="20"/>
              </w:rPr>
              <w:t xml:space="preserve">standards and guidance for state courts to apply," as an unrestricted license to judicially amend </w:t>
            </w:r>
            <w:r w:rsidR="000579BF">
              <w:rPr>
                <w:rFonts w:ascii="Arial" w:hAnsi="Arial" w:cs="Arial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E4865">
              <w:rPr>
                <w:rFonts w:ascii="Arial" w:hAnsi="Arial" w:cs="Arial"/>
                <w:sz w:val="20"/>
                <w:szCs w:val="20"/>
              </w:rPr>
              <w:t>constitution.</w:t>
            </w:r>
          </w:p>
          <w:p w14:paraId="69C824D2" w14:textId="41ABDAB9" w:rsidR="005023C9" w:rsidRDefault="005C1065" w:rsidP="005C106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C1065">
              <w:rPr>
                <w:rFonts w:ascii="Arial" w:hAnsi="Arial" w:cs="Arial"/>
                <w:sz w:val="20"/>
                <w:szCs w:val="20"/>
              </w:rPr>
              <w:t>The N</w:t>
            </w:r>
            <w:r w:rsidR="00DC357D">
              <w:rPr>
                <w:rFonts w:ascii="Arial" w:hAnsi="Arial" w:cs="Arial"/>
                <w:sz w:val="20"/>
                <w:szCs w:val="20"/>
              </w:rPr>
              <w:t xml:space="preserve">.C. </w:t>
            </w:r>
            <w:r w:rsidRPr="005C1065">
              <w:rPr>
                <w:rFonts w:ascii="Arial" w:hAnsi="Arial" w:cs="Arial"/>
                <w:sz w:val="20"/>
                <w:szCs w:val="20"/>
              </w:rPr>
              <w:t>Constitution could have a provision like the Florida Constitution</w:t>
            </w:r>
            <w:r>
              <w:rPr>
                <w:rFonts w:ascii="Arial" w:hAnsi="Arial" w:cs="Arial"/>
                <w:sz w:val="20"/>
                <w:szCs w:val="20"/>
              </w:rPr>
              <w:t>—b</w:t>
            </w:r>
            <w:r w:rsidRPr="005C1065">
              <w:rPr>
                <w:rFonts w:ascii="Arial" w:hAnsi="Arial" w:cs="Arial"/>
                <w:sz w:val="20"/>
                <w:szCs w:val="20"/>
              </w:rPr>
              <w:t>ut, to do so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C1065">
              <w:rPr>
                <w:rFonts w:ascii="Arial" w:hAnsi="Arial" w:cs="Arial"/>
                <w:sz w:val="20"/>
                <w:szCs w:val="20"/>
              </w:rPr>
              <w:t>properly requires the amendment process authorized in the constitution itself, allowing the people to determine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C1065">
              <w:rPr>
                <w:rFonts w:ascii="Arial" w:hAnsi="Arial" w:cs="Arial"/>
                <w:sz w:val="20"/>
                <w:szCs w:val="20"/>
              </w:rPr>
              <w:t>wisdom of this new policy.</w:t>
            </w:r>
          </w:p>
          <w:p w14:paraId="4CB2C3E4" w14:textId="62C3EA58" w:rsidR="005C1065" w:rsidRDefault="006A3118" w:rsidP="006A311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A3118">
              <w:rPr>
                <w:rFonts w:ascii="Arial" w:hAnsi="Arial" w:cs="Arial"/>
                <w:sz w:val="20"/>
                <w:szCs w:val="20"/>
              </w:rPr>
              <w:t xml:space="preserve">The majority fails to recognize that its political science-based approach </w:t>
            </w:r>
            <w:r>
              <w:rPr>
                <w:rFonts w:ascii="Arial" w:hAnsi="Arial" w:cs="Arial"/>
                <w:sz w:val="20"/>
                <w:szCs w:val="20"/>
              </w:rPr>
              <w:t xml:space="preserve">(requiring proportionality and the use of </w:t>
            </w:r>
            <w:r w:rsidR="00967C83">
              <w:rPr>
                <w:rFonts w:ascii="Arial" w:hAnsi="Arial" w:cs="Arial"/>
                <w:sz w:val="20"/>
                <w:szCs w:val="20"/>
              </w:rPr>
              <w:t xml:space="preserve">various </w:t>
            </w:r>
            <w:r>
              <w:rPr>
                <w:rFonts w:ascii="Arial" w:hAnsi="Arial" w:cs="Arial"/>
                <w:sz w:val="20"/>
                <w:szCs w:val="20"/>
              </w:rPr>
              <w:t xml:space="preserve">political science tests) </w:t>
            </w:r>
            <w:r w:rsidR="002413C5">
              <w:rPr>
                <w:rFonts w:ascii="Arial" w:hAnsi="Arial" w:cs="Arial"/>
                <w:sz w:val="20"/>
                <w:szCs w:val="20"/>
              </w:rPr>
              <w:t xml:space="preserve">necessarily </w:t>
            </w:r>
            <w:r w:rsidRPr="006A3118">
              <w:rPr>
                <w:rFonts w:ascii="Arial" w:hAnsi="Arial" w:cs="Arial"/>
                <w:sz w:val="20"/>
                <w:szCs w:val="20"/>
              </w:rPr>
              <w:t>involves policy decisions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3118">
              <w:rPr>
                <w:rFonts w:ascii="Arial" w:hAnsi="Arial" w:cs="Arial"/>
                <w:sz w:val="20"/>
                <w:szCs w:val="20"/>
              </w:rPr>
              <w:t xml:space="preserve">and that these are the same policy determinations about which the Supreme Court warned in </w:t>
            </w:r>
            <w:proofErr w:type="spellStart"/>
            <w:r w:rsidRPr="006A3118"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proofErr w:type="spellEnd"/>
            <w:r w:rsidRPr="006A311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300CFA" w14:textId="492966A6" w:rsidR="00FD0A17" w:rsidRDefault="00FD0A17" w:rsidP="00FD0A1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D0A17">
              <w:rPr>
                <w:rFonts w:ascii="Arial" w:hAnsi="Arial" w:cs="Arial"/>
                <w:sz w:val="20"/>
                <w:szCs w:val="20"/>
              </w:rPr>
              <w:t xml:space="preserve">The majority inserts a requirement of "partisan fairness" into </w:t>
            </w:r>
            <w:r w:rsidR="00D648BA">
              <w:rPr>
                <w:rFonts w:ascii="Arial" w:hAnsi="Arial" w:cs="Arial"/>
                <w:sz w:val="20"/>
                <w:szCs w:val="20"/>
              </w:rPr>
              <w:t>the</w:t>
            </w:r>
            <w:r w:rsidRPr="00FD0A17">
              <w:rPr>
                <w:rFonts w:ascii="Arial" w:hAnsi="Arial" w:cs="Arial"/>
                <w:sz w:val="20"/>
                <w:szCs w:val="20"/>
              </w:rPr>
              <w:t xml:space="preserve"> constitution</w:t>
            </w:r>
            <w:r>
              <w:rPr>
                <w:rFonts w:ascii="Arial" w:hAnsi="Arial" w:cs="Arial"/>
                <w:sz w:val="20"/>
                <w:szCs w:val="20"/>
              </w:rPr>
              <w:t>; u</w:t>
            </w:r>
            <w:r w:rsidRPr="00FD0A17">
              <w:rPr>
                <w:rFonts w:ascii="Arial" w:hAnsi="Arial" w:cs="Arial"/>
                <w:sz w:val="20"/>
                <w:szCs w:val="20"/>
              </w:rPr>
              <w:t>nder the majority's newly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0A17">
              <w:rPr>
                <w:rFonts w:ascii="Arial" w:hAnsi="Arial" w:cs="Arial"/>
                <w:sz w:val="20"/>
                <w:szCs w:val="20"/>
              </w:rPr>
              <w:t xml:space="preserve">created policy, any redistricting that diminishes or dilutes an individual's vote </w:t>
            </w:r>
            <w:proofErr w:type="gramStart"/>
            <w:r w:rsidRPr="00FD0A17">
              <w:rPr>
                <w:rFonts w:ascii="Arial" w:hAnsi="Arial" w:cs="Arial"/>
                <w:sz w:val="20"/>
                <w:szCs w:val="20"/>
              </w:rPr>
              <w:t>on the basis of</w:t>
            </w:r>
            <w:proofErr w:type="gramEnd"/>
            <w:r w:rsidRPr="00FD0A17">
              <w:rPr>
                <w:rFonts w:ascii="Arial" w:hAnsi="Arial" w:cs="Arial"/>
                <w:sz w:val="20"/>
                <w:szCs w:val="20"/>
              </w:rPr>
              <w:t xml:space="preserve"> partisanship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0A17">
              <w:rPr>
                <w:rFonts w:ascii="Arial" w:hAnsi="Arial" w:cs="Arial"/>
                <w:sz w:val="20"/>
                <w:szCs w:val="20"/>
              </w:rPr>
              <w:t>unconstitutional.</w:t>
            </w:r>
          </w:p>
          <w:p w14:paraId="3A859F00" w14:textId="2B5D854A" w:rsidR="006959DF" w:rsidRDefault="006959DF" w:rsidP="006959D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6959DF">
              <w:rPr>
                <w:rFonts w:ascii="Arial" w:hAnsi="Arial" w:cs="Arial"/>
                <w:sz w:val="20"/>
                <w:szCs w:val="20"/>
              </w:rPr>
              <w:t>his vague notion of fairness does not answer how to measure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959DF">
              <w:rPr>
                <w:rFonts w:ascii="Arial" w:hAnsi="Arial" w:cs="Arial"/>
                <w:sz w:val="20"/>
                <w:szCs w:val="20"/>
              </w:rPr>
              <w:t>whether groups of voters are of equal size or how to predict the results an election would produce.</w:t>
            </w:r>
          </w:p>
          <w:p w14:paraId="3DCF36C8" w14:textId="0DC0A87B" w:rsidR="00022539" w:rsidRDefault="00022539" w:rsidP="0002253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2539">
              <w:rPr>
                <w:rFonts w:ascii="Arial" w:hAnsi="Arial" w:cs="Arial"/>
                <w:sz w:val="20"/>
                <w:szCs w:val="20"/>
              </w:rPr>
              <w:t>The majority also bases its reasoning on several false assumptions.</w:t>
            </w:r>
          </w:p>
          <w:p w14:paraId="330C3121" w14:textId="0C4140FE" w:rsidR="00022539" w:rsidRDefault="00022539" w:rsidP="0002253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(1) </w:t>
            </w:r>
            <w:r w:rsidRPr="00022539">
              <w:rPr>
                <w:rFonts w:ascii="Arial" w:hAnsi="Arial" w:cs="Arial"/>
                <w:sz w:val="20"/>
                <w:szCs w:val="20"/>
              </w:rPr>
              <w:t>plaintiffs' experts and now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2539">
              <w:rPr>
                <w:rFonts w:ascii="Arial" w:hAnsi="Arial" w:cs="Arial"/>
                <w:sz w:val="20"/>
                <w:szCs w:val="20"/>
              </w:rPr>
              <w:t>majority appear to assume that voters will vote along party lines in future elections.</w:t>
            </w:r>
          </w:p>
          <w:p w14:paraId="3E671163" w14:textId="20025563" w:rsidR="00022539" w:rsidRPr="00022539" w:rsidRDefault="00022539" w:rsidP="0002253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(2) </w:t>
            </w:r>
            <w:r w:rsidRPr="00022539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2539">
              <w:rPr>
                <w:rFonts w:ascii="Arial" w:hAnsi="Arial" w:cs="Arial"/>
                <w:sz w:val="20"/>
                <w:szCs w:val="20"/>
              </w:rPr>
              <w:t>equating partisan affiliation to an immutable characteristic and then elevating its protection to strict scrutiny,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2539">
              <w:rPr>
                <w:rFonts w:ascii="Arial" w:hAnsi="Arial" w:cs="Arial"/>
                <w:sz w:val="20"/>
                <w:szCs w:val="20"/>
              </w:rPr>
              <w:t>majority also fails to consider that party affiliation can change at any point or be absent altogether</w:t>
            </w:r>
            <w:r w:rsidR="00F4124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A71E1FA" w14:textId="7E0CEA8C" w:rsidR="00022539" w:rsidRPr="00596F59" w:rsidRDefault="00022539" w:rsidP="00596F5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(3) </w:t>
            </w:r>
            <w:r w:rsidR="00596F59" w:rsidRPr="00596F59">
              <w:rPr>
                <w:rFonts w:ascii="Arial" w:hAnsi="Arial" w:cs="Arial"/>
                <w:sz w:val="20"/>
                <w:szCs w:val="20"/>
              </w:rPr>
              <w:t>the majority's policy decision erroneously assumes that a voter's interests can never be adequately</w:t>
            </w:r>
            <w:r w:rsidR="00596F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6F59" w:rsidRPr="00596F59">
              <w:rPr>
                <w:rFonts w:ascii="Arial" w:hAnsi="Arial" w:cs="Arial"/>
                <w:sz w:val="20"/>
                <w:szCs w:val="20"/>
              </w:rPr>
              <w:t>represented by someone from a different party.</w:t>
            </w:r>
          </w:p>
          <w:p w14:paraId="14E7DC57" w14:textId="77777777" w:rsidR="00B756BF" w:rsidRDefault="001104BA" w:rsidP="005D658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104BA">
              <w:rPr>
                <w:rFonts w:ascii="Arial" w:hAnsi="Arial" w:cs="Arial"/>
                <w:sz w:val="20"/>
                <w:szCs w:val="20"/>
              </w:rPr>
              <w:t xml:space="preserve">In sum, there is no judicially discernible manageable standard.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04BA">
              <w:rPr>
                <w:rFonts w:ascii="Arial" w:hAnsi="Arial" w:cs="Arial"/>
                <w:sz w:val="20"/>
                <w:szCs w:val="20"/>
              </w:rPr>
              <w:t>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04BA">
              <w:rPr>
                <w:rFonts w:ascii="Arial" w:hAnsi="Arial" w:cs="Arial"/>
                <w:sz w:val="20"/>
                <w:szCs w:val="20"/>
              </w:rPr>
              <w:t xml:space="preserve">thoroughly discussed in </w:t>
            </w:r>
            <w:proofErr w:type="spellStart"/>
            <w:r w:rsidRPr="001104BA"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proofErr w:type="spellEnd"/>
            <w:r w:rsidRPr="001104BA">
              <w:rPr>
                <w:rFonts w:ascii="Arial" w:hAnsi="Arial" w:cs="Arial"/>
                <w:sz w:val="20"/>
                <w:szCs w:val="20"/>
              </w:rPr>
              <w:t>, the majority's approach is replete with policy determinations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. . . [and] [t]</w:t>
            </w:r>
            <w:proofErr w:type="spellStart"/>
            <w:r w:rsidRPr="001104BA">
              <w:rPr>
                <w:rFonts w:ascii="Arial" w:hAnsi="Arial" w:cs="Arial"/>
                <w:sz w:val="20"/>
                <w:szCs w:val="20"/>
              </w:rPr>
              <w:t>hus</w:t>
            </w:r>
            <w:proofErr w:type="spellEnd"/>
            <w:r w:rsidRPr="001104BA">
              <w:rPr>
                <w:rFonts w:ascii="Arial" w:hAnsi="Arial" w:cs="Arial"/>
                <w:sz w:val="20"/>
                <w:szCs w:val="20"/>
              </w:rPr>
              <w:t>, the case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04BA">
              <w:rPr>
                <w:rFonts w:ascii="Arial" w:hAnsi="Arial" w:cs="Arial"/>
                <w:sz w:val="20"/>
                <w:szCs w:val="20"/>
              </w:rPr>
              <w:t>nonjusticiable.</w:t>
            </w:r>
          </w:p>
          <w:p w14:paraId="27698B25" w14:textId="692F7FDE" w:rsidR="00DC64A3" w:rsidRDefault="00AC5223" w:rsidP="00AC522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AC5223">
              <w:rPr>
                <w:rFonts w:ascii="Arial" w:hAnsi="Arial" w:cs="Arial"/>
                <w:sz w:val="20"/>
                <w:szCs w:val="20"/>
              </w:rPr>
              <w:t xml:space="preserve">issue is </w:t>
            </w:r>
            <w:r w:rsidR="003C27D5">
              <w:rPr>
                <w:rFonts w:ascii="Arial" w:hAnsi="Arial" w:cs="Arial"/>
                <w:sz w:val="20"/>
                <w:szCs w:val="20"/>
              </w:rPr>
              <w:t xml:space="preserve">also </w:t>
            </w:r>
            <w:r w:rsidRPr="00AC5223">
              <w:rPr>
                <w:rFonts w:ascii="Arial" w:hAnsi="Arial" w:cs="Arial"/>
                <w:sz w:val="20"/>
                <w:szCs w:val="20"/>
              </w:rPr>
              <w:t xml:space="preserve">textually committed to the General </w:t>
            </w:r>
            <w:proofErr w:type="gramStart"/>
            <w:r w:rsidRPr="00AC5223">
              <w:rPr>
                <w:rFonts w:ascii="Arial" w:hAnsi="Arial" w:cs="Arial"/>
                <w:sz w:val="20"/>
                <w:szCs w:val="20"/>
              </w:rPr>
              <w:t>Assembly</w:t>
            </w:r>
            <w:r w:rsidR="003C27D5">
              <w:rPr>
                <w:rFonts w:ascii="Arial" w:hAnsi="Arial" w:cs="Arial"/>
                <w:sz w:val="20"/>
                <w:szCs w:val="20"/>
              </w:rPr>
              <w:t>, and</w:t>
            </w:r>
            <w:proofErr w:type="gramEnd"/>
            <w:r w:rsidR="003C27D5">
              <w:rPr>
                <w:rFonts w:ascii="Arial" w:hAnsi="Arial" w:cs="Arial"/>
                <w:sz w:val="20"/>
                <w:szCs w:val="20"/>
              </w:rPr>
              <w:t xml:space="preserve"> is therefore nonjusticiable.</w:t>
            </w:r>
          </w:p>
          <w:p w14:paraId="5E496394" w14:textId="7A61DD61" w:rsidR="003C27D5" w:rsidRDefault="00F7538C" w:rsidP="00F7538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7538C">
              <w:rPr>
                <w:rFonts w:ascii="Arial" w:hAnsi="Arial" w:cs="Arial"/>
                <w:sz w:val="20"/>
                <w:szCs w:val="20"/>
              </w:rPr>
              <w:t xml:space="preserve">Both the Federal Constitution and the </w:t>
            </w:r>
            <w:r w:rsidR="00A3091E">
              <w:rPr>
                <w:rFonts w:ascii="Arial" w:hAnsi="Arial" w:cs="Arial"/>
                <w:sz w:val="20"/>
                <w:szCs w:val="20"/>
              </w:rPr>
              <w:t>N.C.</w:t>
            </w:r>
            <w:r w:rsidRPr="00F7538C">
              <w:rPr>
                <w:rFonts w:ascii="Arial" w:hAnsi="Arial" w:cs="Arial"/>
                <w:sz w:val="20"/>
                <w:szCs w:val="20"/>
              </w:rPr>
              <w:t xml:space="preserve"> Constitution textually assign redistricting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538C">
              <w:rPr>
                <w:rFonts w:ascii="Arial" w:hAnsi="Arial" w:cs="Arial"/>
                <w:sz w:val="20"/>
                <w:szCs w:val="20"/>
              </w:rPr>
              <w:t>authority to the legislature.</w:t>
            </w:r>
          </w:p>
          <w:p w14:paraId="6A749382" w14:textId="5B7696B4" w:rsidR="00F7538C" w:rsidRDefault="009A261D" w:rsidP="009A261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A261D">
              <w:rPr>
                <w:rFonts w:ascii="Arial" w:hAnsi="Arial" w:cs="Arial"/>
                <w:sz w:val="20"/>
                <w:szCs w:val="20"/>
              </w:rPr>
              <w:t xml:space="preserve">The role of the judiciary through judicial review is </w:t>
            </w:r>
            <w:r w:rsidR="0070112C">
              <w:rPr>
                <w:rFonts w:ascii="Arial" w:hAnsi="Arial" w:cs="Arial"/>
                <w:sz w:val="20"/>
                <w:szCs w:val="20"/>
              </w:rPr>
              <w:t xml:space="preserve">[solely] </w:t>
            </w:r>
            <w:r w:rsidRPr="009A261D">
              <w:rPr>
                <w:rFonts w:ascii="Arial" w:hAnsi="Arial" w:cs="Arial"/>
                <w:sz w:val="20"/>
                <w:szCs w:val="20"/>
              </w:rPr>
              <w:t>to decide challenges regarding whether a redistricting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261D">
              <w:rPr>
                <w:rFonts w:ascii="Arial" w:hAnsi="Arial" w:cs="Arial"/>
                <w:sz w:val="20"/>
                <w:szCs w:val="20"/>
              </w:rPr>
              <w:t xml:space="preserve">plan violates the objective limitations in </w:t>
            </w:r>
            <w:r w:rsidR="0082102D">
              <w:rPr>
                <w:rFonts w:ascii="Arial" w:hAnsi="Arial" w:cs="Arial"/>
                <w:sz w:val="20"/>
                <w:szCs w:val="20"/>
              </w:rPr>
              <w:t>art.</w:t>
            </w:r>
            <w:r w:rsidRPr="009A261D">
              <w:rPr>
                <w:rFonts w:ascii="Arial" w:hAnsi="Arial" w:cs="Arial"/>
                <w:sz w:val="20"/>
                <w:szCs w:val="20"/>
              </w:rPr>
              <w:t xml:space="preserve"> II, </w:t>
            </w:r>
            <w:r w:rsidR="0082102D">
              <w:rPr>
                <w:rFonts w:ascii="Arial" w:hAnsi="Arial" w:cs="Arial"/>
                <w:sz w:val="20"/>
                <w:szCs w:val="20"/>
              </w:rPr>
              <w:t>§§</w:t>
            </w:r>
            <w:r w:rsidRPr="009A261D">
              <w:rPr>
                <w:rFonts w:ascii="Arial" w:hAnsi="Arial" w:cs="Arial"/>
                <w:sz w:val="20"/>
                <w:szCs w:val="20"/>
              </w:rPr>
              <w:t xml:space="preserve"> 3 and 5 of </w:t>
            </w:r>
            <w:r w:rsidR="00F6306A">
              <w:rPr>
                <w:rFonts w:ascii="Arial" w:hAnsi="Arial" w:cs="Arial"/>
                <w:sz w:val="20"/>
                <w:szCs w:val="20"/>
              </w:rPr>
              <w:t>the</w:t>
            </w:r>
            <w:r w:rsidRPr="009A261D">
              <w:rPr>
                <w:rFonts w:ascii="Arial" w:hAnsi="Arial" w:cs="Arial"/>
                <w:sz w:val="20"/>
                <w:szCs w:val="20"/>
              </w:rPr>
              <w:t xml:space="preserve"> constitution or a provision of federal law.</w:t>
            </w:r>
          </w:p>
          <w:p w14:paraId="367C1999" w14:textId="4F057FF1" w:rsidR="0031190B" w:rsidRDefault="00C67384" w:rsidP="00C6738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to 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Stephenson </w:t>
            </w:r>
            <w:r>
              <w:rPr>
                <w:rFonts w:ascii="Arial" w:hAnsi="Arial" w:cs="Arial"/>
                <w:sz w:val="20"/>
                <w:szCs w:val="20"/>
              </w:rPr>
              <w:t>requirements, “</w:t>
            </w:r>
            <w:r w:rsidRPr="00C67384">
              <w:rPr>
                <w:rFonts w:ascii="Arial" w:hAnsi="Arial" w:cs="Arial"/>
                <w:sz w:val="20"/>
                <w:szCs w:val="20"/>
              </w:rPr>
              <w:t>the Court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7384">
              <w:rPr>
                <w:rFonts w:ascii="Arial" w:hAnsi="Arial" w:cs="Arial"/>
                <w:i/>
                <w:iCs/>
                <w:sz w:val="20"/>
                <w:szCs w:val="20"/>
              </w:rPr>
              <w:t>Stephenson</w:t>
            </w:r>
            <w:r w:rsidRPr="00C67384">
              <w:rPr>
                <w:rFonts w:ascii="Arial" w:hAnsi="Arial" w:cs="Arial"/>
                <w:sz w:val="20"/>
                <w:szCs w:val="20"/>
              </w:rPr>
              <w:t xml:space="preserve"> was not forcing the legislative defendants to conduct a VRA analysis. </w:t>
            </w:r>
            <w:r w:rsidR="002C68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7384">
              <w:rPr>
                <w:rFonts w:ascii="Arial" w:hAnsi="Arial" w:cs="Arial"/>
                <w:sz w:val="20"/>
                <w:szCs w:val="20"/>
              </w:rPr>
              <w:t>Rather, the Court was merely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7384">
              <w:rPr>
                <w:rFonts w:ascii="Arial" w:hAnsi="Arial" w:cs="Arial"/>
                <w:sz w:val="20"/>
                <w:szCs w:val="20"/>
              </w:rPr>
              <w:t>stating that if Section 2 requires VRA districts, those districts must be drawn first so that the remaining non-VRA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7384">
              <w:rPr>
                <w:rFonts w:ascii="Arial" w:hAnsi="Arial" w:cs="Arial"/>
                <w:sz w:val="20"/>
                <w:szCs w:val="20"/>
              </w:rPr>
              <w:t>districts can be drawn in compliance with the Whole County Provisions.</w:t>
            </w:r>
            <w:r w:rsidR="00FA7510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210A3212" w14:textId="79E4CA8E" w:rsidR="00192FD6" w:rsidRDefault="00192FD6" w:rsidP="00192FD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92FD6">
              <w:rPr>
                <w:rFonts w:ascii="Arial" w:hAnsi="Arial" w:cs="Arial"/>
                <w:sz w:val="20"/>
                <w:szCs w:val="20"/>
              </w:rPr>
              <w:t>Here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2FD6">
              <w:rPr>
                <w:rFonts w:ascii="Arial" w:hAnsi="Arial" w:cs="Arial"/>
                <w:sz w:val="20"/>
                <w:szCs w:val="20"/>
              </w:rPr>
              <w:t xml:space="preserve"> the trial court found that there was no showing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2FD6">
              <w:rPr>
                <w:rFonts w:ascii="Arial" w:hAnsi="Arial" w:cs="Arial"/>
                <w:sz w:val="20"/>
                <w:szCs w:val="20"/>
              </w:rPr>
              <w:t>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2FD6">
              <w:rPr>
                <w:rFonts w:ascii="Arial" w:hAnsi="Arial" w:cs="Arial"/>
                <w:sz w:val="20"/>
                <w:szCs w:val="20"/>
              </w:rPr>
              <w:t>race was the predominant factor in drawing the districts</w:t>
            </w:r>
            <w:r>
              <w:rPr>
                <w:rFonts w:ascii="Arial" w:hAnsi="Arial" w:cs="Arial"/>
                <w:sz w:val="20"/>
                <w:szCs w:val="20"/>
              </w:rPr>
              <w:t xml:space="preserve">, and </w:t>
            </w:r>
            <w:r w:rsidR="00977A45">
              <w:rPr>
                <w:rFonts w:ascii="Arial" w:hAnsi="Arial" w:cs="Arial"/>
                <w:sz w:val="20"/>
                <w:szCs w:val="20"/>
              </w:rPr>
              <w:t xml:space="preserve">thus </w:t>
            </w:r>
            <w:r>
              <w:rPr>
                <w:rFonts w:ascii="Arial" w:hAnsi="Arial" w:cs="Arial"/>
                <w:sz w:val="20"/>
                <w:szCs w:val="20"/>
              </w:rPr>
              <w:t>a VRA analysis was not required.</w:t>
            </w:r>
          </w:p>
          <w:p w14:paraId="593BAC42" w14:textId="66729F7C" w:rsidR="006B6A73" w:rsidRDefault="001305BD" w:rsidP="001305B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305BD">
              <w:rPr>
                <w:rFonts w:ascii="Arial" w:hAnsi="Arial" w:cs="Arial"/>
                <w:sz w:val="20"/>
                <w:szCs w:val="20"/>
              </w:rPr>
              <w:t xml:space="preserve">None of </w:t>
            </w: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Pr="001305BD">
              <w:rPr>
                <w:rFonts w:ascii="Arial" w:hAnsi="Arial" w:cs="Arial"/>
                <w:sz w:val="20"/>
                <w:szCs w:val="20"/>
              </w:rPr>
              <w:t xml:space="preserve"> clauses </w:t>
            </w:r>
            <w:r>
              <w:rPr>
                <w:rFonts w:ascii="Arial" w:hAnsi="Arial" w:cs="Arial"/>
                <w:sz w:val="20"/>
                <w:szCs w:val="20"/>
              </w:rPr>
              <w:t xml:space="preserve">in the Declaration of Rights </w:t>
            </w:r>
            <w:r w:rsidRPr="001305BD">
              <w:rPr>
                <w:rFonts w:ascii="Arial" w:hAnsi="Arial" w:cs="Arial"/>
                <w:sz w:val="20"/>
                <w:szCs w:val="20"/>
              </w:rPr>
              <w:t>have been interpreted as a restriction on partisan considerations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05BD">
              <w:rPr>
                <w:rFonts w:ascii="Arial" w:hAnsi="Arial" w:cs="Arial"/>
                <w:sz w:val="20"/>
                <w:szCs w:val="20"/>
              </w:rPr>
              <w:t>redistricting—even after hundreds of years of apportionments and decades of redistricting litigation—until today.</w:t>
            </w:r>
          </w:p>
          <w:p w14:paraId="565D4C8F" w14:textId="3A840AFC" w:rsidR="001305BD" w:rsidRDefault="009725B7" w:rsidP="009725B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725B7">
              <w:rPr>
                <w:rFonts w:ascii="Arial" w:hAnsi="Arial" w:cs="Arial"/>
                <w:sz w:val="20"/>
                <w:szCs w:val="20"/>
              </w:rPr>
              <w:t>Finding no explicit constitutional provision prohibiting partisan gerrymandering, the majority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25B7">
              <w:rPr>
                <w:rFonts w:ascii="Arial" w:hAnsi="Arial" w:cs="Arial"/>
                <w:sz w:val="20"/>
                <w:szCs w:val="20"/>
              </w:rPr>
              <w:t>creatively attempts to mine the Declaration of Rights to find or create some protection for a political group's right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25B7">
              <w:rPr>
                <w:rFonts w:ascii="Arial" w:hAnsi="Arial" w:cs="Arial"/>
                <w:sz w:val="20"/>
                <w:szCs w:val="20"/>
              </w:rPr>
              <w:t>their preferred form of representation and a "fair" share of the "voting power."</w:t>
            </w:r>
          </w:p>
          <w:p w14:paraId="76A633EB" w14:textId="2A2461FE" w:rsidR="00D327CE" w:rsidRDefault="00D327CE" w:rsidP="00D772D3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Moreover, </w:t>
            </w:r>
            <w:r w:rsidRPr="00D327CE">
              <w:rPr>
                <w:rFonts w:ascii="Arial" w:hAnsi="Arial" w:cs="Arial"/>
                <w:sz w:val="20"/>
                <w:szCs w:val="20"/>
              </w:rPr>
              <w:t xml:space="preserve">the Declaration of Rights protects the individual's rights, not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D327CE">
              <w:rPr>
                <w:rFonts w:ascii="Arial" w:hAnsi="Arial" w:cs="Arial"/>
                <w:sz w:val="20"/>
                <w:szCs w:val="20"/>
              </w:rPr>
              <w:t xml:space="preserve"> political group's rights.</w:t>
            </w:r>
          </w:p>
          <w:p w14:paraId="50D02577" w14:textId="4BAEF6A0" w:rsidR="00D327CE" w:rsidRDefault="001C3362" w:rsidP="00D772D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C3362">
              <w:rPr>
                <w:rFonts w:ascii="Arial" w:hAnsi="Arial" w:cs="Arial"/>
                <w:sz w:val="20"/>
                <w:szCs w:val="20"/>
              </w:rPr>
              <w:lastRenderedPageBreak/>
              <w:t>The individual right to participate in a "free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C3362">
              <w:rPr>
                <w:rFonts w:ascii="Arial" w:hAnsi="Arial" w:cs="Arial"/>
                <w:sz w:val="20"/>
                <w:szCs w:val="20"/>
              </w:rPr>
              <w:t>election" does not include the right to have one's preferred candidate elected or a political group's right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C3362">
              <w:rPr>
                <w:rFonts w:ascii="Arial" w:hAnsi="Arial" w:cs="Arial"/>
                <w:sz w:val="20"/>
                <w:szCs w:val="20"/>
              </w:rPr>
              <w:t>proportional representation.</w:t>
            </w:r>
          </w:p>
          <w:p w14:paraId="12382F0C" w14:textId="36907D70" w:rsidR="0054131F" w:rsidRDefault="0054131F" w:rsidP="00D772D3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54131F">
              <w:rPr>
                <w:rFonts w:ascii="Arial" w:hAnsi="Arial" w:cs="Arial"/>
                <w:sz w:val="20"/>
                <w:szCs w:val="20"/>
              </w:rPr>
              <w:t>iving the provision its plain meaning, "free" means "free from interference or intimidation."</w:t>
            </w:r>
          </w:p>
          <w:p w14:paraId="6028EF6D" w14:textId="65AC2CCF" w:rsidR="00AB541A" w:rsidRDefault="00AB541A" w:rsidP="00D772D3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B541A">
              <w:rPr>
                <w:rFonts w:ascii="Arial" w:hAnsi="Arial" w:cs="Arial"/>
                <w:sz w:val="20"/>
                <w:szCs w:val="20"/>
              </w:rPr>
              <w:t>The free elections clause was not meant to restrict the General Assembly's presumptively constitutional ability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B541A">
              <w:rPr>
                <w:rFonts w:ascii="Arial" w:hAnsi="Arial" w:cs="Arial"/>
                <w:sz w:val="20"/>
                <w:szCs w:val="20"/>
              </w:rPr>
              <w:t>engage in partisan gerrymandering.</w:t>
            </w:r>
          </w:p>
          <w:p w14:paraId="18F0B10C" w14:textId="77777777" w:rsidR="00D772D3" w:rsidRDefault="00D772D3" w:rsidP="00D772D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to the right to vote on equal terms, </w:t>
            </w:r>
            <w:r w:rsidRPr="00D772D3">
              <w:rPr>
                <w:rFonts w:ascii="Arial" w:hAnsi="Arial" w:cs="Arial"/>
                <w:sz w:val="20"/>
                <w:szCs w:val="20"/>
              </w:rPr>
              <w:t>an effort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72D3">
              <w:rPr>
                <w:rFonts w:ascii="Arial" w:hAnsi="Arial" w:cs="Arial"/>
                <w:sz w:val="20"/>
                <w:szCs w:val="20"/>
              </w:rPr>
              <w:t>gerrymander districts to favor a political party does not alter voting power so long as voters are permitted to (1) vote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72D3">
              <w:rPr>
                <w:rFonts w:ascii="Arial" w:hAnsi="Arial" w:cs="Arial"/>
                <w:sz w:val="20"/>
                <w:szCs w:val="20"/>
              </w:rPr>
              <w:t>for the same number of representatives as voters in other districts and (2) vote as part of a constituency that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72D3">
              <w:rPr>
                <w:rFonts w:ascii="Arial" w:hAnsi="Arial" w:cs="Arial"/>
                <w:sz w:val="20"/>
                <w:szCs w:val="20"/>
              </w:rPr>
              <w:t xml:space="preserve">similar in size to that of the other districts. </w:t>
            </w:r>
          </w:p>
          <w:p w14:paraId="193FF3C4" w14:textId="1C99D62A" w:rsidR="00D772D3" w:rsidRDefault="00D772D3" w:rsidP="00D772D3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772D3">
              <w:rPr>
                <w:rFonts w:ascii="Arial" w:hAnsi="Arial" w:cs="Arial"/>
                <w:sz w:val="20"/>
                <w:szCs w:val="20"/>
              </w:rPr>
              <w:t>Therefore, because partisan gerrymandering does not infringe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72D3">
              <w:rPr>
                <w:rFonts w:ascii="Arial" w:hAnsi="Arial" w:cs="Arial"/>
                <w:sz w:val="20"/>
                <w:szCs w:val="20"/>
              </w:rPr>
              <w:t>upon a fundamental right, rational basis review applies</w:t>
            </w:r>
            <w:r w:rsidR="00274A0F">
              <w:rPr>
                <w:rFonts w:ascii="Arial" w:hAnsi="Arial" w:cs="Arial"/>
                <w:sz w:val="20"/>
                <w:szCs w:val="20"/>
              </w:rPr>
              <w:t xml:space="preserve"> (instead of strict scrutiny).</w:t>
            </w:r>
          </w:p>
          <w:p w14:paraId="54B9C14E" w14:textId="66A238BF" w:rsidR="003865AB" w:rsidRDefault="003865AB" w:rsidP="003865A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865AB">
              <w:rPr>
                <w:rFonts w:ascii="Arial" w:hAnsi="Arial" w:cs="Arial"/>
                <w:sz w:val="20"/>
                <w:szCs w:val="20"/>
              </w:rPr>
              <w:t>Partisan gerrymandering plainly does not place any restriction upon the espousal of a particular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65AB">
              <w:rPr>
                <w:rFonts w:ascii="Arial" w:hAnsi="Arial" w:cs="Arial"/>
                <w:sz w:val="20"/>
                <w:szCs w:val="20"/>
              </w:rPr>
              <w:t xml:space="preserve">viewpoint. </w:t>
            </w:r>
          </w:p>
          <w:p w14:paraId="7867D9B1" w14:textId="385E8036" w:rsidR="003865AB" w:rsidRDefault="00A751FC" w:rsidP="00A751FC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A751FC">
              <w:rPr>
                <w:rFonts w:ascii="Arial" w:hAnsi="Arial" w:cs="Arial"/>
                <w:sz w:val="20"/>
                <w:szCs w:val="20"/>
              </w:rPr>
              <w:t>pponents of a redistricting plan are free to voice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51FC">
              <w:rPr>
                <w:rFonts w:ascii="Arial" w:hAnsi="Arial" w:cs="Arial"/>
                <w:sz w:val="20"/>
                <w:szCs w:val="20"/>
              </w:rPr>
              <w:t>their opposition.</w:t>
            </w:r>
          </w:p>
          <w:p w14:paraId="1C69725C" w14:textId="34922BC3" w:rsidR="00343115" w:rsidRPr="00343115" w:rsidRDefault="00343115" w:rsidP="0034311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43115">
              <w:rPr>
                <w:rFonts w:ascii="Arial" w:hAnsi="Arial" w:cs="Arial"/>
                <w:sz w:val="20"/>
                <w:szCs w:val="20"/>
              </w:rPr>
              <w:t>Moreover, partisan gerrymandering—and public disdain for the practice—has been ubiquitous throughout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27ED">
              <w:rPr>
                <w:rFonts w:ascii="Arial" w:hAnsi="Arial" w:cs="Arial"/>
                <w:sz w:val="20"/>
                <w:szCs w:val="20"/>
              </w:rPr>
              <w:t>the</w:t>
            </w:r>
            <w:r w:rsidRPr="00343115">
              <w:rPr>
                <w:rFonts w:ascii="Arial" w:hAnsi="Arial" w:cs="Arial"/>
                <w:sz w:val="20"/>
                <w:szCs w:val="20"/>
              </w:rPr>
              <w:t xml:space="preserve"> state's history.</w:t>
            </w:r>
          </w:p>
          <w:p w14:paraId="52B2D4C2" w14:textId="424E9B91" w:rsidR="001C3362" w:rsidRPr="003251B2" w:rsidRDefault="003251B2" w:rsidP="003251B2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</w:t>
            </w:r>
            <w:r w:rsidRPr="003251B2">
              <w:rPr>
                <w:rFonts w:ascii="Arial" w:hAnsi="Arial" w:cs="Arial"/>
                <w:sz w:val="20"/>
                <w:szCs w:val="20"/>
              </w:rPr>
              <w:t>e people expressed their will in the 2020 election, which utilized constitutionally compliant maps</w:t>
            </w:r>
            <w:r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Pr="003251B2">
              <w:rPr>
                <w:rFonts w:ascii="Arial" w:hAnsi="Arial" w:cs="Arial"/>
                <w:sz w:val="20"/>
                <w:szCs w:val="20"/>
              </w:rPr>
              <w:t>Knowing that the 2021 General Assembly would be tasked with redistricting, the people elected them.</w:t>
            </w:r>
          </w:p>
          <w:p w14:paraId="78162F26" w14:textId="60333448" w:rsidR="003C27D5" w:rsidRPr="00AC5223" w:rsidRDefault="003C27D5" w:rsidP="003C27D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7ADCBFFC" w14:textId="77777777" w:rsidTr="00C552C0">
        <w:trPr>
          <w:trHeight w:val="1692"/>
        </w:trPr>
        <w:tc>
          <w:tcPr>
            <w:tcW w:w="1998" w:type="dxa"/>
            <w:tcBorders>
              <w:left w:val="nil"/>
            </w:tcBorders>
          </w:tcPr>
          <w:p w14:paraId="44AAC9F0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Notes/ </w:t>
            </w:r>
          </w:p>
          <w:p w14:paraId="4DC58A65" w14:textId="6711CF35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Reactions </w:t>
            </w:r>
          </w:p>
        </w:tc>
        <w:tc>
          <w:tcPr>
            <w:tcW w:w="7470" w:type="dxa"/>
            <w:tcBorders>
              <w:right w:val="nil"/>
            </w:tcBorders>
          </w:tcPr>
          <w:p w14:paraId="2E5B2D11" w14:textId="404C888D" w:rsidR="00ED671F" w:rsidRPr="008D467C" w:rsidRDefault="00275DCE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N/a.</w:t>
            </w:r>
          </w:p>
        </w:tc>
      </w:tr>
    </w:tbl>
    <w:p w14:paraId="6EE97782" w14:textId="60E01C9E" w:rsidR="00CA7970" w:rsidRDefault="00CA7970">
      <w:pPr>
        <w:rPr>
          <w:smallCaps/>
          <w:szCs w:val="20"/>
        </w:rPr>
      </w:pPr>
    </w:p>
    <w:p w14:paraId="10B6CF44" w14:textId="503A0C77" w:rsidR="0043169B" w:rsidRPr="0043169B" w:rsidRDefault="0043169B" w:rsidP="0043169B">
      <w:pPr>
        <w:tabs>
          <w:tab w:val="left" w:pos="6943"/>
        </w:tabs>
        <w:rPr>
          <w:szCs w:val="20"/>
        </w:rPr>
      </w:pPr>
      <w:r>
        <w:rPr>
          <w:szCs w:val="20"/>
        </w:rPr>
        <w:tab/>
      </w:r>
    </w:p>
    <w:sectPr w:rsidR="0043169B" w:rsidRPr="0043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C880" w14:textId="77777777" w:rsidR="00FE6C97" w:rsidRDefault="00FE6C97" w:rsidP="00304C74">
      <w:pPr>
        <w:spacing w:line="240" w:lineRule="auto"/>
      </w:pPr>
      <w:r>
        <w:separator/>
      </w:r>
    </w:p>
  </w:endnote>
  <w:endnote w:type="continuationSeparator" w:id="0">
    <w:p w14:paraId="5B5168B5" w14:textId="77777777" w:rsidR="00FE6C97" w:rsidRDefault="00FE6C97" w:rsidP="00304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2B5E" w14:textId="77777777" w:rsidR="00FE6C97" w:rsidRDefault="00FE6C97" w:rsidP="00304C74">
      <w:pPr>
        <w:spacing w:line="240" w:lineRule="auto"/>
      </w:pPr>
      <w:r>
        <w:separator/>
      </w:r>
    </w:p>
  </w:footnote>
  <w:footnote w:type="continuationSeparator" w:id="0">
    <w:p w14:paraId="6CE9E9E5" w14:textId="77777777" w:rsidR="00FE6C97" w:rsidRDefault="00FE6C97" w:rsidP="00304C74">
      <w:pPr>
        <w:spacing w:line="240" w:lineRule="auto"/>
      </w:pPr>
      <w:r>
        <w:continuationSeparator/>
      </w:r>
    </w:p>
  </w:footnote>
  <w:footnote w:id="1">
    <w:p w14:paraId="7D9D42B3" w14:textId="77777777" w:rsidR="00304C74" w:rsidRDefault="00304C74" w:rsidP="00304C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A6FC9">
        <w:t>The political party designations of the judges were obtained via Google desktop searches, which may not be entirely accurate.</w:t>
      </w:r>
    </w:p>
  </w:footnote>
  <w:footnote w:id="2">
    <w:p w14:paraId="49B21687" w14:textId="34DCA908" w:rsidR="00736464" w:rsidRPr="00AF4C52" w:rsidRDefault="00736464" w:rsidP="00AF4C52">
      <w:pPr>
        <w:pStyle w:val="Default"/>
        <w:rPr>
          <w:rFonts w:ascii="Arial" w:hAnsi="Arial" w:cs="Arial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Argued that: </w:t>
      </w:r>
      <w:r w:rsidRPr="00A359ED">
        <w:rPr>
          <w:rFonts w:ascii="Arial" w:hAnsi="Arial" w:cs="Arial"/>
          <w:sz w:val="20"/>
          <w:szCs w:val="20"/>
        </w:rPr>
        <w:t xml:space="preserve">(1) granting the requested relief will violate the VRA and the </w:t>
      </w:r>
      <w:r w:rsidR="00E5430E">
        <w:rPr>
          <w:rFonts w:ascii="Arial" w:hAnsi="Arial" w:cs="Arial"/>
          <w:sz w:val="20"/>
          <w:szCs w:val="20"/>
        </w:rPr>
        <w:t xml:space="preserve">U.S. </w:t>
      </w:r>
      <w:r w:rsidRPr="00A359ED">
        <w:rPr>
          <w:rFonts w:ascii="Arial" w:hAnsi="Arial" w:cs="Arial"/>
          <w:sz w:val="20"/>
          <w:szCs w:val="20"/>
        </w:rPr>
        <w:t>Constitution;</w:t>
      </w:r>
      <w:r>
        <w:rPr>
          <w:rFonts w:ascii="Arial" w:hAnsi="Arial" w:cs="Arial"/>
          <w:sz w:val="20"/>
          <w:szCs w:val="20"/>
        </w:rPr>
        <w:t xml:space="preserve"> </w:t>
      </w:r>
      <w:r w:rsidRPr="00A359ED">
        <w:rPr>
          <w:rFonts w:ascii="Arial" w:hAnsi="Arial" w:cs="Arial"/>
          <w:sz w:val="20"/>
          <w:szCs w:val="20"/>
        </w:rPr>
        <w:t>(2) granting</w:t>
      </w:r>
      <w:r>
        <w:rPr>
          <w:rFonts w:ascii="Arial" w:hAnsi="Arial" w:cs="Arial"/>
          <w:sz w:val="20"/>
          <w:szCs w:val="20"/>
        </w:rPr>
        <w:t xml:space="preserve"> </w:t>
      </w:r>
      <w:r w:rsidRPr="00A359ED">
        <w:rPr>
          <w:rFonts w:ascii="Arial" w:hAnsi="Arial" w:cs="Arial"/>
          <w:sz w:val="20"/>
          <w:szCs w:val="20"/>
        </w:rPr>
        <w:t>the requested relief will violate the rights of Legislative Defendants, Republican voters, and Republican candidates</w:t>
      </w:r>
      <w:r>
        <w:rPr>
          <w:rFonts w:ascii="Arial" w:hAnsi="Arial" w:cs="Arial"/>
          <w:sz w:val="20"/>
          <w:szCs w:val="20"/>
        </w:rPr>
        <w:t xml:space="preserve"> </w:t>
      </w:r>
      <w:r w:rsidRPr="00A359ED">
        <w:rPr>
          <w:rFonts w:ascii="Arial" w:hAnsi="Arial" w:cs="Arial"/>
          <w:sz w:val="20"/>
          <w:szCs w:val="20"/>
        </w:rPr>
        <w:t xml:space="preserve">under the </w:t>
      </w:r>
      <w:r w:rsidR="007803BC">
        <w:rPr>
          <w:rFonts w:ascii="Arial" w:hAnsi="Arial" w:cs="Arial"/>
          <w:sz w:val="20"/>
          <w:szCs w:val="20"/>
        </w:rPr>
        <w:t>U.S.</w:t>
      </w:r>
      <w:r w:rsidRPr="00A359ED">
        <w:rPr>
          <w:rFonts w:ascii="Arial" w:hAnsi="Arial" w:cs="Arial"/>
          <w:sz w:val="20"/>
          <w:szCs w:val="20"/>
        </w:rPr>
        <w:t xml:space="preserve"> and </w:t>
      </w:r>
      <w:r w:rsidR="007803BC">
        <w:rPr>
          <w:rFonts w:ascii="Arial" w:hAnsi="Arial" w:cs="Arial"/>
          <w:sz w:val="20"/>
          <w:szCs w:val="20"/>
        </w:rPr>
        <w:t>N.C.</w:t>
      </w:r>
      <w:r w:rsidRPr="00A359ED">
        <w:rPr>
          <w:rFonts w:ascii="Arial" w:hAnsi="Arial" w:cs="Arial"/>
          <w:sz w:val="20"/>
          <w:szCs w:val="20"/>
        </w:rPr>
        <w:t xml:space="preserve"> Constitutions; (3) the court cannot lawfully prevent</w:t>
      </w:r>
      <w:r>
        <w:rPr>
          <w:rFonts w:ascii="Arial" w:hAnsi="Arial" w:cs="Arial"/>
          <w:sz w:val="20"/>
          <w:szCs w:val="20"/>
        </w:rPr>
        <w:t xml:space="preserve"> </w:t>
      </w:r>
      <w:r w:rsidRPr="00A359ED">
        <w:rPr>
          <w:rFonts w:ascii="Arial" w:hAnsi="Arial" w:cs="Arial"/>
          <w:sz w:val="20"/>
          <w:szCs w:val="20"/>
        </w:rPr>
        <w:t>the General Assembly from considering partisan advantage and incumbency protection; (4) plaintiffs seek to require</w:t>
      </w:r>
      <w:r>
        <w:rPr>
          <w:rFonts w:ascii="Arial" w:hAnsi="Arial" w:cs="Arial"/>
          <w:sz w:val="20"/>
          <w:szCs w:val="20"/>
        </w:rPr>
        <w:t xml:space="preserve"> </w:t>
      </w:r>
      <w:r w:rsidRPr="00A359ED">
        <w:rPr>
          <w:rFonts w:ascii="Arial" w:hAnsi="Arial" w:cs="Arial"/>
          <w:sz w:val="20"/>
          <w:szCs w:val="20"/>
        </w:rPr>
        <w:t>districts where Democratic candidates are elected where such candidates are not currently elected; (5) plaintiffs'</w:t>
      </w:r>
      <w:r>
        <w:rPr>
          <w:rFonts w:ascii="Arial" w:hAnsi="Arial" w:cs="Arial"/>
          <w:sz w:val="20"/>
          <w:szCs w:val="20"/>
        </w:rPr>
        <w:t xml:space="preserve"> </w:t>
      </w:r>
      <w:r w:rsidRPr="00A359ED">
        <w:rPr>
          <w:rFonts w:ascii="Arial" w:hAnsi="Arial" w:cs="Arial"/>
          <w:sz w:val="20"/>
          <w:szCs w:val="20"/>
        </w:rPr>
        <w:t>claims are barred by the doctrine of laches; (6) plaintiffs have failed to state claims upon which relief can be</w:t>
      </w:r>
      <w:r>
        <w:rPr>
          <w:rFonts w:ascii="Arial" w:hAnsi="Arial" w:cs="Arial"/>
          <w:sz w:val="20"/>
          <w:szCs w:val="20"/>
        </w:rPr>
        <w:t xml:space="preserve"> </w:t>
      </w:r>
      <w:r w:rsidRPr="00A359ED">
        <w:rPr>
          <w:rFonts w:ascii="Arial" w:hAnsi="Arial" w:cs="Arial"/>
          <w:sz w:val="20"/>
          <w:szCs w:val="20"/>
        </w:rPr>
        <w:t xml:space="preserve">granted; (7) plaintiffs seek a theory of liability that will act to impose a judicial amendment to the </w:t>
      </w:r>
      <w:r w:rsidR="00981894">
        <w:rPr>
          <w:rFonts w:ascii="Arial" w:hAnsi="Arial" w:cs="Arial"/>
          <w:sz w:val="20"/>
          <w:szCs w:val="20"/>
        </w:rPr>
        <w:t>N.C.</w:t>
      </w:r>
      <w:r>
        <w:rPr>
          <w:rFonts w:ascii="Arial" w:hAnsi="Arial" w:cs="Arial"/>
          <w:sz w:val="20"/>
          <w:szCs w:val="20"/>
        </w:rPr>
        <w:t xml:space="preserve"> </w:t>
      </w:r>
      <w:r w:rsidRPr="00A359ED">
        <w:rPr>
          <w:rFonts w:ascii="Arial" w:hAnsi="Arial" w:cs="Arial"/>
          <w:sz w:val="20"/>
          <w:szCs w:val="20"/>
        </w:rPr>
        <w:t xml:space="preserve">Constitution; (8) the only limitations on redistricting legislation are found in </w:t>
      </w:r>
      <w:r w:rsidR="008A4894">
        <w:rPr>
          <w:rFonts w:ascii="Arial" w:hAnsi="Arial" w:cs="Arial"/>
          <w:sz w:val="20"/>
          <w:szCs w:val="20"/>
        </w:rPr>
        <w:t>art.</w:t>
      </w:r>
      <w:r w:rsidRPr="00A359ED">
        <w:rPr>
          <w:rFonts w:ascii="Arial" w:hAnsi="Arial" w:cs="Arial"/>
          <w:sz w:val="20"/>
          <w:szCs w:val="20"/>
        </w:rPr>
        <w:t xml:space="preserve"> II, </w:t>
      </w:r>
      <w:r w:rsidR="00C553EF">
        <w:rPr>
          <w:rFonts w:ascii="Arial" w:hAnsi="Arial" w:cs="Arial"/>
          <w:sz w:val="20"/>
          <w:szCs w:val="20"/>
        </w:rPr>
        <w:t>§§</w:t>
      </w:r>
      <w:r w:rsidRPr="00A359ED">
        <w:rPr>
          <w:rFonts w:ascii="Arial" w:hAnsi="Arial" w:cs="Arial"/>
          <w:sz w:val="20"/>
          <w:szCs w:val="20"/>
        </w:rPr>
        <w:t xml:space="preserve"> 2, 3, 4, and 5 of the</w:t>
      </w:r>
      <w:r>
        <w:rPr>
          <w:rFonts w:ascii="Arial" w:hAnsi="Arial" w:cs="Arial"/>
          <w:sz w:val="20"/>
          <w:szCs w:val="20"/>
        </w:rPr>
        <w:t xml:space="preserve"> </w:t>
      </w:r>
      <w:r w:rsidR="008A0D93">
        <w:rPr>
          <w:rFonts w:ascii="Arial" w:hAnsi="Arial" w:cs="Arial"/>
          <w:sz w:val="20"/>
          <w:szCs w:val="20"/>
        </w:rPr>
        <w:t>N.C.</w:t>
      </w:r>
      <w:r w:rsidRPr="00A359ED">
        <w:rPr>
          <w:rFonts w:ascii="Arial" w:hAnsi="Arial" w:cs="Arial"/>
          <w:sz w:val="20"/>
          <w:szCs w:val="20"/>
        </w:rPr>
        <w:t xml:space="preserve"> Constitution; (9) plaintiffs' request for a court-designed redistricting plan violates the separation of</w:t>
      </w:r>
      <w:r>
        <w:rPr>
          <w:rFonts w:ascii="Arial" w:hAnsi="Arial" w:cs="Arial"/>
          <w:sz w:val="20"/>
          <w:szCs w:val="20"/>
        </w:rPr>
        <w:t xml:space="preserve"> </w:t>
      </w:r>
      <w:r w:rsidRPr="00A359ED">
        <w:rPr>
          <w:rFonts w:ascii="Arial" w:hAnsi="Arial" w:cs="Arial"/>
          <w:sz w:val="20"/>
          <w:szCs w:val="20"/>
        </w:rPr>
        <w:t>powers doctrine; (10) plaintiffs' claims are nonjusticiable and fail to provide judicially manageable standards; (11)</w:t>
      </w:r>
      <w:r>
        <w:rPr>
          <w:rFonts w:ascii="Arial" w:hAnsi="Arial" w:cs="Arial"/>
          <w:sz w:val="20"/>
          <w:szCs w:val="20"/>
        </w:rPr>
        <w:t xml:space="preserve"> </w:t>
      </w:r>
      <w:r w:rsidRPr="00A359ED">
        <w:rPr>
          <w:rFonts w:ascii="Arial" w:hAnsi="Arial" w:cs="Arial"/>
          <w:sz w:val="20"/>
          <w:szCs w:val="20"/>
        </w:rPr>
        <w:t>plaintiffs lack standing; and (12) plaintiffs have unclean hands and therefore are not entitled to equitable relief.</w:t>
      </w:r>
    </w:p>
  </w:footnote>
  <w:footnote w:id="3">
    <w:p w14:paraId="27DDC6C0" w14:textId="7D4A8F44" w:rsidR="00F315E1" w:rsidRDefault="00F315E1" w:rsidP="00F315E1">
      <w:pPr>
        <w:pStyle w:val="FootnoteText"/>
      </w:pPr>
      <w:r>
        <w:rPr>
          <w:rStyle w:val="FootnoteReference"/>
        </w:rPr>
        <w:footnoteRef/>
      </w:r>
      <w:r>
        <w:t xml:space="preserve"> “</w:t>
      </w:r>
      <w:r w:rsidRPr="003D25D7">
        <w:rPr>
          <w:b/>
          <w:bCs/>
        </w:rPr>
        <w:t>Racial Data.</w:t>
      </w:r>
      <w:r>
        <w:t xml:space="preserve"> Data identifying the race of individuals or voters </w:t>
      </w:r>
      <w:r w:rsidRPr="00F315E1">
        <w:rPr>
          <w:i/>
          <w:iCs/>
        </w:rPr>
        <w:t>shall not</w:t>
      </w:r>
      <w:r>
        <w:t xml:space="preserve"> be used in the construction or</w:t>
      </w:r>
    </w:p>
    <w:p w14:paraId="424AEA7B" w14:textId="4F780BCE" w:rsidR="00F315E1" w:rsidRPr="00F315E1" w:rsidRDefault="00F315E1" w:rsidP="00F315E1">
      <w:pPr>
        <w:pStyle w:val="FootnoteText"/>
      </w:pPr>
      <w:r>
        <w:t xml:space="preserve">consideration of districts in the 2021 Congressional, House, and Senate plans.”  </w:t>
      </w:r>
      <w:r>
        <w:rPr>
          <w:i/>
          <w:iCs/>
        </w:rPr>
        <w:t>Harper</w:t>
      </w:r>
      <w:r>
        <w:t>, 868 S.E.2d</w:t>
      </w:r>
      <w:r w:rsidR="00CF1DED">
        <w:t xml:space="preserve"> </w:t>
      </w:r>
      <w:r>
        <w:t>at 512.</w:t>
      </w:r>
    </w:p>
  </w:footnote>
  <w:footnote w:id="4">
    <w:p w14:paraId="368AC2C5" w14:textId="371D3E13" w:rsidR="00464A81" w:rsidRDefault="00464A81" w:rsidP="00464A81">
      <w:pPr>
        <w:pStyle w:val="FootnoteText"/>
      </w:pPr>
      <w:r>
        <w:rPr>
          <w:rStyle w:val="FootnoteReference"/>
        </w:rPr>
        <w:footnoteRef/>
      </w:r>
      <w:r>
        <w:t xml:space="preserve"> Purely political questions are those questions which have been wholly committed to the "sole discretion" of a coordinate branch of government, and those questions which can be resolved only by making "policy choices and value determinations." </w:t>
      </w:r>
      <w:r w:rsidRPr="00AB5CA0">
        <w:rPr>
          <w:i/>
          <w:iCs/>
        </w:rPr>
        <w:t>Bacon v. Lee</w:t>
      </w:r>
      <w:r>
        <w:t>, 549 S.E.2d 840 (N.C. 2001).  When presented with a purely political question, the judiciary is neither constitutionally empowered nor institutionally competent to furnish an answer.</w:t>
      </w:r>
    </w:p>
  </w:footnote>
  <w:footnote w:id="5">
    <w:p w14:paraId="3DC70847" w14:textId="1A76E727" w:rsidR="007A7739" w:rsidRPr="00EF56CF" w:rsidRDefault="007A7739">
      <w:pPr>
        <w:pStyle w:val="FootnoteText"/>
      </w:pPr>
      <w:r>
        <w:rPr>
          <w:rStyle w:val="FootnoteReference"/>
        </w:rPr>
        <w:footnoteRef/>
      </w:r>
      <w:r>
        <w:t xml:space="preserve"> For more information, </w:t>
      </w:r>
      <w:r w:rsidRPr="007A7739">
        <w:rPr>
          <w:i/>
          <w:iCs/>
        </w:rPr>
        <w:t>see</w:t>
      </w:r>
      <w:r>
        <w:t xml:space="preserve"> Ethan </w:t>
      </w:r>
      <w:proofErr w:type="spellStart"/>
      <w:r>
        <w:t>Herenstein</w:t>
      </w:r>
      <w:proofErr w:type="spellEnd"/>
      <w:r>
        <w:t xml:space="preserve"> &amp; Thomas Wolf, </w:t>
      </w:r>
      <w:r w:rsidRPr="003A5592">
        <w:rPr>
          <w:i/>
          <w:iCs/>
        </w:rPr>
        <w:t>The ‘Independent State Legislature Theory,’ Explained</w:t>
      </w:r>
      <w:r>
        <w:t xml:space="preserve">, </w:t>
      </w:r>
      <w:r w:rsidRPr="007A7739">
        <w:rPr>
          <w:smallCaps/>
        </w:rPr>
        <w:t>Brennan Ctr. for Justice</w:t>
      </w:r>
      <w:r>
        <w:t xml:space="preserve"> (Jun. 30, 2022), </w:t>
      </w:r>
      <w:hyperlink r:id="rId1" w:history="1">
        <w:r w:rsidRPr="00B17252">
          <w:rPr>
            <w:rStyle w:val="Hyperlink"/>
          </w:rPr>
          <w:t>https://www.brennancenter.org/our-work/research-reports/independent-state-legislature-theory-explained</w:t>
        </w:r>
      </w:hyperlink>
      <w:r>
        <w:t xml:space="preserve">. </w:t>
      </w:r>
      <w:r w:rsidR="00365AC6">
        <w:t xml:space="preserve"> </w:t>
      </w:r>
      <w:r w:rsidR="00EF56CF">
        <w:t xml:space="preserve">Notably, the Supreme Court has agreed to decide </w:t>
      </w:r>
      <w:r w:rsidR="00EF56CF" w:rsidRPr="00EF56CF">
        <w:t xml:space="preserve">whether the North Carolina Supreme Court has the power to strike down the </w:t>
      </w:r>
      <w:proofErr w:type="gramStart"/>
      <w:r w:rsidR="00EF56CF" w:rsidRPr="00EF56CF">
        <w:t>legislature’s</w:t>
      </w:r>
      <w:proofErr w:type="gramEnd"/>
      <w:r w:rsidR="00EF56CF" w:rsidRPr="00EF56CF">
        <w:t xml:space="preserve"> illegally gerrymandered congressional map for violating the North Carolina Constitution</w:t>
      </w:r>
      <w:r w:rsidR="00EF56CF">
        <w:t xml:space="preserve"> under this theory in </w:t>
      </w:r>
      <w:r w:rsidR="00EF56CF">
        <w:rPr>
          <w:i/>
          <w:iCs/>
        </w:rPr>
        <w:t>Moore v. Harper</w:t>
      </w:r>
      <w:r w:rsidR="001A5E0A">
        <w:t>.  O</w:t>
      </w:r>
      <w:r w:rsidR="005876C2">
        <w:t xml:space="preserve">ral argument </w:t>
      </w:r>
      <w:r w:rsidR="001A5E0A">
        <w:t xml:space="preserve">will be heard </w:t>
      </w:r>
      <w:r w:rsidR="009F133E">
        <w:t>sometime during the</w:t>
      </w:r>
      <w:r w:rsidR="005876C2">
        <w:t xml:space="preserve"> October 2022</w:t>
      </w:r>
      <w:r w:rsidR="009F133E">
        <w:t>–23 term</w:t>
      </w:r>
      <w:r w:rsidR="00EF56CF">
        <w:t xml:space="preserve">.  </w:t>
      </w:r>
      <w:r w:rsidR="00EF56CF" w:rsidRPr="00EF56CF">
        <w:rPr>
          <w:i/>
          <w:iCs/>
        </w:rPr>
        <w:t>See Moore v. Harper</w:t>
      </w:r>
      <w:r w:rsidR="00EF56CF">
        <w:t xml:space="preserve">, </w:t>
      </w:r>
      <w:r w:rsidR="00EF56CF" w:rsidRPr="00EF56CF">
        <w:rPr>
          <w:smallCaps/>
        </w:rPr>
        <w:t>Ballotpedia</w:t>
      </w:r>
      <w:r w:rsidR="00EF56CF">
        <w:t xml:space="preserve"> (last visited Sept. 29, 2022), </w:t>
      </w:r>
      <w:hyperlink r:id="rId2" w:history="1">
        <w:r w:rsidR="00EF56CF" w:rsidRPr="00B17252">
          <w:rPr>
            <w:rStyle w:val="Hyperlink"/>
          </w:rPr>
          <w:t>https://ballotpedia.org/Moore_v._Harper</w:t>
        </w:r>
      </w:hyperlink>
      <w:r w:rsidR="00EF56CF">
        <w:t xml:space="preserve">. </w:t>
      </w:r>
    </w:p>
  </w:footnote>
  <w:footnote w:id="6">
    <w:p w14:paraId="518899BF" w14:textId="04E59638" w:rsidR="007C3BE3" w:rsidRDefault="007C3BE3" w:rsidP="00E631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63180" w:rsidRPr="00E63180">
        <w:rPr>
          <w:i/>
          <w:iCs/>
        </w:rPr>
        <w:t>See Stephenson v. Bartlett</w:t>
      </w:r>
      <w:r w:rsidR="00E63180">
        <w:t xml:space="preserve">, 562 S.E.2d 377 (N.C. 2002) (holding that the General Assembly is required to conduct racially polarized voting analysis within their decennial redistricting process </w:t>
      </w:r>
      <w:proofErr w:type="gramStart"/>
      <w:r w:rsidR="00E63180">
        <w:t>in order to</w:t>
      </w:r>
      <w:proofErr w:type="gramEnd"/>
      <w:r w:rsidR="00E63180">
        <w:t xml:space="preserve"> assess whether any steps must be taken to avoid the dilution of minority voting strength</w:t>
      </w:r>
      <w:r w:rsidR="00E347AD">
        <w:t xml:space="preserve">, in accordance with </w:t>
      </w:r>
      <w:r w:rsidR="00E347AD" w:rsidRPr="00E347AD">
        <w:rPr>
          <w:smallCaps/>
        </w:rPr>
        <w:t>N.C. Const.</w:t>
      </w:r>
      <w:r w:rsidR="00E347AD">
        <w:t xml:space="preserve"> art I, §§ 3 &amp; 5, and art. II, §§ 3 &amp; 5</w:t>
      </w:r>
      <w:r w:rsidR="00E63180">
        <w:t>).</w:t>
      </w:r>
    </w:p>
  </w:footnote>
  <w:footnote w:id="7">
    <w:p w14:paraId="66BB76AD" w14:textId="5FF37564" w:rsidR="0043169B" w:rsidRDefault="0043169B" w:rsidP="0043169B">
      <w:pPr>
        <w:pStyle w:val="FootnoteText"/>
      </w:pPr>
      <w:r>
        <w:rPr>
          <w:rStyle w:val="FootnoteReference"/>
        </w:rPr>
        <w:footnoteRef/>
      </w:r>
      <w:r>
        <w:t xml:space="preserve"> “In establishing congressional district boundaries:</w:t>
      </w:r>
      <w:r w:rsidR="007643FB">
        <w:t xml:space="preserve"> </w:t>
      </w:r>
      <w:r>
        <w:t>(a) No apportionment plan or individual district shall be drawn with the intent to favor or disfavor a</w:t>
      </w:r>
      <w:r w:rsidR="007643FB">
        <w:t xml:space="preserve"> </w:t>
      </w:r>
      <w:r>
        <w:t>political party or an incumbent; and districts shall not be drawn with the intent or result of denying or abridging</w:t>
      </w:r>
      <w:r w:rsidR="007643FB">
        <w:t xml:space="preserve"> </w:t>
      </w:r>
      <w:r>
        <w:t>the equal opportunity of racial or language minorities to participate in the political process or to diminish</w:t>
      </w:r>
      <w:r w:rsidR="007643FB">
        <w:t xml:space="preserve"> </w:t>
      </w:r>
      <w:r>
        <w:t>their</w:t>
      </w:r>
      <w:r w:rsidR="007643FB">
        <w:t xml:space="preserve"> </w:t>
      </w:r>
      <w:r>
        <w:t xml:space="preserve">ability to elect representatives of their choice; and districts shall consist of contiguous territory.”  </w:t>
      </w:r>
      <w:r w:rsidRPr="0043169B">
        <w:rPr>
          <w:smallCaps/>
        </w:rPr>
        <w:t>Fla. Const.</w:t>
      </w:r>
      <w:r>
        <w:t xml:space="preserve"> art. III, § 20.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C10"/>
    <w:multiLevelType w:val="hybridMultilevel"/>
    <w:tmpl w:val="A0F8B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90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0D"/>
    <w:rsid w:val="000011E4"/>
    <w:rsid w:val="00022539"/>
    <w:rsid w:val="0002283D"/>
    <w:rsid w:val="00022AEC"/>
    <w:rsid w:val="00031BFF"/>
    <w:rsid w:val="0003271E"/>
    <w:rsid w:val="00036E90"/>
    <w:rsid w:val="00041302"/>
    <w:rsid w:val="000423F8"/>
    <w:rsid w:val="000465AB"/>
    <w:rsid w:val="000501CB"/>
    <w:rsid w:val="00053DC6"/>
    <w:rsid w:val="0005617D"/>
    <w:rsid w:val="000566AA"/>
    <w:rsid w:val="000579BF"/>
    <w:rsid w:val="00060D48"/>
    <w:rsid w:val="000612B8"/>
    <w:rsid w:val="00061BAC"/>
    <w:rsid w:val="00063BFB"/>
    <w:rsid w:val="000764AC"/>
    <w:rsid w:val="00082FB9"/>
    <w:rsid w:val="00092637"/>
    <w:rsid w:val="00093F41"/>
    <w:rsid w:val="000A0D67"/>
    <w:rsid w:val="000A2496"/>
    <w:rsid w:val="000A405F"/>
    <w:rsid w:val="000A42F7"/>
    <w:rsid w:val="000C62F3"/>
    <w:rsid w:val="000C6405"/>
    <w:rsid w:val="000D6927"/>
    <w:rsid w:val="000E1185"/>
    <w:rsid w:val="000E2B5F"/>
    <w:rsid w:val="000E4044"/>
    <w:rsid w:val="000E51BC"/>
    <w:rsid w:val="000F06B0"/>
    <w:rsid w:val="000F7680"/>
    <w:rsid w:val="000F7880"/>
    <w:rsid w:val="001104BA"/>
    <w:rsid w:val="001108B4"/>
    <w:rsid w:val="001159D2"/>
    <w:rsid w:val="00116EAC"/>
    <w:rsid w:val="00120636"/>
    <w:rsid w:val="001305BD"/>
    <w:rsid w:val="00136582"/>
    <w:rsid w:val="0014350A"/>
    <w:rsid w:val="001455D2"/>
    <w:rsid w:val="0015052D"/>
    <w:rsid w:val="00155DA4"/>
    <w:rsid w:val="00160250"/>
    <w:rsid w:val="00166C13"/>
    <w:rsid w:val="00172731"/>
    <w:rsid w:val="00175B2B"/>
    <w:rsid w:val="00181207"/>
    <w:rsid w:val="00182FA3"/>
    <w:rsid w:val="00191BE3"/>
    <w:rsid w:val="00192FD6"/>
    <w:rsid w:val="001A043A"/>
    <w:rsid w:val="001A5E0A"/>
    <w:rsid w:val="001B45BC"/>
    <w:rsid w:val="001C0938"/>
    <w:rsid w:val="001C3362"/>
    <w:rsid w:val="001D0B4C"/>
    <w:rsid w:val="001D2C2C"/>
    <w:rsid w:val="001D6297"/>
    <w:rsid w:val="001E4031"/>
    <w:rsid w:val="001E6844"/>
    <w:rsid w:val="001F32D6"/>
    <w:rsid w:val="00204386"/>
    <w:rsid w:val="0020516F"/>
    <w:rsid w:val="00207D95"/>
    <w:rsid w:val="00211E23"/>
    <w:rsid w:val="00212664"/>
    <w:rsid w:val="00213F86"/>
    <w:rsid w:val="00215EC7"/>
    <w:rsid w:val="00220F99"/>
    <w:rsid w:val="0022426A"/>
    <w:rsid w:val="00224F02"/>
    <w:rsid w:val="00225810"/>
    <w:rsid w:val="00227211"/>
    <w:rsid w:val="00233902"/>
    <w:rsid w:val="002406C8"/>
    <w:rsid w:val="002413C5"/>
    <w:rsid w:val="002541E5"/>
    <w:rsid w:val="00264C5A"/>
    <w:rsid w:val="0026777E"/>
    <w:rsid w:val="00267920"/>
    <w:rsid w:val="00271211"/>
    <w:rsid w:val="00274A0F"/>
    <w:rsid w:val="00275DCE"/>
    <w:rsid w:val="0027641C"/>
    <w:rsid w:val="00276DD8"/>
    <w:rsid w:val="002815D6"/>
    <w:rsid w:val="002828D7"/>
    <w:rsid w:val="00283ECF"/>
    <w:rsid w:val="002856A4"/>
    <w:rsid w:val="00290BB0"/>
    <w:rsid w:val="002A024C"/>
    <w:rsid w:val="002A4863"/>
    <w:rsid w:val="002A4A64"/>
    <w:rsid w:val="002A5761"/>
    <w:rsid w:val="002A7C4B"/>
    <w:rsid w:val="002B0E57"/>
    <w:rsid w:val="002B148B"/>
    <w:rsid w:val="002C2AAC"/>
    <w:rsid w:val="002C5ADC"/>
    <w:rsid w:val="002C6856"/>
    <w:rsid w:val="002C79CF"/>
    <w:rsid w:val="002D0168"/>
    <w:rsid w:val="002D1A24"/>
    <w:rsid w:val="002D4914"/>
    <w:rsid w:val="002D7645"/>
    <w:rsid w:val="002E0856"/>
    <w:rsid w:val="002E5BAF"/>
    <w:rsid w:val="002F086B"/>
    <w:rsid w:val="002F126D"/>
    <w:rsid w:val="0030213E"/>
    <w:rsid w:val="00302AAF"/>
    <w:rsid w:val="00304C74"/>
    <w:rsid w:val="0031190B"/>
    <w:rsid w:val="00321705"/>
    <w:rsid w:val="003218D6"/>
    <w:rsid w:val="003241B9"/>
    <w:rsid w:val="00324273"/>
    <w:rsid w:val="003251B2"/>
    <w:rsid w:val="0032595F"/>
    <w:rsid w:val="00330EC1"/>
    <w:rsid w:val="00332BAA"/>
    <w:rsid w:val="00334C92"/>
    <w:rsid w:val="00336380"/>
    <w:rsid w:val="0034242C"/>
    <w:rsid w:val="003427AD"/>
    <w:rsid w:val="00343115"/>
    <w:rsid w:val="00347F5D"/>
    <w:rsid w:val="003543FB"/>
    <w:rsid w:val="003624A7"/>
    <w:rsid w:val="00365AC6"/>
    <w:rsid w:val="00370E76"/>
    <w:rsid w:val="003712F1"/>
    <w:rsid w:val="00372109"/>
    <w:rsid w:val="00372F65"/>
    <w:rsid w:val="00377D7D"/>
    <w:rsid w:val="00381BDF"/>
    <w:rsid w:val="00382607"/>
    <w:rsid w:val="00384735"/>
    <w:rsid w:val="003852C8"/>
    <w:rsid w:val="003865AB"/>
    <w:rsid w:val="00397858"/>
    <w:rsid w:val="003A5592"/>
    <w:rsid w:val="003B6864"/>
    <w:rsid w:val="003C00AB"/>
    <w:rsid w:val="003C14F5"/>
    <w:rsid w:val="003C27D5"/>
    <w:rsid w:val="003C4C68"/>
    <w:rsid w:val="003C6D57"/>
    <w:rsid w:val="003D06A8"/>
    <w:rsid w:val="003D1B08"/>
    <w:rsid w:val="003D25D7"/>
    <w:rsid w:val="003D65B4"/>
    <w:rsid w:val="003F245F"/>
    <w:rsid w:val="003F3557"/>
    <w:rsid w:val="00405757"/>
    <w:rsid w:val="0041780A"/>
    <w:rsid w:val="004254FF"/>
    <w:rsid w:val="0043169B"/>
    <w:rsid w:val="00432302"/>
    <w:rsid w:val="0043743B"/>
    <w:rsid w:val="00437DCD"/>
    <w:rsid w:val="00443C32"/>
    <w:rsid w:val="00444D33"/>
    <w:rsid w:val="0045618C"/>
    <w:rsid w:val="00464A81"/>
    <w:rsid w:val="0047192B"/>
    <w:rsid w:val="00471CFA"/>
    <w:rsid w:val="00472FED"/>
    <w:rsid w:val="00474A3C"/>
    <w:rsid w:val="004764CD"/>
    <w:rsid w:val="0047710B"/>
    <w:rsid w:val="00493A4F"/>
    <w:rsid w:val="004959B8"/>
    <w:rsid w:val="004A0238"/>
    <w:rsid w:val="004A0BC6"/>
    <w:rsid w:val="004A2C87"/>
    <w:rsid w:val="004B24C2"/>
    <w:rsid w:val="004B6409"/>
    <w:rsid w:val="004C4939"/>
    <w:rsid w:val="004C7034"/>
    <w:rsid w:val="004C7D21"/>
    <w:rsid w:val="004D61BA"/>
    <w:rsid w:val="004E5724"/>
    <w:rsid w:val="004F3D54"/>
    <w:rsid w:val="005023C9"/>
    <w:rsid w:val="00502768"/>
    <w:rsid w:val="00502DCD"/>
    <w:rsid w:val="0050687E"/>
    <w:rsid w:val="00515521"/>
    <w:rsid w:val="0051566C"/>
    <w:rsid w:val="0052532C"/>
    <w:rsid w:val="0052543D"/>
    <w:rsid w:val="00531B27"/>
    <w:rsid w:val="00537B72"/>
    <w:rsid w:val="0054092E"/>
    <w:rsid w:val="0054131F"/>
    <w:rsid w:val="00542550"/>
    <w:rsid w:val="00552C52"/>
    <w:rsid w:val="00555208"/>
    <w:rsid w:val="00563B96"/>
    <w:rsid w:val="0057331D"/>
    <w:rsid w:val="00574009"/>
    <w:rsid w:val="00575EC4"/>
    <w:rsid w:val="005770F0"/>
    <w:rsid w:val="0058533F"/>
    <w:rsid w:val="005876C2"/>
    <w:rsid w:val="005955DD"/>
    <w:rsid w:val="005956ED"/>
    <w:rsid w:val="00596F59"/>
    <w:rsid w:val="005A0373"/>
    <w:rsid w:val="005A4170"/>
    <w:rsid w:val="005A6645"/>
    <w:rsid w:val="005B3F2C"/>
    <w:rsid w:val="005B421F"/>
    <w:rsid w:val="005B6362"/>
    <w:rsid w:val="005B7FFE"/>
    <w:rsid w:val="005C1065"/>
    <w:rsid w:val="005C2D45"/>
    <w:rsid w:val="005C3CDB"/>
    <w:rsid w:val="005D0651"/>
    <w:rsid w:val="005D44E4"/>
    <w:rsid w:val="005D4B9A"/>
    <w:rsid w:val="005D6581"/>
    <w:rsid w:val="005D6E3A"/>
    <w:rsid w:val="005D746D"/>
    <w:rsid w:val="005E0390"/>
    <w:rsid w:val="005E64F7"/>
    <w:rsid w:val="005F4A4D"/>
    <w:rsid w:val="005F539F"/>
    <w:rsid w:val="005F5FB7"/>
    <w:rsid w:val="005F7580"/>
    <w:rsid w:val="005F7C1D"/>
    <w:rsid w:val="00603914"/>
    <w:rsid w:val="006127ED"/>
    <w:rsid w:val="00627D7C"/>
    <w:rsid w:val="00643A05"/>
    <w:rsid w:val="0064734A"/>
    <w:rsid w:val="006502FF"/>
    <w:rsid w:val="00664B8F"/>
    <w:rsid w:val="00671155"/>
    <w:rsid w:val="0067223B"/>
    <w:rsid w:val="00674D62"/>
    <w:rsid w:val="00691017"/>
    <w:rsid w:val="00692422"/>
    <w:rsid w:val="006959DF"/>
    <w:rsid w:val="006A08C1"/>
    <w:rsid w:val="006A3118"/>
    <w:rsid w:val="006B1C61"/>
    <w:rsid w:val="006B1CC9"/>
    <w:rsid w:val="006B2D20"/>
    <w:rsid w:val="006B6A73"/>
    <w:rsid w:val="006E0CD7"/>
    <w:rsid w:val="006E2065"/>
    <w:rsid w:val="006E4356"/>
    <w:rsid w:val="006E4A92"/>
    <w:rsid w:val="006F2C19"/>
    <w:rsid w:val="006F726C"/>
    <w:rsid w:val="007008E7"/>
    <w:rsid w:val="0070112C"/>
    <w:rsid w:val="00702F59"/>
    <w:rsid w:val="00703EFC"/>
    <w:rsid w:val="00704734"/>
    <w:rsid w:val="007065E5"/>
    <w:rsid w:val="00715B3F"/>
    <w:rsid w:val="007208DA"/>
    <w:rsid w:val="007310E0"/>
    <w:rsid w:val="00736464"/>
    <w:rsid w:val="00745F15"/>
    <w:rsid w:val="00750AC1"/>
    <w:rsid w:val="007643FB"/>
    <w:rsid w:val="00765D3C"/>
    <w:rsid w:val="00773823"/>
    <w:rsid w:val="007803BC"/>
    <w:rsid w:val="007806B5"/>
    <w:rsid w:val="007847E3"/>
    <w:rsid w:val="00787AC7"/>
    <w:rsid w:val="0079288A"/>
    <w:rsid w:val="007A7739"/>
    <w:rsid w:val="007C3BE3"/>
    <w:rsid w:val="007C6557"/>
    <w:rsid w:val="007D1152"/>
    <w:rsid w:val="007D63B1"/>
    <w:rsid w:val="007E0006"/>
    <w:rsid w:val="007E4865"/>
    <w:rsid w:val="007E5EB2"/>
    <w:rsid w:val="008042C7"/>
    <w:rsid w:val="00804DC1"/>
    <w:rsid w:val="008111F9"/>
    <w:rsid w:val="00816908"/>
    <w:rsid w:val="0082102D"/>
    <w:rsid w:val="0082403E"/>
    <w:rsid w:val="00824161"/>
    <w:rsid w:val="00825E45"/>
    <w:rsid w:val="00826931"/>
    <w:rsid w:val="00826A10"/>
    <w:rsid w:val="00830484"/>
    <w:rsid w:val="008418B2"/>
    <w:rsid w:val="0084773C"/>
    <w:rsid w:val="0085117E"/>
    <w:rsid w:val="00852EA3"/>
    <w:rsid w:val="00860961"/>
    <w:rsid w:val="0086111E"/>
    <w:rsid w:val="0086532F"/>
    <w:rsid w:val="0087351B"/>
    <w:rsid w:val="0087573C"/>
    <w:rsid w:val="00875D3B"/>
    <w:rsid w:val="008775BD"/>
    <w:rsid w:val="0089277E"/>
    <w:rsid w:val="0089629B"/>
    <w:rsid w:val="008A0D93"/>
    <w:rsid w:val="008A4894"/>
    <w:rsid w:val="008A4CD0"/>
    <w:rsid w:val="008C3B79"/>
    <w:rsid w:val="008D467C"/>
    <w:rsid w:val="008D66FD"/>
    <w:rsid w:val="008E04C5"/>
    <w:rsid w:val="008E1661"/>
    <w:rsid w:val="008E6D44"/>
    <w:rsid w:val="008F564F"/>
    <w:rsid w:val="00900A3F"/>
    <w:rsid w:val="00905D1D"/>
    <w:rsid w:val="00906592"/>
    <w:rsid w:val="009108BB"/>
    <w:rsid w:val="00932AC5"/>
    <w:rsid w:val="009352CE"/>
    <w:rsid w:val="0096313C"/>
    <w:rsid w:val="00967C83"/>
    <w:rsid w:val="0097215F"/>
    <w:rsid w:val="009725B7"/>
    <w:rsid w:val="009753DF"/>
    <w:rsid w:val="00977A45"/>
    <w:rsid w:val="00981894"/>
    <w:rsid w:val="00981D7C"/>
    <w:rsid w:val="00987D80"/>
    <w:rsid w:val="0099185A"/>
    <w:rsid w:val="00992B19"/>
    <w:rsid w:val="009A1D84"/>
    <w:rsid w:val="009A261D"/>
    <w:rsid w:val="009A2AE2"/>
    <w:rsid w:val="009A6F30"/>
    <w:rsid w:val="009A72E8"/>
    <w:rsid w:val="009B1A73"/>
    <w:rsid w:val="009B2917"/>
    <w:rsid w:val="009C131C"/>
    <w:rsid w:val="009C546D"/>
    <w:rsid w:val="009C6C77"/>
    <w:rsid w:val="009E028E"/>
    <w:rsid w:val="009E0842"/>
    <w:rsid w:val="009F133E"/>
    <w:rsid w:val="00A01136"/>
    <w:rsid w:val="00A0627F"/>
    <w:rsid w:val="00A10326"/>
    <w:rsid w:val="00A134FF"/>
    <w:rsid w:val="00A14688"/>
    <w:rsid w:val="00A1691D"/>
    <w:rsid w:val="00A175AC"/>
    <w:rsid w:val="00A175F2"/>
    <w:rsid w:val="00A22BD7"/>
    <w:rsid w:val="00A2423B"/>
    <w:rsid w:val="00A3091E"/>
    <w:rsid w:val="00A352ED"/>
    <w:rsid w:val="00A359ED"/>
    <w:rsid w:val="00A522D6"/>
    <w:rsid w:val="00A53081"/>
    <w:rsid w:val="00A547F0"/>
    <w:rsid w:val="00A55EDB"/>
    <w:rsid w:val="00A56902"/>
    <w:rsid w:val="00A60B17"/>
    <w:rsid w:val="00A61043"/>
    <w:rsid w:val="00A64C3F"/>
    <w:rsid w:val="00A67DC0"/>
    <w:rsid w:val="00A71C57"/>
    <w:rsid w:val="00A74B56"/>
    <w:rsid w:val="00A751FC"/>
    <w:rsid w:val="00A770C4"/>
    <w:rsid w:val="00A85D3C"/>
    <w:rsid w:val="00A90B0E"/>
    <w:rsid w:val="00A95548"/>
    <w:rsid w:val="00A95C9E"/>
    <w:rsid w:val="00AB0E40"/>
    <w:rsid w:val="00AB541A"/>
    <w:rsid w:val="00AB5CA0"/>
    <w:rsid w:val="00AB7083"/>
    <w:rsid w:val="00AC1E63"/>
    <w:rsid w:val="00AC3E1F"/>
    <w:rsid w:val="00AC5223"/>
    <w:rsid w:val="00AC57A6"/>
    <w:rsid w:val="00AC6734"/>
    <w:rsid w:val="00AC6C44"/>
    <w:rsid w:val="00AD083C"/>
    <w:rsid w:val="00AD4A96"/>
    <w:rsid w:val="00AE1EB1"/>
    <w:rsid w:val="00AE1FFA"/>
    <w:rsid w:val="00AE419A"/>
    <w:rsid w:val="00AF1A19"/>
    <w:rsid w:val="00AF20C5"/>
    <w:rsid w:val="00AF4C52"/>
    <w:rsid w:val="00AF6267"/>
    <w:rsid w:val="00B01256"/>
    <w:rsid w:val="00B03C74"/>
    <w:rsid w:val="00B07787"/>
    <w:rsid w:val="00B11B08"/>
    <w:rsid w:val="00B17476"/>
    <w:rsid w:val="00B2132B"/>
    <w:rsid w:val="00B228B8"/>
    <w:rsid w:val="00B248DA"/>
    <w:rsid w:val="00B252C2"/>
    <w:rsid w:val="00B401E4"/>
    <w:rsid w:val="00B44B83"/>
    <w:rsid w:val="00B5422A"/>
    <w:rsid w:val="00B611EF"/>
    <w:rsid w:val="00B665A3"/>
    <w:rsid w:val="00B756BF"/>
    <w:rsid w:val="00B8135F"/>
    <w:rsid w:val="00B8711F"/>
    <w:rsid w:val="00B90D1A"/>
    <w:rsid w:val="00B90FC3"/>
    <w:rsid w:val="00B932D8"/>
    <w:rsid w:val="00BA4FAC"/>
    <w:rsid w:val="00BA7169"/>
    <w:rsid w:val="00BB3027"/>
    <w:rsid w:val="00BC0F56"/>
    <w:rsid w:val="00BD5F8B"/>
    <w:rsid w:val="00BE30C6"/>
    <w:rsid w:val="00BE46D1"/>
    <w:rsid w:val="00BE4821"/>
    <w:rsid w:val="00BF7C51"/>
    <w:rsid w:val="00C01639"/>
    <w:rsid w:val="00C10430"/>
    <w:rsid w:val="00C159A9"/>
    <w:rsid w:val="00C16C8D"/>
    <w:rsid w:val="00C202F4"/>
    <w:rsid w:val="00C302F5"/>
    <w:rsid w:val="00C3175C"/>
    <w:rsid w:val="00C36427"/>
    <w:rsid w:val="00C459A9"/>
    <w:rsid w:val="00C47B25"/>
    <w:rsid w:val="00C552C0"/>
    <w:rsid w:val="00C553EF"/>
    <w:rsid w:val="00C574D3"/>
    <w:rsid w:val="00C62FE2"/>
    <w:rsid w:val="00C67384"/>
    <w:rsid w:val="00C707C0"/>
    <w:rsid w:val="00C72EF3"/>
    <w:rsid w:val="00C751FE"/>
    <w:rsid w:val="00C771DD"/>
    <w:rsid w:val="00C77F6D"/>
    <w:rsid w:val="00C842DB"/>
    <w:rsid w:val="00C866B4"/>
    <w:rsid w:val="00CA1CBF"/>
    <w:rsid w:val="00CA61C7"/>
    <w:rsid w:val="00CA7970"/>
    <w:rsid w:val="00CB51AA"/>
    <w:rsid w:val="00CC1992"/>
    <w:rsid w:val="00CC527C"/>
    <w:rsid w:val="00CD5AA8"/>
    <w:rsid w:val="00CE4AF3"/>
    <w:rsid w:val="00CF1DED"/>
    <w:rsid w:val="00CF50A2"/>
    <w:rsid w:val="00D0219D"/>
    <w:rsid w:val="00D044B7"/>
    <w:rsid w:val="00D04697"/>
    <w:rsid w:val="00D212A8"/>
    <w:rsid w:val="00D21BA7"/>
    <w:rsid w:val="00D240D7"/>
    <w:rsid w:val="00D30386"/>
    <w:rsid w:val="00D31DA7"/>
    <w:rsid w:val="00D327CE"/>
    <w:rsid w:val="00D40A68"/>
    <w:rsid w:val="00D42A96"/>
    <w:rsid w:val="00D55B2A"/>
    <w:rsid w:val="00D61314"/>
    <w:rsid w:val="00D618DD"/>
    <w:rsid w:val="00D632BA"/>
    <w:rsid w:val="00D648BA"/>
    <w:rsid w:val="00D67E4B"/>
    <w:rsid w:val="00D73B91"/>
    <w:rsid w:val="00D772D3"/>
    <w:rsid w:val="00D866BD"/>
    <w:rsid w:val="00D86CD2"/>
    <w:rsid w:val="00D90943"/>
    <w:rsid w:val="00DB40B1"/>
    <w:rsid w:val="00DB48B5"/>
    <w:rsid w:val="00DC0D0E"/>
    <w:rsid w:val="00DC318D"/>
    <w:rsid w:val="00DC357D"/>
    <w:rsid w:val="00DC4596"/>
    <w:rsid w:val="00DC64A3"/>
    <w:rsid w:val="00DC6F51"/>
    <w:rsid w:val="00DD073B"/>
    <w:rsid w:val="00DD66C7"/>
    <w:rsid w:val="00DD7F5E"/>
    <w:rsid w:val="00DE1886"/>
    <w:rsid w:val="00DE2DCF"/>
    <w:rsid w:val="00DE3480"/>
    <w:rsid w:val="00DE721A"/>
    <w:rsid w:val="00DF0717"/>
    <w:rsid w:val="00DF450D"/>
    <w:rsid w:val="00E0284F"/>
    <w:rsid w:val="00E034AC"/>
    <w:rsid w:val="00E11A6E"/>
    <w:rsid w:val="00E124D6"/>
    <w:rsid w:val="00E17D1F"/>
    <w:rsid w:val="00E21002"/>
    <w:rsid w:val="00E2275E"/>
    <w:rsid w:val="00E22B20"/>
    <w:rsid w:val="00E27D8D"/>
    <w:rsid w:val="00E32C1A"/>
    <w:rsid w:val="00E33E81"/>
    <w:rsid w:val="00E347AD"/>
    <w:rsid w:val="00E356B8"/>
    <w:rsid w:val="00E36A1E"/>
    <w:rsid w:val="00E478EB"/>
    <w:rsid w:val="00E5430E"/>
    <w:rsid w:val="00E63180"/>
    <w:rsid w:val="00E66421"/>
    <w:rsid w:val="00E67144"/>
    <w:rsid w:val="00E72929"/>
    <w:rsid w:val="00E83CB0"/>
    <w:rsid w:val="00E87DB7"/>
    <w:rsid w:val="00E918AC"/>
    <w:rsid w:val="00E91D88"/>
    <w:rsid w:val="00EB1F88"/>
    <w:rsid w:val="00EC7943"/>
    <w:rsid w:val="00ED1554"/>
    <w:rsid w:val="00ED32B3"/>
    <w:rsid w:val="00ED671F"/>
    <w:rsid w:val="00EE2D91"/>
    <w:rsid w:val="00EE3879"/>
    <w:rsid w:val="00EE4689"/>
    <w:rsid w:val="00EF1BFB"/>
    <w:rsid w:val="00EF56CF"/>
    <w:rsid w:val="00EF6ECA"/>
    <w:rsid w:val="00F01CED"/>
    <w:rsid w:val="00F13BEC"/>
    <w:rsid w:val="00F1414C"/>
    <w:rsid w:val="00F14779"/>
    <w:rsid w:val="00F24770"/>
    <w:rsid w:val="00F26947"/>
    <w:rsid w:val="00F315E1"/>
    <w:rsid w:val="00F36DBB"/>
    <w:rsid w:val="00F407AC"/>
    <w:rsid w:val="00F40F41"/>
    <w:rsid w:val="00F41249"/>
    <w:rsid w:val="00F472B9"/>
    <w:rsid w:val="00F6306A"/>
    <w:rsid w:val="00F67DDB"/>
    <w:rsid w:val="00F73E82"/>
    <w:rsid w:val="00F75088"/>
    <w:rsid w:val="00F7538C"/>
    <w:rsid w:val="00F768AE"/>
    <w:rsid w:val="00F832CC"/>
    <w:rsid w:val="00FA7510"/>
    <w:rsid w:val="00FB0292"/>
    <w:rsid w:val="00FB790C"/>
    <w:rsid w:val="00FC04EE"/>
    <w:rsid w:val="00FC1FCB"/>
    <w:rsid w:val="00FC65D3"/>
    <w:rsid w:val="00FD0A17"/>
    <w:rsid w:val="00FD0BC0"/>
    <w:rsid w:val="00FD28C8"/>
    <w:rsid w:val="00FD5EB6"/>
    <w:rsid w:val="00FE00A3"/>
    <w:rsid w:val="00FE2F6B"/>
    <w:rsid w:val="00FE4207"/>
    <w:rsid w:val="00FE6C97"/>
    <w:rsid w:val="00FE72D8"/>
    <w:rsid w:val="00FF64EE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A9EB"/>
  <w15:chartTrackingRefBased/>
  <w15:docId w15:val="{41018933-86A3-4997-AF5C-B16DF92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3B9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304C74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4C74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4C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A7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7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allotpedia.org/Moore_v._Harper" TargetMode="External"/><Relationship Id="rId1" Type="http://schemas.openxmlformats.org/officeDocument/2006/relationships/hyperlink" Target="https://www.brennancenter.org/our-work/research-reports/independent-state-legislature-theory-expla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B093-FBA0-4C54-8E2F-B1472617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3592</Words>
  <Characters>20476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Matsuda</dc:creator>
  <cp:keywords/>
  <dc:description/>
  <cp:lastModifiedBy>Scott Matsuda</cp:lastModifiedBy>
  <cp:revision>414</cp:revision>
  <dcterms:created xsi:type="dcterms:W3CDTF">2022-09-27T21:40:00Z</dcterms:created>
  <dcterms:modified xsi:type="dcterms:W3CDTF">2022-09-30T01:32:00Z</dcterms:modified>
</cp:coreProperties>
</file>