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EEBC" w14:textId="0C4C55F5" w:rsidR="006F2C19" w:rsidRPr="00D73B91" w:rsidRDefault="00CA7970">
      <w:pPr>
        <w:rPr>
          <w:szCs w:val="20"/>
        </w:rPr>
      </w:pPr>
      <w:r w:rsidRPr="00D73B91">
        <w:rPr>
          <w:szCs w:val="20"/>
        </w:rPr>
        <w:t xml:space="preserve">To: </w:t>
      </w:r>
      <w:r w:rsidRPr="00D73B91">
        <w:rPr>
          <w:szCs w:val="20"/>
        </w:rPr>
        <w:tab/>
      </w:r>
      <w:r w:rsidR="005F7C1D">
        <w:rPr>
          <w:szCs w:val="20"/>
        </w:rPr>
        <w:t>Jonathan Cervas</w:t>
      </w:r>
      <w:r w:rsidR="0082403E">
        <w:rPr>
          <w:szCs w:val="20"/>
        </w:rPr>
        <w:t>, Ph.</w:t>
      </w:r>
      <w:r w:rsidR="00472FED">
        <w:rPr>
          <w:szCs w:val="20"/>
        </w:rPr>
        <w:t>D. &amp; Bernard Grofman, Ph.D.</w:t>
      </w:r>
    </w:p>
    <w:p w14:paraId="3C1F65CF" w14:textId="77777777" w:rsidR="00CA7970" w:rsidRPr="00D73B91" w:rsidRDefault="00CA7970">
      <w:pPr>
        <w:rPr>
          <w:szCs w:val="20"/>
        </w:rPr>
      </w:pPr>
      <w:r w:rsidRPr="00D73B91">
        <w:rPr>
          <w:szCs w:val="20"/>
        </w:rPr>
        <w:t>From:</w:t>
      </w:r>
      <w:r w:rsidRPr="00D73B91">
        <w:rPr>
          <w:szCs w:val="20"/>
        </w:rPr>
        <w:tab/>
        <w:t>Scott Matsuda</w:t>
      </w:r>
    </w:p>
    <w:p w14:paraId="1B9182EE" w14:textId="6FBE495C" w:rsidR="00CA7970" w:rsidRPr="00D73B91" w:rsidRDefault="00CA7970">
      <w:pPr>
        <w:rPr>
          <w:szCs w:val="20"/>
        </w:rPr>
      </w:pPr>
      <w:r w:rsidRPr="00D73B91">
        <w:rPr>
          <w:szCs w:val="20"/>
        </w:rPr>
        <w:t>Date:</w:t>
      </w:r>
      <w:r w:rsidRPr="00D73B91">
        <w:rPr>
          <w:szCs w:val="20"/>
        </w:rPr>
        <w:tab/>
      </w:r>
      <w:r w:rsidR="00ED40B7">
        <w:rPr>
          <w:szCs w:val="20"/>
        </w:rPr>
        <w:t>10/17/2022</w:t>
      </w:r>
    </w:p>
    <w:p w14:paraId="385897F0" w14:textId="597304FA" w:rsidR="00CA7970" w:rsidRPr="00906592" w:rsidRDefault="00CA7970" w:rsidP="00CA7970">
      <w:pPr>
        <w:jc w:val="center"/>
        <w:rPr>
          <w:b/>
          <w:bCs/>
          <w:szCs w:val="20"/>
          <w:u w:val="single"/>
        </w:rPr>
      </w:pPr>
      <w:r w:rsidRPr="00852EA3">
        <w:rPr>
          <w:szCs w:val="20"/>
          <w:u w:val="single"/>
        </w:rPr>
        <w:t>Case Briefing</w:t>
      </w:r>
      <w:r w:rsidR="00906592">
        <w:rPr>
          <w:szCs w:val="20"/>
          <w:u w:val="single"/>
        </w:rPr>
        <w:t xml:space="preserve"> </w:t>
      </w:r>
      <w:r w:rsidR="00061BAC">
        <w:rPr>
          <w:b/>
          <w:bCs/>
          <w:szCs w:val="20"/>
          <w:u w:val="single"/>
        </w:rPr>
        <w:t>[</w:t>
      </w:r>
      <w:r w:rsidR="00B04FDA">
        <w:rPr>
          <w:b/>
          <w:bCs/>
          <w:szCs w:val="20"/>
          <w:u w:val="single"/>
        </w:rPr>
        <w:t>North Carolina</w:t>
      </w:r>
      <w:r w:rsidR="00061BAC">
        <w:rPr>
          <w:b/>
          <w:bCs/>
          <w:szCs w:val="20"/>
          <w:u w:val="single"/>
        </w:rPr>
        <w:t>]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7470"/>
      </w:tblGrid>
      <w:tr w:rsidR="00D73B91" w:rsidRPr="00D73B91" w14:paraId="216BB34A" w14:textId="77777777" w:rsidTr="00DB57F8">
        <w:trPr>
          <w:trHeight w:val="423"/>
        </w:trPr>
        <w:tc>
          <w:tcPr>
            <w:tcW w:w="1998" w:type="dxa"/>
          </w:tcPr>
          <w:p w14:paraId="39C9A3DC" w14:textId="77777777" w:rsidR="00D73B91" w:rsidRPr="00D73B91" w:rsidRDefault="00D73B9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Citation </w:t>
            </w:r>
          </w:p>
        </w:tc>
        <w:tc>
          <w:tcPr>
            <w:tcW w:w="7470" w:type="dxa"/>
          </w:tcPr>
          <w:p w14:paraId="431A8FDF" w14:textId="77777777" w:rsidR="005F539F" w:rsidRDefault="008B1CB8" w:rsidP="00B401E4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55186A">
              <w:rPr>
                <w:rFonts w:ascii="Arial" w:hAnsi="Arial" w:cs="Arial"/>
                <w:i/>
                <w:sz w:val="20"/>
                <w:szCs w:val="20"/>
              </w:rPr>
              <w:t>Harper v. Lewis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r w:rsidRPr="008B1CB8">
              <w:rPr>
                <w:rFonts w:ascii="Arial" w:hAnsi="Arial" w:cs="Arial"/>
                <w:iCs/>
                <w:sz w:val="20"/>
                <w:szCs w:val="20"/>
              </w:rPr>
              <w:t>No. 19-CVS-012667 (N.C. Super. Ct., Wake Cnty. Oct. 28, 2019)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14:paraId="07A00851" w14:textId="30EE5AB5" w:rsidR="00DB57F8" w:rsidRPr="00A64C3F" w:rsidRDefault="00DB57F8" w:rsidP="00DB57F8">
            <w:pPr>
              <w:pStyle w:val="Default"/>
              <w:rPr>
                <w:rFonts w:ascii="Arial" w:hAnsi="Arial" w:cs="Arial"/>
                <w:iCs/>
                <w:sz w:val="20"/>
                <w:szCs w:val="20"/>
              </w:rPr>
            </w:pPr>
          </w:p>
        </w:tc>
      </w:tr>
      <w:tr w:rsidR="00474A3C" w:rsidRPr="00D73B91" w14:paraId="579CDEAF" w14:textId="77777777" w:rsidTr="00DD66C7">
        <w:trPr>
          <w:trHeight w:val="549"/>
        </w:trPr>
        <w:tc>
          <w:tcPr>
            <w:tcW w:w="1998" w:type="dxa"/>
          </w:tcPr>
          <w:p w14:paraId="2A45B22E" w14:textId="77777777" w:rsidR="00474A3C" w:rsidRDefault="00474A3C" w:rsidP="00474A3C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Judicial Breakdown / Partisan or Nonpartisan</w:t>
            </w:r>
          </w:p>
          <w:p w14:paraId="3BC9E9A3" w14:textId="4ED1530C" w:rsidR="00474A3C" w:rsidRPr="00D73B91" w:rsidRDefault="00474A3C" w:rsidP="00474A3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4C14DE31" w14:textId="57DF240C" w:rsidR="00474A3C" w:rsidRPr="002123CA" w:rsidRDefault="00EB336C" w:rsidP="002123CA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EB336C">
              <w:rPr>
                <w:rFonts w:ascii="Arial" w:hAnsi="Arial" w:cs="Arial"/>
                <w:iCs/>
                <w:sz w:val="20"/>
                <w:szCs w:val="20"/>
              </w:rPr>
              <w:t>Superior Court Judge</w:t>
            </w:r>
            <w:r w:rsidRPr="00EB336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EB336C">
              <w:rPr>
                <w:rFonts w:ascii="Arial" w:hAnsi="Arial" w:cs="Arial"/>
                <w:iCs/>
                <w:sz w:val="20"/>
                <w:szCs w:val="20"/>
              </w:rPr>
              <w:t>Paul C. Ridgeway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2D493F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issued the opinion, joined by Judges </w:t>
            </w:r>
            <w:r w:rsidRPr="00EB336C">
              <w:rPr>
                <w:rFonts w:ascii="Arial" w:hAnsi="Arial" w:cs="Arial"/>
                <w:iCs/>
                <w:sz w:val="20"/>
                <w:szCs w:val="20"/>
              </w:rPr>
              <w:t>Joseph N. Crosswhite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>(</w:t>
            </w:r>
            <w:r w:rsidR="00545219">
              <w:rPr>
                <w:rFonts w:ascii="Arial" w:hAnsi="Arial" w:cs="Arial"/>
                <w:iCs/>
                <w:sz w:val="20"/>
                <w:szCs w:val="20"/>
              </w:rPr>
              <w:t>R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and </w:t>
            </w:r>
            <w:r w:rsidRPr="00EB336C">
              <w:rPr>
                <w:rFonts w:ascii="Arial" w:hAnsi="Arial" w:cs="Arial"/>
                <w:iCs/>
                <w:sz w:val="20"/>
                <w:szCs w:val="20"/>
              </w:rPr>
              <w:t>Alma L.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2123CA">
              <w:rPr>
                <w:rFonts w:ascii="Arial" w:hAnsi="Arial" w:cs="Arial"/>
                <w:iCs/>
                <w:sz w:val="20"/>
                <w:szCs w:val="20"/>
              </w:rPr>
              <w:t>Hinton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731DB1">
              <w:rPr>
                <w:rFonts w:ascii="Arial" w:hAnsi="Arial" w:cs="Arial"/>
                <w:iCs/>
                <w:sz w:val="20"/>
                <w:szCs w:val="20"/>
              </w:rPr>
              <w:t>D</w:t>
            </w:r>
            <w:r w:rsidR="002123CA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="002123CA" w:rsidRPr="002123CA">
              <w:rPr>
                <w:rFonts w:ascii="Arial" w:hAnsi="Arial" w:cs="Arial"/>
                <w:iCs/>
                <w:sz w:val="20"/>
                <w:szCs w:val="20"/>
              </w:rPr>
              <w:t>.</w:t>
            </w:r>
            <w:r w:rsidR="003A3D0D"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1"/>
            </w:r>
          </w:p>
        </w:tc>
      </w:tr>
      <w:tr w:rsidR="00ED671F" w:rsidRPr="00D73B91" w14:paraId="1553CCF4" w14:textId="77777777" w:rsidTr="00B665A3">
        <w:trPr>
          <w:trHeight w:val="900"/>
        </w:trPr>
        <w:tc>
          <w:tcPr>
            <w:tcW w:w="1998" w:type="dxa"/>
          </w:tcPr>
          <w:p w14:paraId="48278285" w14:textId="185C2B74" w:rsidR="00ED671F" w:rsidRDefault="00474A3C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Procedural History</w:t>
            </w:r>
          </w:p>
          <w:p w14:paraId="36E704DD" w14:textId="2EC70AA0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470" w:type="dxa"/>
          </w:tcPr>
          <w:p w14:paraId="37FFEEDA" w14:textId="77777777" w:rsidR="00B06725" w:rsidRDefault="00B06725" w:rsidP="00B0672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06725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9/</w:t>
            </w:r>
            <w:r w:rsidRPr="00B06725">
              <w:rPr>
                <w:rFonts w:ascii="Arial" w:hAnsi="Arial" w:cs="Arial"/>
                <w:sz w:val="20"/>
                <w:szCs w:val="20"/>
              </w:rPr>
              <w:t>27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B06725">
              <w:rPr>
                <w:rFonts w:ascii="Arial" w:hAnsi="Arial" w:cs="Arial"/>
                <w:sz w:val="20"/>
                <w:szCs w:val="20"/>
              </w:rPr>
              <w:t>2019,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6725">
              <w:rPr>
                <w:rFonts w:ascii="Arial" w:hAnsi="Arial" w:cs="Arial"/>
                <w:sz w:val="20"/>
                <w:szCs w:val="20"/>
              </w:rPr>
              <w:t>Plaintiffs filed a verified complaint in Superior Court, Wake County, seeking a declaration that the 2016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6725">
              <w:rPr>
                <w:rFonts w:ascii="Arial" w:hAnsi="Arial" w:cs="Arial"/>
                <w:sz w:val="20"/>
                <w:szCs w:val="20"/>
              </w:rPr>
              <w:t>congressional districts violate the rights of Plaintiffs and all Democratic voters in North Carolina under the North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6725">
              <w:rPr>
                <w:rFonts w:ascii="Arial" w:hAnsi="Arial" w:cs="Arial"/>
                <w:sz w:val="20"/>
                <w:szCs w:val="20"/>
              </w:rPr>
              <w:t>Carolina Constitution's Free Elections Clause, Art. I, § 10; Equal Protection Clause, Art. I, § 19; and Freedom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6725">
              <w:rPr>
                <w:rFonts w:ascii="Arial" w:hAnsi="Arial" w:cs="Arial"/>
                <w:sz w:val="20"/>
                <w:szCs w:val="20"/>
              </w:rPr>
              <w:t xml:space="preserve">Speech and Freedom of Assembly Clauses, Art. I, §§ 12 &amp; 14. </w:t>
            </w:r>
          </w:p>
          <w:p w14:paraId="3CAE60A1" w14:textId="56B4644E" w:rsidR="00B06725" w:rsidRDefault="00B06725" w:rsidP="00B0672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06725">
              <w:rPr>
                <w:rFonts w:ascii="Arial" w:hAnsi="Arial" w:cs="Arial"/>
                <w:sz w:val="20"/>
                <w:szCs w:val="20"/>
              </w:rPr>
              <w:t xml:space="preserve">Plaintiffs </w:t>
            </w:r>
            <w:r w:rsidR="002C5D43">
              <w:rPr>
                <w:rFonts w:ascii="Arial" w:hAnsi="Arial" w:cs="Arial"/>
                <w:sz w:val="20"/>
                <w:szCs w:val="20"/>
              </w:rPr>
              <w:t>sought</w:t>
            </w:r>
            <w:r w:rsidRPr="00B06725">
              <w:rPr>
                <w:rFonts w:ascii="Arial" w:hAnsi="Arial" w:cs="Arial"/>
                <w:sz w:val="20"/>
                <w:szCs w:val="20"/>
              </w:rPr>
              <w:t xml:space="preserve"> to enjoin the future use of the 2016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6725">
              <w:rPr>
                <w:rFonts w:ascii="Arial" w:hAnsi="Arial" w:cs="Arial"/>
                <w:sz w:val="20"/>
                <w:szCs w:val="20"/>
              </w:rPr>
              <w:t xml:space="preserve">congressional districts. </w:t>
            </w:r>
          </w:p>
          <w:p w14:paraId="50F2A585" w14:textId="343190C8" w:rsidR="00ED671F" w:rsidRDefault="00B06725" w:rsidP="00B06725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06725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9/</w:t>
            </w:r>
            <w:r w:rsidRPr="00B06725">
              <w:rPr>
                <w:rFonts w:ascii="Arial" w:hAnsi="Arial" w:cs="Arial"/>
                <w:sz w:val="20"/>
                <w:szCs w:val="20"/>
              </w:rPr>
              <w:t>30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B06725">
              <w:rPr>
                <w:rFonts w:ascii="Arial" w:hAnsi="Arial" w:cs="Arial"/>
                <w:sz w:val="20"/>
                <w:szCs w:val="20"/>
              </w:rPr>
              <w:t>2019, this action was assigned to the panel by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6725">
              <w:rPr>
                <w:rFonts w:ascii="Arial" w:hAnsi="Arial" w:cs="Arial"/>
                <w:sz w:val="20"/>
                <w:szCs w:val="20"/>
              </w:rPr>
              <w:t>Chief Justice of the Supreme Court of North Carolina.</w:t>
            </w:r>
          </w:p>
          <w:p w14:paraId="054D80EC" w14:textId="77777777" w:rsidR="00381E4E" w:rsidRDefault="00CC4409" w:rsidP="00CC440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C4409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9/3</w:t>
            </w:r>
            <w:r w:rsidRPr="00CC440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CC4409">
              <w:rPr>
                <w:rFonts w:ascii="Arial" w:hAnsi="Arial" w:cs="Arial"/>
                <w:sz w:val="20"/>
                <w:szCs w:val="20"/>
              </w:rPr>
              <w:t>2019, Plaintiffs filed a motion for a preliminary injunction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E738599" w14:textId="6123755E" w:rsidR="000661F8" w:rsidRDefault="000661F8" w:rsidP="000661F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661F8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10/14/</w:t>
            </w:r>
            <w:r w:rsidRPr="000661F8">
              <w:rPr>
                <w:rFonts w:ascii="Arial" w:hAnsi="Arial" w:cs="Arial"/>
                <w:sz w:val="20"/>
                <w:szCs w:val="20"/>
              </w:rPr>
              <w:t>2019,</w:t>
            </w:r>
            <w:r w:rsidR="009B6428">
              <w:rPr>
                <w:rFonts w:ascii="Arial" w:hAnsi="Arial" w:cs="Arial"/>
                <w:sz w:val="20"/>
                <w:szCs w:val="20"/>
              </w:rPr>
              <w:t xml:space="preserve"> the Legislative</w:t>
            </w:r>
            <w:r w:rsidRPr="000661F8">
              <w:rPr>
                <w:rFonts w:ascii="Arial" w:hAnsi="Arial" w:cs="Arial"/>
                <w:sz w:val="20"/>
                <w:szCs w:val="20"/>
              </w:rPr>
              <w:t xml:space="preserve"> Defendants </w:t>
            </w:r>
            <w:r>
              <w:rPr>
                <w:rFonts w:ascii="Arial" w:hAnsi="Arial" w:cs="Arial"/>
                <w:sz w:val="20"/>
                <w:szCs w:val="20"/>
              </w:rPr>
              <w:t xml:space="preserve">attempted to </w:t>
            </w:r>
            <w:r w:rsidRPr="000661F8">
              <w:rPr>
                <w:rFonts w:ascii="Arial" w:hAnsi="Arial" w:cs="Arial"/>
                <w:sz w:val="20"/>
                <w:szCs w:val="20"/>
              </w:rPr>
              <w:t>remove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61F8">
              <w:rPr>
                <w:rFonts w:ascii="Arial" w:hAnsi="Arial" w:cs="Arial"/>
                <w:sz w:val="20"/>
                <w:szCs w:val="20"/>
              </w:rPr>
              <w:t>this case to the United States District Court for the Eastern District of North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661F8">
              <w:rPr>
                <w:rFonts w:ascii="Arial" w:hAnsi="Arial" w:cs="Arial"/>
                <w:sz w:val="20"/>
                <w:szCs w:val="20"/>
              </w:rPr>
              <w:t>Carolina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50A5F">
              <w:rPr>
                <w:rFonts w:ascii="Arial" w:hAnsi="Arial" w:cs="Arial"/>
                <w:sz w:val="20"/>
                <w:szCs w:val="20"/>
              </w:rPr>
              <w:t xml:space="preserve">and on 10/22/2019, the </w:t>
            </w:r>
            <w:r w:rsidR="00950A5F" w:rsidRPr="00950A5F">
              <w:rPr>
                <w:rFonts w:ascii="Arial" w:hAnsi="Arial" w:cs="Arial"/>
                <w:sz w:val="20"/>
                <w:szCs w:val="20"/>
              </w:rPr>
              <w:t xml:space="preserve">federal court remanded </w:t>
            </w:r>
            <w:r w:rsidR="00D57E10">
              <w:rPr>
                <w:rFonts w:ascii="Arial" w:hAnsi="Arial" w:cs="Arial"/>
                <w:sz w:val="20"/>
                <w:szCs w:val="20"/>
              </w:rPr>
              <w:t>the</w:t>
            </w:r>
            <w:r w:rsidR="00950A5F" w:rsidRPr="00950A5F">
              <w:rPr>
                <w:rFonts w:ascii="Arial" w:hAnsi="Arial" w:cs="Arial"/>
                <w:sz w:val="20"/>
                <w:szCs w:val="20"/>
              </w:rPr>
              <w:t xml:space="preserve"> case </w:t>
            </w:r>
            <w:r w:rsidR="00DC7200">
              <w:rPr>
                <w:rFonts w:ascii="Arial" w:hAnsi="Arial" w:cs="Arial"/>
                <w:sz w:val="20"/>
                <w:szCs w:val="20"/>
              </w:rPr>
              <w:t xml:space="preserve">back </w:t>
            </w:r>
            <w:r w:rsidR="00950A5F" w:rsidRPr="00950A5F">
              <w:rPr>
                <w:rFonts w:ascii="Arial" w:hAnsi="Arial" w:cs="Arial"/>
                <w:sz w:val="20"/>
                <w:szCs w:val="20"/>
              </w:rPr>
              <w:t>to state court</w:t>
            </w:r>
            <w:r w:rsidR="00950A5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2F0A76C" w14:textId="3526C32E" w:rsidR="00950A5F" w:rsidRPr="00044059" w:rsidRDefault="00044059" w:rsidP="0004405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044059">
              <w:rPr>
                <w:rFonts w:ascii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hAnsi="Arial" w:cs="Arial"/>
                <w:sz w:val="20"/>
                <w:szCs w:val="20"/>
              </w:rPr>
              <w:t>10/</w:t>
            </w:r>
            <w:r w:rsidRPr="00044059">
              <w:rPr>
                <w:rFonts w:ascii="Arial" w:hAnsi="Arial" w:cs="Arial"/>
                <w:sz w:val="20"/>
                <w:szCs w:val="20"/>
              </w:rPr>
              <w:t>24</w:t>
            </w:r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044059">
              <w:rPr>
                <w:rFonts w:ascii="Arial" w:hAnsi="Arial" w:cs="Arial"/>
                <w:sz w:val="20"/>
                <w:szCs w:val="20"/>
              </w:rPr>
              <w:t xml:space="preserve">2019, </w:t>
            </w:r>
            <w:r>
              <w:rPr>
                <w:rFonts w:ascii="Arial" w:hAnsi="Arial" w:cs="Arial"/>
                <w:sz w:val="20"/>
                <w:szCs w:val="20"/>
              </w:rPr>
              <w:t>the Court heard argument and</w:t>
            </w:r>
            <w:r w:rsidRPr="00044059">
              <w:rPr>
                <w:rFonts w:ascii="Arial" w:hAnsi="Arial" w:cs="Arial"/>
                <w:sz w:val="20"/>
                <w:szCs w:val="20"/>
              </w:rPr>
              <w:t xml:space="preserve"> granted the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4059">
              <w:rPr>
                <w:rFonts w:ascii="Arial" w:hAnsi="Arial" w:cs="Arial"/>
                <w:sz w:val="20"/>
                <w:szCs w:val="20"/>
              </w:rPr>
              <w:t>Representatives ("Intervenor-Defendants") permissive intervention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ED671F" w:rsidRPr="00D73B91" w14:paraId="37413AE7" w14:textId="77777777" w:rsidTr="002D4A82">
        <w:trPr>
          <w:trHeight w:val="1863"/>
        </w:trPr>
        <w:tc>
          <w:tcPr>
            <w:tcW w:w="1998" w:type="dxa"/>
          </w:tcPr>
          <w:p w14:paraId="4AEA63B6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002A5D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Disposition </w:t>
            </w:r>
          </w:p>
        </w:tc>
        <w:tc>
          <w:tcPr>
            <w:tcW w:w="7470" w:type="dxa"/>
          </w:tcPr>
          <w:p w14:paraId="2A66052F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0F4C003A" w14:textId="409C9E36" w:rsidR="004D2197" w:rsidRDefault="002762CC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Plaintiffs’ motion for preliminary injunction was granted.  </w:t>
            </w:r>
          </w:p>
          <w:p w14:paraId="536E555B" w14:textId="23BBCD01" w:rsidR="002762CC" w:rsidRPr="002762CC" w:rsidRDefault="002762CC" w:rsidP="002762CC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Legislative Defendants were </w:t>
            </w:r>
            <w:r w:rsidRPr="002762CC">
              <w:rPr>
                <w:rFonts w:ascii="Arial" w:hAnsi="Arial" w:cs="Arial"/>
                <w:sz w:val="20"/>
                <w:szCs w:val="20"/>
              </w:rPr>
              <w:t>enjoined from preparing for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62CC">
              <w:rPr>
                <w:rFonts w:ascii="Arial" w:hAnsi="Arial" w:cs="Arial"/>
                <w:sz w:val="20"/>
                <w:szCs w:val="20"/>
              </w:rPr>
              <w:t>administering the 2020 primary and general elections for congressional districts under the 2016 congressional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62CC">
              <w:rPr>
                <w:rFonts w:ascii="Arial" w:hAnsi="Arial" w:cs="Arial"/>
                <w:sz w:val="20"/>
                <w:szCs w:val="20"/>
              </w:rPr>
              <w:t>districts established by S.L. 2016-1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6E195EC" w14:textId="7F8CFAED" w:rsidR="00ED671F" w:rsidRPr="00205D1D" w:rsidRDefault="004D2197" w:rsidP="00205D1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5E5736">
              <w:rPr>
                <w:rFonts w:ascii="Arial" w:hAnsi="Arial" w:cs="Arial"/>
                <w:iCs/>
                <w:sz w:val="20"/>
                <w:szCs w:val="20"/>
              </w:rPr>
              <w:t xml:space="preserve">(Note: 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 xml:space="preserve">On 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>12/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>2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>/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 xml:space="preserve">2019, the 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>Superior Court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 xml:space="preserve"> lifted </w:t>
            </w:r>
            <w:r w:rsidR="00CA196F" w:rsidRPr="005E5736">
              <w:rPr>
                <w:rFonts w:ascii="Arial" w:hAnsi="Arial" w:cs="Arial"/>
                <w:iCs/>
                <w:sz w:val="20"/>
                <w:szCs w:val="20"/>
              </w:rPr>
              <w:t>its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 xml:space="preserve"> prior preliminary injunction</w:t>
            </w:r>
            <w:r w:rsidR="007776DD" w:rsidRPr="005E5736">
              <w:rPr>
                <w:rFonts w:ascii="Arial" w:hAnsi="Arial" w:cs="Arial"/>
                <w:iCs/>
                <w:sz w:val="20"/>
                <w:szCs w:val="20"/>
              </w:rPr>
              <w:t xml:space="preserve"> after the General Assembly created a new </w:t>
            </w:r>
            <w:r w:rsidR="005E5736" w:rsidRPr="005E5736">
              <w:rPr>
                <w:rFonts w:ascii="Arial" w:hAnsi="Arial" w:cs="Arial"/>
                <w:iCs/>
                <w:sz w:val="20"/>
                <w:szCs w:val="20"/>
              </w:rPr>
              <w:t xml:space="preserve">congressional </w:t>
            </w:r>
            <w:r w:rsidR="007776DD" w:rsidRPr="005E5736">
              <w:rPr>
                <w:rFonts w:ascii="Arial" w:hAnsi="Arial" w:cs="Arial"/>
                <w:iCs/>
                <w:sz w:val="20"/>
                <w:szCs w:val="20"/>
              </w:rPr>
              <w:t>plan</w:t>
            </w:r>
            <w:r w:rsidR="007741FC" w:rsidRPr="005E5736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205D1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205D1D" w:rsidRPr="00205D1D">
              <w:rPr>
                <w:rFonts w:ascii="Arial" w:hAnsi="Arial" w:cs="Arial"/>
                <w:iCs/>
                <w:sz w:val="20"/>
                <w:szCs w:val="20"/>
              </w:rPr>
              <w:t>S.L.</w:t>
            </w:r>
            <w:r w:rsidR="00205D1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205D1D" w:rsidRPr="00205D1D">
              <w:rPr>
                <w:rFonts w:ascii="Arial" w:hAnsi="Arial" w:cs="Arial"/>
                <w:iCs/>
                <w:sz w:val="20"/>
                <w:szCs w:val="20"/>
              </w:rPr>
              <w:t>2019-249</w:t>
            </w:r>
            <w:r w:rsidR="00205D1D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205D1D" w:rsidRPr="00205D1D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7741FC" w:rsidRPr="00205D1D">
              <w:rPr>
                <w:rFonts w:ascii="Arial" w:hAnsi="Arial" w:cs="Arial"/>
                <w:iCs/>
                <w:sz w:val="20"/>
                <w:szCs w:val="20"/>
              </w:rPr>
              <w:t>allowing the 2020 congressional election to proceed.</w:t>
            </w:r>
            <w:r w:rsidRPr="00205D1D">
              <w:rPr>
                <w:rFonts w:ascii="Arial" w:hAnsi="Arial" w:cs="Arial"/>
                <w:iCs/>
                <w:sz w:val="20"/>
                <w:szCs w:val="20"/>
              </w:rPr>
              <w:t>)</w:t>
            </w:r>
            <w:r w:rsidRPr="005E5736">
              <w:rPr>
                <w:rStyle w:val="FootnoteReference"/>
                <w:rFonts w:ascii="Arial" w:hAnsi="Arial" w:cs="Arial"/>
                <w:iCs/>
                <w:sz w:val="20"/>
                <w:szCs w:val="20"/>
              </w:rPr>
              <w:footnoteReference w:id="2"/>
            </w:r>
          </w:p>
        </w:tc>
      </w:tr>
      <w:tr w:rsidR="00ED671F" w:rsidRPr="00D73B91" w14:paraId="0AA16A26" w14:textId="77777777" w:rsidTr="006D3CC5">
        <w:trPr>
          <w:trHeight w:val="720"/>
        </w:trPr>
        <w:tc>
          <w:tcPr>
            <w:tcW w:w="1998" w:type="dxa"/>
          </w:tcPr>
          <w:p w14:paraId="5C7D8449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48D297" w14:textId="77777777" w:rsidR="00ED671F" w:rsidRPr="00D73B91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D73B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Facts </w:t>
            </w:r>
          </w:p>
        </w:tc>
        <w:tc>
          <w:tcPr>
            <w:tcW w:w="7470" w:type="dxa"/>
          </w:tcPr>
          <w:p w14:paraId="42C3BE2D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65B91398" w14:textId="77777777" w:rsidR="00ED671F" w:rsidRDefault="00F92D41" w:rsidP="00F92D41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92D41">
              <w:rPr>
                <w:rFonts w:ascii="Arial" w:hAnsi="Arial" w:cs="Arial"/>
                <w:sz w:val="20"/>
                <w:szCs w:val="20"/>
              </w:rPr>
              <w:t xml:space="preserve">On </w:t>
            </w:r>
            <w:r>
              <w:rPr>
                <w:rFonts w:ascii="Arial" w:hAnsi="Arial" w:cs="Arial"/>
                <w:sz w:val="20"/>
                <w:szCs w:val="20"/>
              </w:rPr>
              <w:t>2/19/</w:t>
            </w:r>
            <w:r w:rsidRPr="00F92D41">
              <w:rPr>
                <w:rFonts w:ascii="Arial" w:hAnsi="Arial" w:cs="Arial"/>
                <w:sz w:val="20"/>
                <w:szCs w:val="20"/>
              </w:rPr>
              <w:t>2016, the current North Carolina congressional districts (hereinafter "2016 congressional districts")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2D41">
              <w:rPr>
                <w:rFonts w:ascii="Arial" w:hAnsi="Arial" w:cs="Arial"/>
                <w:sz w:val="20"/>
                <w:szCs w:val="20"/>
              </w:rPr>
              <w:t>were established by an act of the General Assembly, S.L. 2016-1, as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92D41">
              <w:rPr>
                <w:rFonts w:ascii="Arial" w:hAnsi="Arial" w:cs="Arial"/>
                <w:sz w:val="20"/>
                <w:szCs w:val="20"/>
              </w:rPr>
              <w:t>result of litigation in federal court over the congressional districts originally drawn in 2011.</w:t>
            </w:r>
          </w:p>
          <w:p w14:paraId="6A639D96" w14:textId="7E037554" w:rsidR="006D3CC5" w:rsidRPr="00F92D41" w:rsidRDefault="006D3CC5" w:rsidP="006D3CC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165E79B3" w14:textId="77777777" w:rsidTr="009A6F30">
        <w:trPr>
          <w:trHeight w:val="891"/>
        </w:trPr>
        <w:tc>
          <w:tcPr>
            <w:tcW w:w="1998" w:type="dxa"/>
            <w:tcBorders>
              <w:left w:val="nil"/>
            </w:tcBorders>
          </w:tcPr>
          <w:p w14:paraId="6D71E16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Issue(s) or </w:t>
            </w:r>
          </w:p>
          <w:p w14:paraId="44E250EA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Question(s) </w:t>
            </w:r>
          </w:p>
          <w:p w14:paraId="394708EF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Presented </w:t>
            </w:r>
          </w:p>
        </w:tc>
        <w:tc>
          <w:tcPr>
            <w:tcW w:w="7470" w:type="dxa"/>
            <w:tcBorders>
              <w:right w:val="nil"/>
            </w:tcBorders>
          </w:tcPr>
          <w:p w14:paraId="752E9030" w14:textId="0DF2DEBE" w:rsidR="00ED671F" w:rsidRPr="008D467C" w:rsidRDefault="000D57C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Plaintiffs</w:t>
            </w:r>
            <w:r w:rsidR="005220AF">
              <w:rPr>
                <w:rFonts w:ascii="Arial" w:hAnsi="Arial" w:cs="Arial"/>
                <w:sz w:val="20"/>
                <w:szCs w:val="20"/>
              </w:rPr>
              <w:t xml:space="preserve">’ motion for preliminary injunction is </w:t>
            </w:r>
            <w:r w:rsidR="00F6448B">
              <w:rPr>
                <w:rFonts w:ascii="Arial" w:hAnsi="Arial" w:cs="Arial"/>
                <w:sz w:val="20"/>
                <w:szCs w:val="20"/>
              </w:rPr>
              <w:t>warrante</w:t>
            </w:r>
            <w:r w:rsidR="00A32793">
              <w:rPr>
                <w:rFonts w:ascii="Arial" w:hAnsi="Arial" w:cs="Arial"/>
                <w:sz w:val="20"/>
                <w:szCs w:val="20"/>
              </w:rPr>
              <w:t>d</w:t>
            </w:r>
            <w:r w:rsidR="00A32793" w:rsidRPr="00A32793">
              <w:rPr>
                <w:rFonts w:ascii="Arial" w:hAnsi="Arial" w:cs="Arial"/>
                <w:sz w:val="20"/>
                <w:szCs w:val="20"/>
              </w:rPr>
              <w:t xml:space="preserve"> in regard to the 2016 congressional districts</w:t>
            </w:r>
            <w:r w:rsidR="00F64DA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671F" w:rsidRPr="008D467C" w14:paraId="36271834" w14:textId="77777777" w:rsidTr="00A10326">
        <w:trPr>
          <w:trHeight w:val="2070"/>
        </w:trPr>
        <w:tc>
          <w:tcPr>
            <w:tcW w:w="1998" w:type="dxa"/>
            <w:tcBorders>
              <w:left w:val="nil"/>
            </w:tcBorders>
          </w:tcPr>
          <w:p w14:paraId="416F900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The Rule(s) </w:t>
            </w:r>
          </w:p>
        </w:tc>
        <w:tc>
          <w:tcPr>
            <w:tcW w:w="7470" w:type="dxa"/>
            <w:tcBorders>
              <w:right w:val="nil"/>
            </w:tcBorders>
          </w:tcPr>
          <w:p w14:paraId="3B792912" w14:textId="4949BC03" w:rsidR="007E34EC" w:rsidRDefault="007E34EC" w:rsidP="007E34EC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7E34EC">
              <w:rPr>
                <w:rFonts w:ascii="Arial" w:hAnsi="Arial" w:cs="Arial"/>
                <w:sz w:val="20"/>
                <w:szCs w:val="20"/>
              </w:rPr>
              <w:t>Declaration of Rights,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359A">
              <w:rPr>
                <w:rFonts w:ascii="Arial" w:hAnsi="Arial" w:cs="Arial"/>
                <w:smallCaps/>
                <w:sz w:val="20"/>
                <w:szCs w:val="20"/>
              </w:rPr>
              <w:t>N</w:t>
            </w:r>
            <w:r w:rsidRPr="00B6359A">
              <w:rPr>
                <w:rFonts w:ascii="Arial" w:hAnsi="Arial" w:cs="Arial"/>
                <w:smallCaps/>
                <w:sz w:val="20"/>
                <w:szCs w:val="20"/>
              </w:rPr>
              <w:t>.C. Const.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E34EC">
              <w:rPr>
                <w:rFonts w:ascii="Arial" w:hAnsi="Arial" w:cs="Arial"/>
                <w:sz w:val="20"/>
                <w:szCs w:val="20"/>
              </w:rPr>
              <w:t>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I, § 10</w:t>
            </w:r>
            <w:r w:rsidR="00385763">
              <w:rPr>
                <w:rFonts w:ascii="Arial" w:hAnsi="Arial" w:cs="Arial"/>
                <w:sz w:val="20"/>
                <w:szCs w:val="20"/>
              </w:rPr>
              <w:t xml:space="preserve"> (Free Elections Clause).</w:t>
            </w:r>
          </w:p>
          <w:p w14:paraId="21AF7236" w14:textId="3AA99621" w:rsidR="000E1B6F" w:rsidRPr="00EB473A" w:rsidRDefault="007E34EC" w:rsidP="00EB473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7E34EC">
              <w:rPr>
                <w:rFonts w:ascii="Arial" w:hAnsi="Arial" w:cs="Arial"/>
                <w:sz w:val="20"/>
                <w:szCs w:val="20"/>
              </w:rPr>
              <w:t>eclares that "[a]ll elections shall be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E34EC">
              <w:rPr>
                <w:rFonts w:ascii="Arial" w:hAnsi="Arial" w:cs="Arial"/>
                <w:sz w:val="20"/>
                <w:szCs w:val="20"/>
              </w:rPr>
              <w:t>free."</w:t>
            </w:r>
          </w:p>
          <w:p w14:paraId="5C302A41" w14:textId="77777777" w:rsidR="00CE7549" w:rsidRDefault="00B30A40" w:rsidP="00B30A4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B30A40">
              <w:rPr>
                <w:rFonts w:ascii="Arial" w:hAnsi="Arial" w:cs="Arial"/>
                <w:sz w:val="20"/>
                <w:szCs w:val="20"/>
              </w:rPr>
              <w:t>he meaning of the Free Elections Clause is that elections must be conducted freely and honestly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A40">
              <w:rPr>
                <w:rFonts w:ascii="Arial" w:hAnsi="Arial" w:cs="Arial"/>
                <w:sz w:val="20"/>
                <w:szCs w:val="20"/>
              </w:rPr>
              <w:t xml:space="preserve">ascertain, fairly and truthfully, the will of the people. </w:t>
            </w:r>
          </w:p>
          <w:p w14:paraId="752DDB9A" w14:textId="08E107AC" w:rsidR="00385763" w:rsidRDefault="00B30A40" w:rsidP="00CE7549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30A40">
              <w:rPr>
                <w:rFonts w:ascii="Arial" w:hAnsi="Arial" w:cs="Arial"/>
                <w:sz w:val="20"/>
                <w:szCs w:val="20"/>
              </w:rPr>
              <w:t>In contrast, extreme partisan gerrymandering—namely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A40">
              <w:rPr>
                <w:rFonts w:ascii="Arial" w:hAnsi="Arial" w:cs="Arial"/>
                <w:sz w:val="20"/>
                <w:szCs w:val="20"/>
              </w:rPr>
              <w:t>redistricting plans that entrench politicians in power, that evince a fundamental distrust of voters by serving the self</w:t>
            </w:r>
            <w:r>
              <w:rPr>
                <w:rFonts w:ascii="Arial" w:hAnsi="Arial" w:cs="Arial"/>
                <w:sz w:val="20"/>
                <w:szCs w:val="20"/>
              </w:rPr>
              <w:t>-i</w:t>
            </w:r>
            <w:r w:rsidRPr="00B30A40">
              <w:rPr>
                <w:rFonts w:ascii="Arial" w:hAnsi="Arial" w:cs="Arial"/>
                <w:sz w:val="20"/>
                <w:szCs w:val="20"/>
              </w:rPr>
              <w:t>nterest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A40">
              <w:rPr>
                <w:rFonts w:ascii="Arial" w:hAnsi="Arial" w:cs="Arial"/>
                <w:sz w:val="20"/>
                <w:szCs w:val="20"/>
              </w:rPr>
              <w:t>of political parties over the public good, and that dilute and devalue votes of some citizens compared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A40">
              <w:rPr>
                <w:rFonts w:ascii="Arial" w:hAnsi="Arial" w:cs="Arial"/>
                <w:sz w:val="20"/>
                <w:szCs w:val="20"/>
              </w:rPr>
              <w:t xml:space="preserve">others—is contrary to the fundamental right of </w:t>
            </w:r>
            <w:r w:rsidR="008E55F4">
              <w:rPr>
                <w:rFonts w:ascii="Arial" w:hAnsi="Arial" w:cs="Arial"/>
                <w:sz w:val="20"/>
                <w:szCs w:val="20"/>
              </w:rPr>
              <w:t>NC</w:t>
            </w:r>
            <w:r w:rsidRPr="00B30A40">
              <w:rPr>
                <w:rFonts w:ascii="Arial" w:hAnsi="Arial" w:cs="Arial"/>
                <w:sz w:val="20"/>
                <w:szCs w:val="20"/>
              </w:rPr>
              <w:t xml:space="preserve"> citizens to have elections conducted freely and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0A40">
              <w:rPr>
                <w:rFonts w:ascii="Arial" w:hAnsi="Arial" w:cs="Arial"/>
                <w:sz w:val="20"/>
                <w:szCs w:val="20"/>
              </w:rPr>
              <w:t>honestly to ascertain, fairly and truthfully, the will of the people.</w:t>
            </w:r>
          </w:p>
          <w:p w14:paraId="46814057" w14:textId="7AAEF930" w:rsidR="007C5A79" w:rsidRDefault="007C5A79" w:rsidP="007C5A79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359A">
              <w:rPr>
                <w:rFonts w:ascii="Arial" w:hAnsi="Arial" w:cs="Arial"/>
                <w:smallCaps/>
                <w:sz w:val="20"/>
                <w:szCs w:val="20"/>
              </w:rPr>
              <w:t>N.C. Const.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E34EC">
              <w:rPr>
                <w:rFonts w:ascii="Arial" w:hAnsi="Arial" w:cs="Arial"/>
                <w:sz w:val="20"/>
                <w:szCs w:val="20"/>
              </w:rPr>
              <w:t>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I, § 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4E2FDA">
              <w:rPr>
                <w:rFonts w:ascii="Arial" w:hAnsi="Arial" w:cs="Arial"/>
                <w:sz w:val="20"/>
                <w:szCs w:val="20"/>
              </w:rPr>
              <w:t>Equal Protection Clause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259A98EE" w14:textId="2A4636F5" w:rsidR="00430D32" w:rsidRDefault="00845C24" w:rsidP="00845C24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845C24">
              <w:rPr>
                <w:rFonts w:ascii="Arial" w:hAnsi="Arial" w:cs="Arial"/>
                <w:sz w:val="20"/>
                <w:szCs w:val="20"/>
              </w:rPr>
              <w:t>uarantees to all North Carolinians that "[n]o person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5C24">
              <w:rPr>
                <w:rFonts w:ascii="Arial" w:hAnsi="Arial" w:cs="Arial"/>
                <w:sz w:val="20"/>
                <w:szCs w:val="20"/>
              </w:rPr>
              <w:t>shall be denied the equal protection of the laws."</w:t>
            </w:r>
          </w:p>
          <w:p w14:paraId="62B716F0" w14:textId="3834A078" w:rsidR="00845C24" w:rsidRDefault="00E724F4" w:rsidP="007A0A5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E724F4">
              <w:rPr>
                <w:rFonts w:ascii="Arial" w:hAnsi="Arial" w:cs="Arial"/>
                <w:sz w:val="20"/>
                <w:szCs w:val="20"/>
              </w:rPr>
              <w:t>N</w:t>
            </w:r>
            <w:r w:rsidR="007A0A55">
              <w:rPr>
                <w:rFonts w:ascii="Arial" w:hAnsi="Arial" w:cs="Arial"/>
                <w:sz w:val="20"/>
                <w:szCs w:val="20"/>
              </w:rPr>
              <w:t xml:space="preserve">C’s </w:t>
            </w:r>
            <w:r w:rsidRPr="007A0A55">
              <w:rPr>
                <w:rFonts w:ascii="Arial" w:hAnsi="Arial" w:cs="Arial"/>
                <w:sz w:val="20"/>
                <w:szCs w:val="20"/>
              </w:rPr>
              <w:t>Equal Protection Clause protects "the fundamental right of each North Carolinian to substantially equal</w:t>
            </w:r>
            <w:r w:rsidR="007A0A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A0A55">
              <w:rPr>
                <w:rFonts w:ascii="Arial" w:hAnsi="Arial" w:cs="Arial"/>
                <w:sz w:val="20"/>
                <w:szCs w:val="20"/>
              </w:rPr>
              <w:t>voting power."</w:t>
            </w:r>
            <w:r w:rsidRPr="007A0A5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7A0A55">
              <w:rPr>
                <w:rFonts w:ascii="Arial" w:hAnsi="Arial" w:cs="Arial"/>
                <w:i/>
                <w:iCs/>
                <w:sz w:val="20"/>
                <w:szCs w:val="20"/>
              </w:rPr>
              <w:t>Stephenson v. Bartlett</w:t>
            </w:r>
            <w:r w:rsidRPr="007A0A5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5FCEDB7" w14:textId="7B4A764F" w:rsidR="00215706" w:rsidRDefault="00215706" w:rsidP="0021570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15706">
              <w:rPr>
                <w:rFonts w:ascii="Arial" w:hAnsi="Arial" w:cs="Arial"/>
                <w:sz w:val="20"/>
                <w:szCs w:val="20"/>
              </w:rPr>
              <w:t xml:space="preserve">Although the </w:t>
            </w:r>
            <w:r>
              <w:rPr>
                <w:rFonts w:ascii="Arial" w:hAnsi="Arial" w:cs="Arial"/>
                <w:sz w:val="20"/>
                <w:szCs w:val="20"/>
              </w:rPr>
              <w:t>NC</w:t>
            </w:r>
            <w:r w:rsidRPr="00215706">
              <w:rPr>
                <w:rFonts w:ascii="Arial" w:hAnsi="Arial" w:cs="Arial"/>
                <w:sz w:val="20"/>
                <w:szCs w:val="20"/>
              </w:rPr>
              <w:t xml:space="preserve"> Constitution provides greater protection for voting rights than the federal Equal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5706">
              <w:rPr>
                <w:rFonts w:ascii="Arial" w:hAnsi="Arial" w:cs="Arial"/>
                <w:sz w:val="20"/>
                <w:szCs w:val="20"/>
              </w:rPr>
              <w:t>Protection Clause, our courts use the same test as federal courts in evaluating the constitutionality of challenged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5706">
              <w:rPr>
                <w:rFonts w:ascii="Arial" w:hAnsi="Arial" w:cs="Arial"/>
                <w:sz w:val="20"/>
                <w:szCs w:val="20"/>
              </w:rPr>
              <w:t>classifications under an equal protection analysis.</w:t>
            </w:r>
          </w:p>
          <w:p w14:paraId="72A9A790" w14:textId="20EE148B" w:rsidR="00215706" w:rsidRDefault="00215706" w:rsidP="0021570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Pr="00215706">
              <w:rPr>
                <w:rFonts w:ascii="Arial" w:hAnsi="Arial" w:cs="Arial"/>
                <w:sz w:val="20"/>
                <w:szCs w:val="20"/>
              </w:rPr>
              <w:t>the 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15706">
              <w:rPr>
                <w:rFonts w:ascii="Arial" w:hAnsi="Arial" w:cs="Arial"/>
                <w:sz w:val="20"/>
                <w:szCs w:val="20"/>
              </w:rPr>
              <w:t>challenging a districting plan must prove that state officials' "predominant purpose" in drawing district lines was t</w:t>
            </w: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Pr="00215706">
              <w:rPr>
                <w:rFonts w:ascii="Arial" w:hAnsi="Arial" w:cs="Arial"/>
                <w:sz w:val="20"/>
                <w:szCs w:val="20"/>
              </w:rPr>
              <w:t>"entrench [their party] in power" by diluting the votes of citizens favoring their rival.</w:t>
            </w:r>
          </w:p>
          <w:p w14:paraId="6896CE38" w14:textId="294508ED" w:rsidR="00215706" w:rsidRPr="00563D16" w:rsidRDefault="00215706" w:rsidP="00563D1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="00563D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D16" w:rsidRPr="00563D16">
              <w:rPr>
                <w:rFonts w:ascii="Arial" w:hAnsi="Arial" w:cs="Arial"/>
                <w:sz w:val="20"/>
                <w:szCs w:val="20"/>
              </w:rPr>
              <w:t>the plaintiffs must establish that the lines drawn in fact have the intended effect by "substantially"</w:t>
            </w:r>
            <w:r w:rsidR="00563D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D16" w:rsidRPr="00563D16">
              <w:rPr>
                <w:rFonts w:ascii="Arial" w:hAnsi="Arial" w:cs="Arial"/>
                <w:sz w:val="20"/>
                <w:szCs w:val="20"/>
              </w:rPr>
              <w:t>diluting their votes.</w:t>
            </w:r>
          </w:p>
          <w:p w14:paraId="3541E79C" w14:textId="6367CD85" w:rsidR="00215706" w:rsidRDefault="00215706" w:rsidP="00563D16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563D16" w:rsidRPr="00563D16">
              <w:rPr>
                <w:rFonts w:ascii="Arial" w:hAnsi="Arial" w:cs="Arial"/>
                <w:sz w:val="20"/>
                <w:szCs w:val="20"/>
              </w:rPr>
              <w:t>if the plaintiffs</w:t>
            </w:r>
            <w:r w:rsidR="00563D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D16" w:rsidRPr="00563D16">
              <w:rPr>
                <w:rFonts w:ascii="Arial" w:hAnsi="Arial" w:cs="Arial"/>
                <w:sz w:val="20"/>
                <w:szCs w:val="20"/>
              </w:rPr>
              <w:t>make those showings, the State must provide a legitimate, non-partisan justification (i.e., that the impermissible</w:t>
            </w:r>
            <w:r w:rsidR="00563D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63D16" w:rsidRPr="00563D16">
              <w:rPr>
                <w:rFonts w:ascii="Arial" w:hAnsi="Arial" w:cs="Arial"/>
                <w:sz w:val="20"/>
                <w:szCs w:val="20"/>
              </w:rPr>
              <w:t>intent did not cause the effect) to preserve its map.</w:t>
            </w:r>
          </w:p>
          <w:p w14:paraId="20445AEF" w14:textId="68564AD6" w:rsidR="0000128D" w:rsidRDefault="0000128D" w:rsidP="00A6035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0128D">
              <w:rPr>
                <w:rFonts w:ascii="Arial" w:hAnsi="Arial" w:cs="Arial"/>
                <w:sz w:val="20"/>
                <w:szCs w:val="20"/>
              </w:rPr>
              <w:t>artisan gerrymandering runs afoul of the State's obligation to provide all persons with equal protection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128D">
              <w:rPr>
                <w:rFonts w:ascii="Arial" w:hAnsi="Arial" w:cs="Arial"/>
                <w:sz w:val="20"/>
                <w:szCs w:val="20"/>
              </w:rPr>
              <w:t>of law because, by seeking to diminish the electoral power of supporters of a disfavored party, a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0128D">
              <w:rPr>
                <w:rFonts w:ascii="Arial" w:hAnsi="Arial" w:cs="Arial"/>
                <w:sz w:val="20"/>
                <w:szCs w:val="20"/>
              </w:rPr>
              <w:t>gerrymander treats individuals who support candidates of one political party less favorably than individuals</w:t>
            </w:r>
            <w:r w:rsidR="00A603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60351">
              <w:rPr>
                <w:rFonts w:ascii="Arial" w:hAnsi="Arial" w:cs="Arial"/>
                <w:sz w:val="20"/>
                <w:szCs w:val="20"/>
              </w:rPr>
              <w:t>who support candidates of another party.</w:t>
            </w:r>
          </w:p>
          <w:p w14:paraId="5181EC4D" w14:textId="74B1CDAA" w:rsidR="00C865A8" w:rsidRDefault="00C865A8" w:rsidP="00C865A8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359A">
              <w:rPr>
                <w:rFonts w:ascii="Arial" w:hAnsi="Arial" w:cs="Arial"/>
                <w:smallCaps/>
                <w:sz w:val="20"/>
                <w:szCs w:val="20"/>
              </w:rPr>
              <w:t>N.C. Const.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E34EC">
              <w:rPr>
                <w:rFonts w:ascii="Arial" w:hAnsi="Arial" w:cs="Arial"/>
                <w:sz w:val="20"/>
                <w:szCs w:val="20"/>
              </w:rPr>
              <w:t>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I, § 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731E56">
              <w:rPr>
                <w:rFonts w:ascii="Arial" w:hAnsi="Arial" w:cs="Arial"/>
                <w:sz w:val="20"/>
                <w:szCs w:val="20"/>
              </w:rPr>
              <w:t xml:space="preserve">Freedom of </w:t>
            </w:r>
            <w:r>
              <w:rPr>
                <w:rFonts w:ascii="Arial" w:hAnsi="Arial" w:cs="Arial"/>
                <w:sz w:val="20"/>
                <w:szCs w:val="20"/>
              </w:rPr>
              <w:t>Assembly</w:t>
            </w:r>
            <w:r w:rsidRPr="00731E56">
              <w:rPr>
                <w:rFonts w:ascii="Arial" w:hAnsi="Arial" w:cs="Arial"/>
                <w:sz w:val="20"/>
                <w:szCs w:val="20"/>
              </w:rPr>
              <w:t xml:space="preserve"> Clause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642BE40C" w14:textId="08D4A02B" w:rsidR="00CF5DEF" w:rsidRPr="000460DE" w:rsidRDefault="000460DE" w:rsidP="000460D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0460DE">
              <w:rPr>
                <w:rFonts w:ascii="Arial" w:hAnsi="Arial" w:cs="Arial"/>
                <w:sz w:val="20"/>
                <w:szCs w:val="20"/>
              </w:rPr>
              <w:t>rovides, in relevant part, that "[t]he people have a right to assemble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60DE">
              <w:rPr>
                <w:rFonts w:ascii="Arial" w:hAnsi="Arial" w:cs="Arial"/>
                <w:sz w:val="20"/>
                <w:szCs w:val="20"/>
              </w:rPr>
              <w:t>together to consult for their common good, to instruct their representatives, and to apply to the General Assembly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460DE">
              <w:rPr>
                <w:rFonts w:ascii="Arial" w:hAnsi="Arial" w:cs="Arial"/>
                <w:sz w:val="20"/>
                <w:szCs w:val="20"/>
              </w:rPr>
              <w:t>for redress of grievances."</w:t>
            </w:r>
          </w:p>
          <w:p w14:paraId="72B965F9" w14:textId="6FDE02F8" w:rsidR="00731E56" w:rsidRDefault="00731E56" w:rsidP="00731E5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B6359A">
              <w:rPr>
                <w:rFonts w:ascii="Arial" w:hAnsi="Arial" w:cs="Arial"/>
                <w:smallCaps/>
                <w:sz w:val="20"/>
                <w:szCs w:val="20"/>
              </w:rPr>
              <w:t>N.C. Const.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7E34EC">
              <w:rPr>
                <w:rFonts w:ascii="Arial" w:hAnsi="Arial" w:cs="Arial"/>
                <w:sz w:val="20"/>
                <w:szCs w:val="20"/>
              </w:rPr>
              <w:t>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E34EC">
              <w:rPr>
                <w:rFonts w:ascii="Arial" w:hAnsi="Arial" w:cs="Arial"/>
                <w:sz w:val="20"/>
                <w:szCs w:val="20"/>
              </w:rPr>
              <w:t xml:space="preserve"> I, § 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731E56">
              <w:rPr>
                <w:rFonts w:ascii="Arial" w:hAnsi="Arial" w:cs="Arial"/>
                <w:sz w:val="20"/>
                <w:szCs w:val="20"/>
              </w:rPr>
              <w:t>Freedom of Speech Clause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0F42DAE0" w14:textId="4759B764" w:rsidR="00731E56" w:rsidRDefault="008E22B1" w:rsidP="008E22B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8E22B1">
              <w:rPr>
                <w:rFonts w:ascii="Arial" w:hAnsi="Arial" w:cs="Arial"/>
                <w:sz w:val="20"/>
                <w:szCs w:val="20"/>
              </w:rPr>
              <w:t>rovides that "[f]reedom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E22B1">
              <w:rPr>
                <w:rFonts w:ascii="Arial" w:hAnsi="Arial" w:cs="Arial"/>
                <w:sz w:val="20"/>
                <w:szCs w:val="20"/>
              </w:rPr>
              <w:t>speech and of the press are two of the great bulwarks of liberty and therefore shall never be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re</w:t>
            </w:r>
            <w:r w:rsidRPr="008E22B1">
              <w:rPr>
                <w:rFonts w:ascii="Arial" w:hAnsi="Arial" w:cs="Arial"/>
                <w:sz w:val="20"/>
                <w:szCs w:val="20"/>
              </w:rPr>
              <w:t>strained."</w:t>
            </w:r>
          </w:p>
          <w:p w14:paraId="57DD4D6B" w14:textId="489FC0FE" w:rsidR="005F4B69" w:rsidRDefault="005F4B69" w:rsidP="005F4B6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F4B69">
              <w:rPr>
                <w:rFonts w:ascii="Arial" w:hAnsi="Arial" w:cs="Arial"/>
                <w:sz w:val="20"/>
                <w:szCs w:val="20"/>
              </w:rPr>
              <w:t>When a legislature engages in extreme partisan gerrymandering, it identifies certain preferred speakers (e.g.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F4B69">
              <w:rPr>
                <w:rFonts w:ascii="Arial" w:hAnsi="Arial" w:cs="Arial"/>
                <w:sz w:val="20"/>
                <w:szCs w:val="20"/>
              </w:rPr>
              <w:t>Republican voters) while targeting certain disfavored speakers (e.g.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5F4B69">
              <w:rPr>
                <w:rFonts w:ascii="Arial" w:hAnsi="Arial" w:cs="Arial"/>
                <w:sz w:val="20"/>
                <w:szCs w:val="20"/>
              </w:rPr>
              <w:t>Democratic voters) because of disagreement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F4B69">
              <w:rPr>
                <w:rFonts w:ascii="Arial" w:hAnsi="Arial" w:cs="Arial"/>
                <w:sz w:val="20"/>
                <w:szCs w:val="20"/>
              </w:rPr>
              <w:t>with the views they express when they vote.</w:t>
            </w:r>
          </w:p>
          <w:p w14:paraId="33BBA518" w14:textId="50CB41C6" w:rsidR="005F4B69" w:rsidRPr="004105DA" w:rsidRDefault="005F4B69" w:rsidP="004105D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5F4B69">
              <w:rPr>
                <w:rFonts w:ascii="Arial" w:hAnsi="Arial" w:cs="Arial"/>
                <w:sz w:val="20"/>
                <w:szCs w:val="20"/>
              </w:rPr>
              <w:t>legislature that engages in extreme partisan gerrymandering burdens the associational rights of disfavored voters to</w:t>
            </w:r>
            <w:r w:rsidR="004105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05DA">
              <w:rPr>
                <w:rFonts w:ascii="Arial" w:hAnsi="Arial" w:cs="Arial"/>
                <w:sz w:val="20"/>
                <w:szCs w:val="20"/>
              </w:rPr>
              <w:t>"instruct their representatives, and to apply to the General Assembly for redress of grievances."</w:t>
            </w:r>
          </w:p>
          <w:p w14:paraId="0F046687" w14:textId="2EE9AE53" w:rsidR="00F04973" w:rsidRDefault="00066EE1" w:rsidP="00F0497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Injunctive Relief Standard</w:t>
            </w:r>
          </w:p>
          <w:p w14:paraId="55D183A9" w14:textId="64C60BC6" w:rsidR="00066EE1" w:rsidRDefault="00AA20EA" w:rsidP="00066EE1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20EA">
              <w:rPr>
                <w:rFonts w:ascii="Arial" w:hAnsi="Arial" w:cs="Arial"/>
                <w:sz w:val="20"/>
                <w:szCs w:val="20"/>
              </w:rPr>
              <w:t>"The purpose of a preliminary injunction is ordinarily to preserve the status quo pending trial on the merits.</w:t>
            </w:r>
          </w:p>
          <w:p w14:paraId="1CBE8A3E" w14:textId="71B1ACC4" w:rsidR="00AA20EA" w:rsidRDefault="00AA20EA" w:rsidP="00AA20E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A20EA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0EA">
              <w:rPr>
                <w:rFonts w:ascii="Arial" w:hAnsi="Arial" w:cs="Arial"/>
                <w:sz w:val="20"/>
                <w:szCs w:val="20"/>
              </w:rPr>
              <w:t>preliminary injunction is an "extraordinary remedy" and will issue "only (1) if a plaintiff is able to show likelihood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0EA">
              <w:rPr>
                <w:rFonts w:ascii="Arial" w:hAnsi="Arial" w:cs="Arial"/>
                <w:sz w:val="20"/>
                <w:szCs w:val="20"/>
              </w:rPr>
              <w:t>success on the merits of his case and (2) if a plaintiff is likely to sustain irreparable loss unless the injunction is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0EA">
              <w:rPr>
                <w:rFonts w:ascii="Arial" w:hAnsi="Arial" w:cs="Arial"/>
                <w:sz w:val="20"/>
                <w:szCs w:val="20"/>
              </w:rPr>
              <w:t>issued, or if, in the opinion of the Court, issuance is necessary for the protection of a plaintiffs rights during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A20EA">
              <w:rPr>
                <w:rFonts w:ascii="Arial" w:hAnsi="Arial" w:cs="Arial"/>
                <w:sz w:val="20"/>
                <w:szCs w:val="20"/>
              </w:rPr>
              <w:t>the course of litigation."</w:t>
            </w:r>
          </w:p>
          <w:p w14:paraId="483DBE2F" w14:textId="02D40A54" w:rsidR="00C929F9" w:rsidRPr="00C929F9" w:rsidRDefault="00C929F9" w:rsidP="00C929F9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929F9">
              <w:rPr>
                <w:rFonts w:ascii="Arial" w:hAnsi="Arial" w:cs="Arial"/>
                <w:sz w:val="20"/>
                <w:szCs w:val="20"/>
              </w:rPr>
              <w:t>When assessing the preliminary injunction factors, 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29F9">
              <w:rPr>
                <w:rFonts w:ascii="Arial" w:hAnsi="Arial" w:cs="Arial"/>
                <w:sz w:val="20"/>
                <w:szCs w:val="20"/>
              </w:rPr>
              <w:t>trial judge "should engage in a balancing process, weighing potential harm to the plaintiff if the injunction is not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29F9">
              <w:rPr>
                <w:rFonts w:ascii="Arial" w:hAnsi="Arial" w:cs="Arial"/>
                <w:sz w:val="20"/>
                <w:szCs w:val="20"/>
              </w:rPr>
              <w:t>issued against the potential harm to the defendant if injunctive relief is granted.</w:t>
            </w:r>
          </w:p>
          <w:p w14:paraId="6FF57219" w14:textId="7B5E8C00" w:rsidR="00F04973" w:rsidRPr="00B30A40" w:rsidRDefault="00F04973" w:rsidP="00F0497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EAC0DAF" w14:textId="77777777" w:rsidTr="000011E4">
        <w:trPr>
          <w:trHeight w:val="450"/>
        </w:trPr>
        <w:tc>
          <w:tcPr>
            <w:tcW w:w="1998" w:type="dxa"/>
            <w:tcBorders>
              <w:left w:val="nil"/>
            </w:tcBorders>
          </w:tcPr>
          <w:p w14:paraId="14D844C1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Holding(s) </w:t>
            </w:r>
          </w:p>
        </w:tc>
        <w:tc>
          <w:tcPr>
            <w:tcW w:w="7470" w:type="dxa"/>
            <w:tcBorders>
              <w:right w:val="nil"/>
            </w:tcBorders>
          </w:tcPr>
          <w:p w14:paraId="66ED1E55" w14:textId="5C91AEF5" w:rsidR="00623832" w:rsidRDefault="00623832" w:rsidP="0008268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</w:t>
            </w:r>
            <w:r w:rsidR="005220AF">
              <w:rPr>
                <w:rFonts w:ascii="Arial" w:hAnsi="Arial" w:cs="Arial"/>
                <w:sz w:val="20"/>
                <w:szCs w:val="20"/>
              </w:rPr>
              <w:t xml:space="preserve">held that </w:t>
            </w:r>
            <w:r w:rsidR="00344ACA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344ACA">
              <w:rPr>
                <w:rFonts w:ascii="Arial" w:hAnsi="Arial" w:cs="Arial"/>
                <w:sz w:val="20"/>
                <w:szCs w:val="20"/>
              </w:rPr>
              <w:t xml:space="preserve">Plaintiffs’ motion for preliminary injunction </w:t>
            </w:r>
            <w:r w:rsidR="006E4AD0">
              <w:rPr>
                <w:rFonts w:ascii="Arial" w:hAnsi="Arial" w:cs="Arial"/>
                <w:sz w:val="20"/>
                <w:szCs w:val="20"/>
              </w:rPr>
              <w:t>was</w:t>
            </w:r>
            <w:r w:rsidR="00344A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0DD8">
              <w:rPr>
                <w:rFonts w:ascii="Arial" w:hAnsi="Arial" w:cs="Arial"/>
                <w:sz w:val="20"/>
                <w:szCs w:val="20"/>
              </w:rPr>
              <w:t>warranted</w:t>
            </w:r>
            <w:r w:rsidR="000B0DD8" w:rsidRPr="00A32793">
              <w:rPr>
                <w:rFonts w:ascii="Arial" w:hAnsi="Arial" w:cs="Arial"/>
                <w:sz w:val="20"/>
                <w:szCs w:val="20"/>
              </w:rPr>
              <w:t xml:space="preserve"> in regard to the 2016 congressional districts</w:t>
            </w:r>
            <w:r w:rsidR="00100F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74FBB">
              <w:rPr>
                <w:rFonts w:ascii="Arial" w:hAnsi="Arial" w:cs="Arial"/>
                <w:sz w:val="20"/>
                <w:szCs w:val="20"/>
              </w:rPr>
              <w:t>because:</w:t>
            </w:r>
          </w:p>
          <w:p w14:paraId="32FDA74D" w14:textId="01834217" w:rsidR="0008268F" w:rsidRPr="00F7253B" w:rsidRDefault="0008268F" w:rsidP="00F54F5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(1) </w:t>
            </w:r>
            <w:r w:rsidRPr="00F7253B">
              <w:rPr>
                <w:rFonts w:ascii="Arial" w:hAnsi="Arial" w:cs="Arial"/>
                <w:sz w:val="20"/>
                <w:szCs w:val="20"/>
              </w:rPr>
              <w:t>Court agrees with Plaintiffs and finds there is a substantial likelihood that Plaintiffs will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253B">
              <w:rPr>
                <w:rFonts w:ascii="Arial" w:hAnsi="Arial" w:cs="Arial"/>
                <w:sz w:val="20"/>
                <w:szCs w:val="20"/>
              </w:rPr>
              <w:t>prevail on the merits of this action by showing beyond a reasonable doubt that the 2016 congressional districts 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253B">
              <w:rPr>
                <w:rFonts w:ascii="Arial" w:hAnsi="Arial" w:cs="Arial"/>
                <w:sz w:val="20"/>
                <w:szCs w:val="20"/>
              </w:rPr>
              <w:t>extreme partisan gerrymanders in violation of the North Carolina Constitution's Free Elections Clause, Art. I, § 10;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253B">
              <w:rPr>
                <w:rFonts w:ascii="Arial" w:hAnsi="Arial" w:cs="Arial"/>
                <w:sz w:val="20"/>
                <w:szCs w:val="20"/>
              </w:rPr>
              <w:t>Equal Protection Clause, Art. I, § 19; and Freedom of Speech and Freedom of Assembly Clauses, Art. I, §§ 12 &amp;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253B">
              <w:rPr>
                <w:rFonts w:ascii="Arial" w:hAnsi="Arial" w:cs="Arial"/>
                <w:sz w:val="20"/>
                <w:szCs w:val="20"/>
              </w:rPr>
              <w:t>14.</w:t>
            </w:r>
          </w:p>
          <w:p w14:paraId="71D9C845" w14:textId="348983E2" w:rsidR="00ED671F" w:rsidRDefault="0008268F" w:rsidP="00F54F5D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(2) </w:t>
            </w:r>
            <w:r w:rsidR="00623832" w:rsidRPr="00623832">
              <w:rPr>
                <w:rFonts w:ascii="Arial" w:hAnsi="Arial" w:cs="Arial"/>
                <w:sz w:val="20"/>
                <w:szCs w:val="20"/>
              </w:rPr>
              <w:t>The loss to Plaintiffs' fundamental rights guaranteed by the North Carolina Constitution will undoubtedly b</w:t>
            </w:r>
            <w:r w:rsidR="00623832">
              <w:rPr>
                <w:rFonts w:ascii="Arial" w:hAnsi="Arial" w:cs="Arial"/>
                <w:sz w:val="20"/>
                <w:szCs w:val="20"/>
              </w:rPr>
              <w:t xml:space="preserve">e </w:t>
            </w:r>
            <w:r w:rsidR="00623832" w:rsidRPr="00623832">
              <w:rPr>
                <w:rFonts w:ascii="Arial" w:hAnsi="Arial" w:cs="Arial"/>
                <w:sz w:val="20"/>
                <w:szCs w:val="20"/>
              </w:rPr>
              <w:t>irreparable if congressional elections are allowed to proceed under the 2016 congressional districts.</w:t>
            </w:r>
          </w:p>
          <w:p w14:paraId="47D26CFD" w14:textId="64D8C985" w:rsidR="009B086C" w:rsidRPr="007766B2" w:rsidRDefault="00D53D31" w:rsidP="007766B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</w:t>
            </w:r>
            <w:r w:rsidR="000F524E">
              <w:rPr>
                <w:rFonts w:ascii="Arial" w:hAnsi="Arial" w:cs="Arial"/>
                <w:sz w:val="20"/>
                <w:szCs w:val="20"/>
              </w:rPr>
              <w:t xml:space="preserve">The risk </w:t>
            </w:r>
            <w:r w:rsidR="00814DE4">
              <w:rPr>
                <w:rFonts w:ascii="Arial" w:hAnsi="Arial" w:cs="Arial"/>
                <w:sz w:val="20"/>
                <w:szCs w:val="20"/>
              </w:rPr>
              <w:t>that</w:t>
            </w:r>
            <w:r w:rsidR="000F52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24E" w:rsidRPr="000F524E">
              <w:rPr>
                <w:rFonts w:ascii="Arial" w:hAnsi="Arial" w:cs="Arial"/>
                <w:sz w:val="20"/>
                <w:szCs w:val="20"/>
              </w:rPr>
              <w:t>Plaintiffs' and all North Carolinians' fundamental rights guaranteed by the North Carolina Constitution will be</w:t>
            </w:r>
            <w:r w:rsidR="00814D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24E" w:rsidRPr="00814DE4">
              <w:rPr>
                <w:rFonts w:ascii="Arial" w:hAnsi="Arial" w:cs="Arial"/>
                <w:sz w:val="20"/>
                <w:szCs w:val="20"/>
              </w:rPr>
              <w:t>irreparably lost</w:t>
            </w:r>
            <w:r w:rsidR="00814DE4">
              <w:rPr>
                <w:rFonts w:ascii="Arial" w:hAnsi="Arial" w:cs="Arial"/>
                <w:sz w:val="20"/>
                <w:szCs w:val="20"/>
              </w:rPr>
              <w:t xml:space="preserve"> outweighs the Legislative Defendants’ harm </w:t>
            </w:r>
            <w:r w:rsidR="00EB46EB">
              <w:rPr>
                <w:rFonts w:ascii="Arial" w:hAnsi="Arial" w:cs="Arial"/>
                <w:sz w:val="20"/>
                <w:szCs w:val="20"/>
              </w:rPr>
              <w:t>(i)</w:t>
            </w:r>
            <w:r w:rsidR="00814D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408B"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14DE4" w:rsidRPr="00814DE4">
              <w:rPr>
                <w:rFonts w:ascii="Arial" w:hAnsi="Arial" w:cs="Arial"/>
                <w:sz w:val="20"/>
                <w:szCs w:val="20"/>
              </w:rPr>
              <w:t>the General Assembly will be prevented from effectuating an act of the General Assembly</w:t>
            </w:r>
            <w:r w:rsidR="008B2E96">
              <w:rPr>
                <w:rFonts w:ascii="Arial" w:hAnsi="Arial" w:cs="Arial"/>
                <w:sz w:val="20"/>
                <w:szCs w:val="20"/>
              </w:rPr>
              <w:t>,</w:t>
            </w:r>
            <w:r w:rsidR="00EB46EB">
              <w:rPr>
                <w:rFonts w:ascii="Arial" w:hAnsi="Arial" w:cs="Arial"/>
                <w:sz w:val="20"/>
                <w:szCs w:val="20"/>
              </w:rPr>
              <w:t xml:space="preserve"> and (ii)</w:t>
            </w:r>
            <w:r w:rsidR="008B2E96">
              <w:rPr>
                <w:rFonts w:ascii="Arial" w:hAnsi="Arial" w:cs="Arial"/>
                <w:sz w:val="20"/>
                <w:szCs w:val="20"/>
              </w:rPr>
              <w:t xml:space="preserve"> the </w:t>
            </w:r>
            <w:r w:rsidR="008B2E96" w:rsidRPr="008B2E96">
              <w:rPr>
                <w:rFonts w:ascii="Arial" w:hAnsi="Arial" w:cs="Arial"/>
                <w:sz w:val="20"/>
                <w:szCs w:val="20"/>
              </w:rPr>
              <w:t>disruption, confusion, and uncertainty in the electoral process for them, candidates, election officials, and the voting</w:t>
            </w:r>
            <w:r w:rsidR="007766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B2E96" w:rsidRPr="007766B2">
              <w:rPr>
                <w:rFonts w:ascii="Arial" w:hAnsi="Arial" w:cs="Arial"/>
                <w:sz w:val="20"/>
                <w:szCs w:val="20"/>
              </w:rPr>
              <w:t>public</w:t>
            </w:r>
            <w:r w:rsidR="008C2BF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671F" w:rsidRPr="008D467C" w14:paraId="5135565A" w14:textId="77777777" w:rsidTr="002B7BA9">
        <w:trPr>
          <w:trHeight w:val="900"/>
        </w:trPr>
        <w:tc>
          <w:tcPr>
            <w:tcW w:w="1998" w:type="dxa"/>
            <w:tcBorders>
              <w:left w:val="nil"/>
            </w:tcBorders>
          </w:tcPr>
          <w:p w14:paraId="5995E25E" w14:textId="77777777" w:rsidR="00ED671F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A0A49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Rationale </w:t>
            </w:r>
          </w:p>
        </w:tc>
        <w:tc>
          <w:tcPr>
            <w:tcW w:w="7470" w:type="dxa"/>
            <w:tcBorders>
              <w:right w:val="nil"/>
            </w:tcBorders>
          </w:tcPr>
          <w:p w14:paraId="10098011" w14:textId="77777777" w:rsidR="00ED671F" w:rsidRDefault="00ED671F" w:rsidP="00ED671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14:paraId="52286906" w14:textId="27373FA1" w:rsidR="00ED671F" w:rsidRPr="00C06FF0" w:rsidRDefault="00861D4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FF0">
              <w:rPr>
                <w:rFonts w:ascii="Arial" w:hAnsi="Arial" w:cs="Arial"/>
                <w:b/>
                <w:bCs/>
                <w:sz w:val="20"/>
                <w:szCs w:val="20"/>
              </w:rPr>
              <w:t>Political Question Doctrine</w:t>
            </w:r>
          </w:p>
          <w:p w14:paraId="0D90BB77" w14:textId="5C5E74B7" w:rsidR="00861D46" w:rsidRDefault="00EA16F2" w:rsidP="004D42B5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Court rejected </w:t>
            </w:r>
            <w:r w:rsidR="007669F7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EA16F2">
              <w:rPr>
                <w:rFonts w:ascii="Arial" w:hAnsi="Arial" w:cs="Arial"/>
                <w:sz w:val="20"/>
                <w:szCs w:val="20"/>
              </w:rPr>
              <w:t>Legislative Defendants</w:t>
            </w:r>
            <w:r>
              <w:rPr>
                <w:rFonts w:ascii="Arial" w:hAnsi="Arial" w:cs="Arial"/>
                <w:sz w:val="20"/>
                <w:szCs w:val="20"/>
              </w:rPr>
              <w:t>’</w:t>
            </w:r>
            <w:r w:rsidRPr="00EA16F2">
              <w:rPr>
                <w:rFonts w:ascii="Arial" w:hAnsi="Arial" w:cs="Arial"/>
                <w:sz w:val="20"/>
                <w:szCs w:val="20"/>
              </w:rPr>
              <w:t xml:space="preserve"> claim</w:t>
            </w:r>
            <w:r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Pr="00EA16F2">
              <w:rPr>
                <w:rFonts w:ascii="Arial" w:hAnsi="Arial" w:cs="Arial"/>
                <w:sz w:val="20"/>
                <w:szCs w:val="20"/>
              </w:rPr>
              <w:t>challenges to the validity of an act of the General Assembly that</w:t>
            </w:r>
            <w:r w:rsidR="004D42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42B5">
              <w:rPr>
                <w:rFonts w:ascii="Arial" w:hAnsi="Arial" w:cs="Arial"/>
                <w:sz w:val="20"/>
                <w:szCs w:val="20"/>
              </w:rPr>
              <w:t>apportions or redistricts the congressional districts of this State</w:t>
            </w:r>
            <w:r w:rsidR="004D42B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42B5">
              <w:rPr>
                <w:rFonts w:ascii="Arial" w:hAnsi="Arial" w:cs="Arial"/>
                <w:sz w:val="20"/>
                <w:szCs w:val="20"/>
              </w:rPr>
              <w:t>present non-justiciable political questions.</w:t>
            </w:r>
          </w:p>
          <w:p w14:paraId="2EB08A3E" w14:textId="0B561852" w:rsidR="00AE3152" w:rsidRPr="004B5B35" w:rsidRDefault="00F1040D" w:rsidP="004B5B3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1040D">
              <w:rPr>
                <w:rFonts w:ascii="Arial" w:hAnsi="Arial" w:cs="Arial"/>
                <w:sz w:val="20"/>
                <w:szCs w:val="20"/>
              </w:rPr>
              <w:t>Such</w:t>
            </w:r>
            <w:r w:rsidR="004B5B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5B35">
              <w:rPr>
                <w:rFonts w:ascii="Arial" w:hAnsi="Arial" w:cs="Arial"/>
                <w:sz w:val="20"/>
                <w:szCs w:val="20"/>
              </w:rPr>
              <w:t>claims are within the statutorily-provided jurisdiction of this three-judge panel, N.C.G.S. § 1-267.1, and partisan gerrymandering claims specifically present justiciable issues</w:t>
            </w:r>
            <w:r w:rsidRPr="004B5B35">
              <w:rPr>
                <w:rFonts w:ascii="Arial" w:hAnsi="Arial" w:cs="Arial"/>
                <w:sz w:val="20"/>
                <w:szCs w:val="20"/>
              </w:rPr>
              <w:t>—they f</w:t>
            </w:r>
            <w:r w:rsidRPr="004B5B35">
              <w:rPr>
                <w:rFonts w:ascii="Arial" w:hAnsi="Arial" w:cs="Arial"/>
                <w:sz w:val="20"/>
                <w:szCs w:val="20"/>
              </w:rPr>
              <w:t>all within the broad, default category of constitutional cases our</w:t>
            </w:r>
            <w:r w:rsidR="004B5B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5B35">
              <w:rPr>
                <w:rFonts w:ascii="Arial" w:hAnsi="Arial" w:cs="Arial"/>
                <w:sz w:val="20"/>
                <w:szCs w:val="20"/>
              </w:rPr>
              <w:t>courts are empowered and obliged to decide on the merits, and not within the narrow category of exceptional cases</w:t>
            </w:r>
            <w:r w:rsidR="004B5B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B5B35">
              <w:rPr>
                <w:rFonts w:ascii="Arial" w:hAnsi="Arial" w:cs="Arial"/>
                <w:sz w:val="20"/>
                <w:szCs w:val="20"/>
              </w:rPr>
              <w:t>covered by the political question doctrine.</w:t>
            </w:r>
          </w:p>
          <w:p w14:paraId="0668CA9F" w14:textId="77777777" w:rsidR="00861D46" w:rsidRPr="000107AD" w:rsidRDefault="00861D46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107AD">
              <w:rPr>
                <w:rFonts w:ascii="Arial" w:hAnsi="Arial" w:cs="Arial"/>
                <w:b/>
                <w:bCs/>
                <w:sz w:val="20"/>
                <w:szCs w:val="20"/>
              </w:rPr>
              <w:t>Standing of Plaintiffs</w:t>
            </w:r>
          </w:p>
          <w:p w14:paraId="0EFF98BC" w14:textId="0A918535" w:rsidR="00C06FF0" w:rsidRDefault="00C06FF0" w:rsidP="00C06FF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 rejected the Legislative Defendants’ claim that plaintiffs lacked standing because t</w:t>
            </w:r>
            <w:r w:rsidRPr="00C06FF0"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BB2D55">
              <w:rPr>
                <w:rFonts w:ascii="Arial" w:hAnsi="Arial" w:cs="Arial"/>
                <w:sz w:val="20"/>
                <w:szCs w:val="20"/>
              </w:rPr>
              <w:t>NC</w:t>
            </w:r>
            <w:r w:rsidRPr="00C06FF0">
              <w:rPr>
                <w:rFonts w:ascii="Arial" w:hAnsi="Arial" w:cs="Arial"/>
                <w:sz w:val="20"/>
                <w:szCs w:val="20"/>
              </w:rPr>
              <w:t xml:space="preserve"> Constitution provides: "All courts shall be open; every person for an injury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6FF0">
              <w:rPr>
                <w:rFonts w:ascii="Arial" w:hAnsi="Arial" w:cs="Arial"/>
                <w:sz w:val="20"/>
                <w:szCs w:val="20"/>
              </w:rPr>
              <w:t>done him in his lands, goods, person, or reputation shall have remedy by due course of law; and right and justice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06FF0">
              <w:rPr>
                <w:rFonts w:ascii="Arial" w:hAnsi="Arial" w:cs="Arial"/>
                <w:sz w:val="20"/>
                <w:szCs w:val="20"/>
              </w:rPr>
              <w:t xml:space="preserve">shall be administered without favor, denial, or delay." </w:t>
            </w:r>
            <w:r w:rsidRPr="00C06FF0">
              <w:rPr>
                <w:rFonts w:ascii="Arial" w:hAnsi="Arial" w:cs="Arial"/>
                <w:smallCaps/>
                <w:sz w:val="20"/>
                <w:szCs w:val="20"/>
              </w:rPr>
              <w:t>N.C. Const.</w:t>
            </w:r>
            <w:r w:rsidRPr="00C06FF0">
              <w:rPr>
                <w:rFonts w:ascii="Arial" w:hAnsi="Arial" w:cs="Arial"/>
                <w:sz w:val="20"/>
                <w:szCs w:val="20"/>
              </w:rPr>
              <w:t xml:space="preserve"> art. I, § 18.</w:t>
            </w:r>
          </w:p>
          <w:p w14:paraId="0ECD47E9" w14:textId="2FE9C7BD" w:rsidR="00C06FF0" w:rsidRDefault="005775D6" w:rsidP="00402480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5775D6">
              <w:rPr>
                <w:rFonts w:ascii="Arial" w:hAnsi="Arial" w:cs="Arial"/>
                <w:sz w:val="20"/>
                <w:szCs w:val="20"/>
              </w:rPr>
              <w:t>"[B]ecause North Carolina courts</w:t>
            </w:r>
            <w:r w:rsidR="00402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480">
              <w:rPr>
                <w:rFonts w:ascii="Arial" w:hAnsi="Arial" w:cs="Arial"/>
                <w:sz w:val="20"/>
                <w:szCs w:val="20"/>
              </w:rPr>
              <w:t xml:space="preserve">are not constrained by the 'case or controversy' requirement of Article III of the United States </w:t>
            </w:r>
            <w:r w:rsidRPr="00402480">
              <w:rPr>
                <w:rFonts w:ascii="Arial" w:hAnsi="Arial" w:cs="Arial"/>
                <w:sz w:val="20"/>
                <w:szCs w:val="20"/>
              </w:rPr>
              <w:lastRenderedPageBreak/>
              <w:t>Constitution, our</w:t>
            </w:r>
            <w:r w:rsidRPr="004024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480">
              <w:rPr>
                <w:rFonts w:ascii="Arial" w:hAnsi="Arial" w:cs="Arial"/>
                <w:sz w:val="20"/>
                <w:szCs w:val="20"/>
              </w:rPr>
              <w:t xml:space="preserve">State's standing jurisprudence is broader than federal law." </w:t>
            </w:r>
          </w:p>
          <w:p w14:paraId="7DC455B7" w14:textId="77777777" w:rsidR="00CE243B" w:rsidRDefault="006D0683" w:rsidP="00CE243B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D0683">
              <w:rPr>
                <w:rFonts w:ascii="Arial" w:hAnsi="Arial" w:cs="Arial"/>
                <w:sz w:val="20"/>
                <w:szCs w:val="20"/>
              </w:rPr>
              <w:t xml:space="preserve">Although the </w:t>
            </w:r>
            <w:r>
              <w:rPr>
                <w:rFonts w:ascii="Arial" w:hAnsi="Arial" w:cs="Arial"/>
                <w:sz w:val="20"/>
                <w:szCs w:val="20"/>
              </w:rPr>
              <w:t>NC</w:t>
            </w:r>
            <w:r w:rsidRPr="006D0683">
              <w:rPr>
                <w:rFonts w:ascii="Arial" w:hAnsi="Arial" w:cs="Arial"/>
                <w:sz w:val="20"/>
                <w:szCs w:val="20"/>
              </w:rPr>
              <w:t xml:space="preserve"> Supreme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0683">
              <w:rPr>
                <w:rFonts w:ascii="Arial" w:hAnsi="Arial" w:cs="Arial"/>
                <w:sz w:val="20"/>
                <w:szCs w:val="20"/>
              </w:rPr>
              <w:t>Court "has declined to set out specific criteria necessary to show standing in every case, [it] has emphasized two</w:t>
            </w:r>
            <w:r w:rsidR="00CE24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243B">
              <w:rPr>
                <w:rFonts w:ascii="Arial" w:hAnsi="Arial" w:cs="Arial"/>
                <w:sz w:val="20"/>
                <w:szCs w:val="20"/>
              </w:rPr>
              <w:t xml:space="preserve">factors in its cases examining standing: </w:t>
            </w:r>
          </w:p>
          <w:p w14:paraId="15B1E527" w14:textId="64B0D91D" w:rsidR="00CE243B" w:rsidRDefault="006D0683" w:rsidP="00CE243B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E243B">
              <w:rPr>
                <w:rFonts w:ascii="Arial" w:hAnsi="Arial" w:cs="Arial"/>
                <w:sz w:val="20"/>
                <w:szCs w:val="20"/>
              </w:rPr>
              <w:t xml:space="preserve">(1) the presence of a legally cognizable injury; and </w:t>
            </w:r>
          </w:p>
          <w:p w14:paraId="36A07002" w14:textId="580C1817" w:rsidR="006D0683" w:rsidRPr="00CE243B" w:rsidRDefault="006D0683" w:rsidP="00CE243B">
            <w:pPr>
              <w:pStyle w:val="Default"/>
              <w:numPr>
                <w:ilvl w:val="3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CE243B">
              <w:rPr>
                <w:rFonts w:ascii="Arial" w:hAnsi="Arial" w:cs="Arial"/>
                <w:sz w:val="20"/>
                <w:szCs w:val="20"/>
              </w:rPr>
              <w:t>(2) a means by</w:t>
            </w:r>
            <w:r w:rsidR="00CE24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E243B">
              <w:rPr>
                <w:rFonts w:ascii="Arial" w:hAnsi="Arial" w:cs="Arial"/>
                <w:sz w:val="20"/>
                <w:szCs w:val="20"/>
              </w:rPr>
              <w:t>which the courts can remedy that injury."</w:t>
            </w:r>
          </w:p>
          <w:p w14:paraId="3ED4CF93" w14:textId="7289DD48" w:rsidR="006D0683" w:rsidRDefault="006D0683" w:rsidP="00A35A5A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6D0683">
              <w:rPr>
                <w:rFonts w:ascii="Arial" w:hAnsi="Arial" w:cs="Arial"/>
                <w:sz w:val="20"/>
                <w:szCs w:val="20"/>
              </w:rPr>
              <w:t>Plaintiffs in this case have standing to challenge the congressional districts at issue because Plaintiffs have shown</w:t>
            </w:r>
            <w:r w:rsidR="00A35A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35A5A">
              <w:rPr>
                <w:rFonts w:ascii="Arial" w:hAnsi="Arial" w:cs="Arial"/>
                <w:sz w:val="20"/>
                <w:szCs w:val="20"/>
              </w:rPr>
              <w:t>a likelihood of "a personal stake in the outcome of the controversy," and a likelihood that the 2016 congressional districts cause them to "suffer harm</w:t>
            </w:r>
            <w:r w:rsidR="00A35A5A">
              <w:rPr>
                <w:rFonts w:ascii="Arial" w:hAnsi="Arial" w:cs="Arial"/>
                <w:sz w:val="20"/>
                <w:szCs w:val="20"/>
              </w:rPr>
              <w:t>[.]</w:t>
            </w:r>
            <w:r w:rsidRPr="00A35A5A">
              <w:rPr>
                <w:rFonts w:ascii="Arial" w:hAnsi="Arial" w:cs="Arial"/>
                <w:sz w:val="20"/>
                <w:szCs w:val="20"/>
              </w:rPr>
              <w:t>"</w:t>
            </w:r>
          </w:p>
          <w:p w14:paraId="2DFB129C" w14:textId="6B5F502C" w:rsidR="00E03D07" w:rsidRPr="00F82AA6" w:rsidRDefault="006D3CC5" w:rsidP="00803B63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Plaintiffs Are Likely </w:t>
            </w:r>
            <w:r w:rsidR="00FB2816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Succeed on the Merits</w:t>
            </w:r>
          </w:p>
          <w:p w14:paraId="6E750A15" w14:textId="7F30A4FE" w:rsidR="006D3CC5" w:rsidRPr="008A599F" w:rsidRDefault="006D3CC5" w:rsidP="008A599F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6D3CC5">
              <w:rPr>
                <w:rFonts w:ascii="Arial" w:hAnsi="Arial" w:cs="Arial"/>
                <w:sz w:val="20"/>
                <w:szCs w:val="20"/>
              </w:rPr>
              <w:t>he 2016 congressional districts have already been the subject of years-long litigation 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D3CC5">
              <w:rPr>
                <w:rFonts w:ascii="Arial" w:hAnsi="Arial" w:cs="Arial"/>
                <w:sz w:val="20"/>
                <w:szCs w:val="20"/>
              </w:rPr>
              <w:t>federal court arising from challenges to the districts on partisan gerrymandering grounds</w:t>
            </w:r>
            <w:r w:rsidR="008A599F">
              <w:rPr>
                <w:rFonts w:ascii="Arial" w:hAnsi="Arial" w:cs="Arial"/>
                <w:sz w:val="20"/>
                <w:szCs w:val="20"/>
              </w:rPr>
              <w:t>, and, a</w:t>
            </w:r>
            <w:r w:rsidRPr="008A599F">
              <w:rPr>
                <w:rFonts w:ascii="Arial" w:hAnsi="Arial" w:cs="Arial"/>
                <w:sz w:val="20"/>
                <w:szCs w:val="20"/>
              </w:rPr>
              <w:t>s such, there is a detailed record of both the partisan intent and the intended partisan effects of the 2016</w:t>
            </w:r>
            <w:r w:rsidRPr="008A59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A599F">
              <w:rPr>
                <w:rFonts w:ascii="Arial" w:hAnsi="Arial" w:cs="Arial"/>
                <w:sz w:val="20"/>
                <w:szCs w:val="20"/>
              </w:rPr>
              <w:t xml:space="preserve">congressional districts drawn with the aid of Dr. Thomas Hofeller and enacted by the General Assembly. </w:t>
            </w:r>
            <w:r w:rsidR="00493B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3B9F" w:rsidRPr="006D3CC5">
              <w:rPr>
                <w:rFonts w:ascii="Arial" w:hAnsi="Arial" w:cs="Arial"/>
                <w:i/>
                <w:iCs/>
                <w:sz w:val="20"/>
                <w:szCs w:val="20"/>
              </w:rPr>
              <w:t>See Rucho</w:t>
            </w:r>
            <w:r w:rsidR="00493B9F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14:paraId="0C8BF54C" w14:textId="77777777" w:rsidR="00C06FF0" w:rsidRDefault="00493B9F" w:rsidP="00493B9F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93B9F">
              <w:rPr>
                <w:rFonts w:ascii="Arial" w:hAnsi="Arial" w:cs="Arial"/>
                <w:sz w:val="20"/>
                <w:szCs w:val="20"/>
              </w:rPr>
              <w:t xml:space="preserve">Dr. Hofeller was directed by legislators "to use political data </w:t>
            </w:r>
            <w:r>
              <w:rPr>
                <w:rFonts w:ascii="Arial" w:hAnsi="Arial" w:cs="Arial"/>
                <w:sz w:val="20"/>
                <w:szCs w:val="20"/>
              </w:rPr>
              <w:t xml:space="preserve">. . . </w:t>
            </w:r>
            <w:r w:rsidRPr="00493B9F">
              <w:rPr>
                <w:rFonts w:ascii="Arial" w:hAnsi="Arial" w:cs="Arial"/>
                <w:sz w:val="20"/>
                <w:szCs w:val="20"/>
              </w:rPr>
              <w:t>in drawing the remedial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3B9F">
              <w:rPr>
                <w:rFonts w:ascii="Arial" w:hAnsi="Arial" w:cs="Arial"/>
                <w:sz w:val="20"/>
                <w:szCs w:val="20"/>
              </w:rPr>
              <w:t>plan," and was further instructed to "use that political data to draw a map that would maintain the existing partisan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3B9F">
              <w:rPr>
                <w:rFonts w:ascii="Arial" w:hAnsi="Arial" w:cs="Arial"/>
                <w:sz w:val="20"/>
                <w:szCs w:val="20"/>
              </w:rPr>
              <w:t>makeup of the state's congressional delegation</w:t>
            </w:r>
            <w:r>
              <w:rPr>
                <w:rFonts w:ascii="Arial" w:hAnsi="Arial" w:cs="Arial"/>
                <w:sz w:val="20"/>
                <w:szCs w:val="20"/>
              </w:rPr>
              <w:t>. . . .</w:t>
            </w:r>
          </w:p>
          <w:p w14:paraId="7EBEAD17" w14:textId="77777777" w:rsidR="001F5D50" w:rsidRDefault="001F5D50" w:rsidP="001F5D50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1F5D50">
              <w:rPr>
                <w:rFonts w:ascii="Arial" w:hAnsi="Arial" w:cs="Arial"/>
                <w:sz w:val="20"/>
                <w:szCs w:val="20"/>
              </w:rPr>
              <w:t>he redistricting committee approved several criteria for the map-drawing process, including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5D50">
              <w:rPr>
                <w:rFonts w:ascii="Arial" w:hAnsi="Arial" w:cs="Arial"/>
                <w:sz w:val="20"/>
                <w:szCs w:val="20"/>
              </w:rPr>
              <w:t>the use of past election data (i.e., "Political Data") and another labeled "Partisan Advantage</w:t>
            </w:r>
            <w:r>
              <w:rPr>
                <w:rFonts w:ascii="Arial" w:hAnsi="Arial" w:cs="Arial"/>
                <w:sz w:val="20"/>
                <w:szCs w:val="20"/>
              </w:rPr>
              <w:t>.”</w:t>
            </w:r>
            <w:r w:rsidR="0020205A">
              <w:rPr>
                <w:rStyle w:val="FootnoteReference"/>
                <w:rFonts w:ascii="Arial" w:hAnsi="Arial" w:cs="Arial"/>
                <w:sz w:val="20"/>
                <w:szCs w:val="20"/>
              </w:rPr>
              <w:footnoteReference w:id="3"/>
            </w:r>
          </w:p>
          <w:p w14:paraId="31744470" w14:textId="77777777" w:rsidR="00316FC5" w:rsidRDefault="00316FC5" w:rsidP="00316FC5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316FC5">
              <w:rPr>
                <w:rFonts w:ascii="Arial" w:hAnsi="Arial" w:cs="Arial"/>
                <w:sz w:val="20"/>
                <w:szCs w:val="20"/>
              </w:rPr>
              <w:t>hen drawing the 2016 congressional districts, Dr. Hofeller used "an aggregate variable 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6FC5">
              <w:rPr>
                <w:rFonts w:ascii="Arial" w:hAnsi="Arial" w:cs="Arial"/>
                <w:sz w:val="20"/>
                <w:szCs w:val="20"/>
              </w:rPr>
              <w:t>created to predict partisan performance" all while "constantly aware of the partisan characteristics of each county,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16FC5">
              <w:rPr>
                <w:rFonts w:ascii="Arial" w:hAnsi="Arial" w:cs="Arial"/>
                <w:sz w:val="20"/>
                <w:szCs w:val="20"/>
              </w:rPr>
              <w:t>precinct, and VTD."</w:t>
            </w:r>
          </w:p>
          <w:p w14:paraId="3AEB5F40" w14:textId="77777777" w:rsidR="00316FC5" w:rsidRDefault="00C7061A" w:rsidP="00C7061A">
            <w:pPr>
              <w:pStyle w:val="Default"/>
              <w:numPr>
                <w:ilvl w:val="2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C7061A">
              <w:rPr>
                <w:rFonts w:ascii="Arial" w:hAnsi="Arial" w:cs="Arial"/>
                <w:sz w:val="20"/>
                <w:szCs w:val="20"/>
              </w:rPr>
              <w:t>he redistricting committee, and ultimately the General Assembly as a whole, approved the 2016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1A">
              <w:rPr>
                <w:rFonts w:ascii="Arial" w:hAnsi="Arial" w:cs="Arial"/>
                <w:sz w:val="20"/>
                <w:szCs w:val="20"/>
              </w:rPr>
              <w:t>congressional districts by party-line vote.</w:t>
            </w:r>
          </w:p>
          <w:p w14:paraId="7F0FEC84" w14:textId="11853D6D" w:rsidR="00C7061A" w:rsidRPr="00DA4F8C" w:rsidRDefault="00FB2816" w:rsidP="00FB281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4F8C">
              <w:rPr>
                <w:rFonts w:ascii="Arial" w:hAnsi="Arial" w:cs="Arial"/>
                <w:b/>
                <w:bCs/>
                <w:sz w:val="20"/>
                <w:szCs w:val="20"/>
              </w:rPr>
              <w:t>Plaintiffs Will Suffer Irreparable Loss Unless the Injunction is Issued</w:t>
            </w:r>
          </w:p>
          <w:p w14:paraId="3F922842" w14:textId="7224CD88" w:rsidR="001766A1" w:rsidRPr="00A42BF6" w:rsidRDefault="000D57C6" w:rsidP="00A42BF6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Because </w:t>
            </w:r>
            <w:r w:rsidRPr="000D57C6">
              <w:rPr>
                <w:rFonts w:ascii="Arial" w:hAnsi="Arial" w:cs="Arial"/>
                <w:sz w:val="20"/>
                <w:szCs w:val="20"/>
              </w:rPr>
              <w:t>Plaintiffs' have shown a likelihood of succeeding on the merits of their claims</w:t>
            </w:r>
            <w:r w:rsidRPr="00A42BF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A42BF6">
              <w:rPr>
                <w:rFonts w:ascii="Arial" w:hAnsi="Arial" w:cs="Arial"/>
                <w:sz w:val="20"/>
                <w:szCs w:val="20"/>
              </w:rPr>
              <w:t>Plaintiffs are likely to sustain irreparable loss to their fundamental rights guaranteed by</w:t>
            </w:r>
            <w:r w:rsidRPr="00A42B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2BF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2E37F0">
              <w:rPr>
                <w:rFonts w:ascii="Arial" w:hAnsi="Arial" w:cs="Arial"/>
                <w:sz w:val="20"/>
                <w:szCs w:val="20"/>
              </w:rPr>
              <w:t>NC</w:t>
            </w:r>
            <w:r w:rsidRPr="00A42BF6">
              <w:rPr>
                <w:rFonts w:ascii="Arial" w:hAnsi="Arial" w:cs="Arial"/>
                <w:sz w:val="20"/>
                <w:szCs w:val="20"/>
              </w:rPr>
              <w:t xml:space="preserve"> Constitution unless the injunction is issued, and likewise, issuance is necessary for the</w:t>
            </w:r>
            <w:r w:rsidRPr="00A42B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2BF6">
              <w:rPr>
                <w:rFonts w:ascii="Arial" w:hAnsi="Arial" w:cs="Arial"/>
                <w:sz w:val="20"/>
                <w:szCs w:val="20"/>
              </w:rPr>
              <w:t>continued protection of Plaintiffs' fundamental rights guaranteed by during the</w:t>
            </w:r>
            <w:r w:rsidRPr="00A42BF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42BF6">
              <w:rPr>
                <w:rFonts w:ascii="Arial" w:hAnsi="Arial" w:cs="Arial"/>
                <w:sz w:val="20"/>
                <w:szCs w:val="20"/>
              </w:rPr>
              <w:t>course of the litigation.</w:t>
            </w:r>
          </w:p>
          <w:p w14:paraId="5F358F92" w14:textId="24D1C542" w:rsidR="00FB2816" w:rsidRPr="00DA4F8C" w:rsidRDefault="00FB2816" w:rsidP="00FB2816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4F8C">
              <w:rPr>
                <w:rFonts w:ascii="Arial" w:hAnsi="Arial" w:cs="Arial"/>
                <w:b/>
                <w:bCs/>
                <w:sz w:val="20"/>
                <w:szCs w:val="20"/>
              </w:rPr>
              <w:t>Balancing of Equities Weighs in Favor of Plaintiffs</w:t>
            </w:r>
          </w:p>
          <w:p w14:paraId="1E893A10" w14:textId="34F1B8E3" w:rsidR="001766A1" w:rsidRDefault="007766B2" w:rsidP="007766B2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Pr="007766B2">
              <w:rPr>
                <w:rFonts w:ascii="Arial" w:hAnsi="Arial" w:cs="Arial"/>
                <w:sz w:val="20"/>
                <w:szCs w:val="20"/>
              </w:rPr>
              <w:t>hile State Defendants would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66B2">
              <w:rPr>
                <w:rFonts w:ascii="Arial" w:hAnsi="Arial" w:cs="Arial"/>
                <w:sz w:val="20"/>
                <w:szCs w:val="20"/>
              </w:rPr>
              <w:t>prefer not to move elections or otherwise change the current schedule for the 2020 congressional primary election,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66B2">
              <w:rPr>
                <w:rFonts w:ascii="Arial" w:hAnsi="Arial" w:cs="Arial"/>
                <w:sz w:val="20"/>
                <w:szCs w:val="20"/>
              </w:rPr>
              <w:t>they recognize that proceeding under the 2016 congressional districts "would require the Board to administer 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66B2">
              <w:rPr>
                <w:rFonts w:ascii="Arial" w:hAnsi="Arial" w:cs="Arial"/>
                <w:sz w:val="20"/>
                <w:szCs w:val="20"/>
              </w:rPr>
              <w:t>election that violates the constitutional rights of North Carolina voters" and acknowledge that the election schedule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766B2">
              <w:rPr>
                <w:rFonts w:ascii="Arial" w:hAnsi="Arial" w:cs="Arial"/>
                <w:sz w:val="20"/>
                <w:szCs w:val="20"/>
              </w:rPr>
              <w:t>can be changed if necessary.</w:t>
            </w:r>
          </w:p>
          <w:p w14:paraId="384EAA9E" w14:textId="757748AD" w:rsidR="0046556E" w:rsidRPr="0046556E" w:rsidRDefault="0046556E" w:rsidP="0046556E">
            <w:pPr>
              <w:pStyle w:val="Default"/>
              <w:numPr>
                <w:ilvl w:val="1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6556E">
              <w:rPr>
                <w:rFonts w:ascii="Arial" w:hAnsi="Arial" w:cs="Arial"/>
                <w:sz w:val="20"/>
                <w:szCs w:val="20"/>
              </w:rPr>
              <w:lastRenderedPageBreak/>
              <w:t>While the timing of Plaintiffs' action does weigh against Plaintiffs</w:t>
            </w:r>
            <w:r>
              <w:rPr>
                <w:rFonts w:ascii="Arial" w:hAnsi="Arial" w:cs="Arial"/>
                <w:sz w:val="20"/>
                <w:szCs w:val="20"/>
              </w:rPr>
              <w:t xml:space="preserve"> (filing months after litigation concluded in the federal court)</w:t>
            </w:r>
            <w:r w:rsidRPr="0046556E">
              <w:rPr>
                <w:rFonts w:ascii="Arial" w:hAnsi="Arial" w:cs="Arial"/>
                <w:sz w:val="20"/>
                <w:szCs w:val="20"/>
              </w:rPr>
              <w:t>, the Court does not find that the timing of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6556E">
              <w:rPr>
                <w:rFonts w:ascii="Arial" w:hAnsi="Arial" w:cs="Arial"/>
                <w:sz w:val="20"/>
                <w:szCs w:val="20"/>
              </w:rPr>
              <w:t>Plaintiffs' filing of this action should bar them from seeking equitable relief</w:t>
            </w:r>
            <w:r w:rsidR="0016079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82D514" w14:textId="6B02A309" w:rsidR="001766A1" w:rsidRPr="00C7061A" w:rsidRDefault="001766A1" w:rsidP="001766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671F" w:rsidRPr="008D467C" w14:paraId="657474FF" w14:textId="77777777" w:rsidTr="00B07787">
        <w:trPr>
          <w:trHeight w:val="1692"/>
        </w:trPr>
        <w:tc>
          <w:tcPr>
            <w:tcW w:w="1998" w:type="dxa"/>
            <w:tcBorders>
              <w:left w:val="nil"/>
              <w:bottom w:val="nil"/>
            </w:tcBorders>
          </w:tcPr>
          <w:p w14:paraId="37041526" w14:textId="77777777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Notes/ </w:t>
            </w:r>
          </w:p>
          <w:p w14:paraId="58605F49" w14:textId="32AC2F7E" w:rsidR="00ED671F" w:rsidRPr="008D467C" w:rsidRDefault="00ED671F" w:rsidP="00ED671F">
            <w:pPr>
              <w:pStyle w:val="Defaul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467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Reactions </w:t>
            </w:r>
          </w:p>
        </w:tc>
        <w:tc>
          <w:tcPr>
            <w:tcW w:w="7470" w:type="dxa"/>
            <w:tcBorders>
              <w:bottom w:val="nil"/>
              <w:right w:val="nil"/>
            </w:tcBorders>
          </w:tcPr>
          <w:p w14:paraId="04344CD7" w14:textId="11DFF8E4" w:rsidR="00ED671F" w:rsidRPr="008D467C" w:rsidRDefault="00857551" w:rsidP="00ED671F">
            <w:pPr>
              <w:pStyle w:val="Defaul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N/a.</w:t>
            </w:r>
          </w:p>
        </w:tc>
      </w:tr>
    </w:tbl>
    <w:p w14:paraId="6EE97782" w14:textId="77777777" w:rsidR="00CA7970" w:rsidRPr="00750AC1" w:rsidRDefault="00CA7970">
      <w:pPr>
        <w:rPr>
          <w:color w:val="FF0000"/>
          <w:szCs w:val="20"/>
        </w:rPr>
      </w:pPr>
    </w:p>
    <w:sectPr w:rsidR="00CA7970" w:rsidRPr="0075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29CC" w14:textId="77777777" w:rsidR="003534FA" w:rsidRDefault="003534FA" w:rsidP="004D2197">
      <w:pPr>
        <w:spacing w:line="240" w:lineRule="auto"/>
      </w:pPr>
      <w:r>
        <w:separator/>
      </w:r>
    </w:p>
  </w:endnote>
  <w:endnote w:type="continuationSeparator" w:id="0">
    <w:p w14:paraId="205B82F5" w14:textId="77777777" w:rsidR="003534FA" w:rsidRDefault="003534FA" w:rsidP="004D21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F882" w14:textId="77777777" w:rsidR="003534FA" w:rsidRDefault="003534FA" w:rsidP="004D2197">
      <w:pPr>
        <w:spacing w:line="240" w:lineRule="auto"/>
      </w:pPr>
      <w:r>
        <w:separator/>
      </w:r>
    </w:p>
  </w:footnote>
  <w:footnote w:type="continuationSeparator" w:id="0">
    <w:p w14:paraId="6FCF9C9C" w14:textId="77777777" w:rsidR="003534FA" w:rsidRDefault="003534FA" w:rsidP="004D2197">
      <w:pPr>
        <w:spacing w:line="240" w:lineRule="auto"/>
      </w:pPr>
      <w:r>
        <w:continuationSeparator/>
      </w:r>
    </w:p>
  </w:footnote>
  <w:footnote w:id="1">
    <w:p w14:paraId="6C36ABD2" w14:textId="77777777" w:rsidR="003A3D0D" w:rsidRDefault="003A3D0D" w:rsidP="003A3D0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A6FC9">
        <w:t>The political party designations of the judges were obtained via Google desktop searches, which may not be entirely accurate.</w:t>
      </w:r>
    </w:p>
  </w:footnote>
  <w:footnote w:id="2">
    <w:p w14:paraId="1299890C" w14:textId="628DD7E7" w:rsidR="004D2197" w:rsidRDefault="004D2197" w:rsidP="004D21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See </w:t>
      </w:r>
      <w:r w:rsidR="00C05D96" w:rsidRPr="00C03B73">
        <w:rPr>
          <w:i/>
          <w:iCs/>
        </w:rPr>
        <w:t>Harper v. Lewis</w:t>
      </w:r>
      <w:r w:rsidR="00C05D96">
        <w:t xml:space="preserve">, </w:t>
      </w:r>
      <w:r w:rsidR="00C05D96" w:rsidRPr="00781071">
        <w:rPr>
          <w:smallCaps/>
        </w:rPr>
        <w:t>Brennan Ctr. For Justice</w:t>
      </w:r>
      <w:r w:rsidR="00C05D96">
        <w:t xml:space="preserve"> (Dec. 2, 2019), </w:t>
      </w:r>
      <w:hyperlink r:id="rId1" w:history="1">
        <w:r w:rsidR="00C05D96" w:rsidRPr="00AF1B1D">
          <w:rPr>
            <w:rStyle w:val="Hyperlink"/>
          </w:rPr>
          <w:t>https://www.brennancenter.org/our-work/court-cases/harper-v-lewis</w:t>
        </w:r>
      </w:hyperlink>
      <w:r w:rsidR="00C05D96">
        <w:t xml:space="preserve">. </w:t>
      </w:r>
      <w:r>
        <w:t xml:space="preserve">  </w:t>
      </w:r>
    </w:p>
  </w:footnote>
  <w:footnote w:id="3">
    <w:p w14:paraId="34F4FADF" w14:textId="672E38C2" w:rsidR="0020205A" w:rsidRDefault="0020205A" w:rsidP="002020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90073">
        <w:t>The “</w:t>
      </w:r>
      <w:r>
        <w:t>Partisan Advantage</w:t>
      </w:r>
      <w:r w:rsidR="00A90073">
        <w:t>”</w:t>
      </w:r>
      <w:r>
        <w:t xml:space="preserve"> </w:t>
      </w:r>
      <w:r w:rsidR="005C00B6">
        <w:t xml:space="preserve">criterion </w:t>
      </w:r>
      <w:r>
        <w:t xml:space="preserve">was defined as follows: </w:t>
      </w:r>
      <w:r>
        <w:t>"The partisan makeup of the congressional delegation under the enacted plan is 10 Republicans and 3 Democrats</w:t>
      </w:r>
      <w:r>
        <w:t xml:space="preserve">.  </w:t>
      </w:r>
      <w:r>
        <w:t>The Committee shall make reasonable efforts to construct districts in the 2016 Contingent Congressional Plan t</w:t>
      </w:r>
      <w:r>
        <w:t xml:space="preserve">o </w:t>
      </w:r>
      <w:r>
        <w:t>maintain the current partisan makeup of North Carolina's congressional delegation."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10"/>
    <w:multiLevelType w:val="hybridMultilevel"/>
    <w:tmpl w:val="A0F8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90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0D"/>
    <w:rsid w:val="000011E4"/>
    <w:rsid w:val="0000128D"/>
    <w:rsid w:val="000107AD"/>
    <w:rsid w:val="00031BFF"/>
    <w:rsid w:val="0003271E"/>
    <w:rsid w:val="000423F8"/>
    <w:rsid w:val="00044059"/>
    <w:rsid w:val="000460DE"/>
    <w:rsid w:val="00053DC6"/>
    <w:rsid w:val="000612B8"/>
    <w:rsid w:val="00061BAC"/>
    <w:rsid w:val="000661F8"/>
    <w:rsid w:val="00066EE1"/>
    <w:rsid w:val="0008268F"/>
    <w:rsid w:val="000A7BBC"/>
    <w:rsid w:val="000B0DD8"/>
    <w:rsid w:val="000C62F3"/>
    <w:rsid w:val="000C6405"/>
    <w:rsid w:val="000D52D2"/>
    <w:rsid w:val="000D57C6"/>
    <w:rsid w:val="000D6927"/>
    <w:rsid w:val="000E1185"/>
    <w:rsid w:val="000E1B6F"/>
    <w:rsid w:val="000E2B5F"/>
    <w:rsid w:val="000F06B0"/>
    <w:rsid w:val="000F524E"/>
    <w:rsid w:val="000F7680"/>
    <w:rsid w:val="000F7880"/>
    <w:rsid w:val="00100F20"/>
    <w:rsid w:val="00122572"/>
    <w:rsid w:val="0013053D"/>
    <w:rsid w:val="001455D2"/>
    <w:rsid w:val="0015052D"/>
    <w:rsid w:val="00160793"/>
    <w:rsid w:val="00166C13"/>
    <w:rsid w:val="001760BA"/>
    <w:rsid w:val="001766A1"/>
    <w:rsid w:val="0017759E"/>
    <w:rsid w:val="00181207"/>
    <w:rsid w:val="0018455A"/>
    <w:rsid w:val="00191BE3"/>
    <w:rsid w:val="001B45BC"/>
    <w:rsid w:val="001E6844"/>
    <w:rsid w:val="001F32D6"/>
    <w:rsid w:val="001F5D50"/>
    <w:rsid w:val="0020205A"/>
    <w:rsid w:val="00205D1D"/>
    <w:rsid w:val="00207D95"/>
    <w:rsid w:val="00211E23"/>
    <w:rsid w:val="002123CA"/>
    <w:rsid w:val="00212664"/>
    <w:rsid w:val="00215706"/>
    <w:rsid w:val="00215EC7"/>
    <w:rsid w:val="0022426A"/>
    <w:rsid w:val="00224456"/>
    <w:rsid w:val="00225810"/>
    <w:rsid w:val="00235BDE"/>
    <w:rsid w:val="00264C5A"/>
    <w:rsid w:val="00267920"/>
    <w:rsid w:val="00271211"/>
    <w:rsid w:val="002762CC"/>
    <w:rsid w:val="002856A4"/>
    <w:rsid w:val="00290BB0"/>
    <w:rsid w:val="002B7BA9"/>
    <w:rsid w:val="002C2AAC"/>
    <w:rsid w:val="002C5D43"/>
    <w:rsid w:val="002D493F"/>
    <w:rsid w:val="002D4A82"/>
    <w:rsid w:val="002E0856"/>
    <w:rsid w:val="002E37F0"/>
    <w:rsid w:val="002F086B"/>
    <w:rsid w:val="00316FC5"/>
    <w:rsid w:val="0032595F"/>
    <w:rsid w:val="00330EC1"/>
    <w:rsid w:val="00334C92"/>
    <w:rsid w:val="0034242C"/>
    <w:rsid w:val="003427AD"/>
    <w:rsid w:val="00344ACA"/>
    <w:rsid w:val="003534FA"/>
    <w:rsid w:val="003543FB"/>
    <w:rsid w:val="00372F65"/>
    <w:rsid w:val="00381E4E"/>
    <w:rsid w:val="00385763"/>
    <w:rsid w:val="003A3D0D"/>
    <w:rsid w:val="003C2FB8"/>
    <w:rsid w:val="003D65B4"/>
    <w:rsid w:val="003E43C1"/>
    <w:rsid w:val="003E7941"/>
    <w:rsid w:val="003F57B6"/>
    <w:rsid w:val="003F62CB"/>
    <w:rsid w:val="00402480"/>
    <w:rsid w:val="004105DA"/>
    <w:rsid w:val="0041780A"/>
    <w:rsid w:val="00430166"/>
    <w:rsid w:val="00430D32"/>
    <w:rsid w:val="0045618C"/>
    <w:rsid w:val="0046556E"/>
    <w:rsid w:val="0047192B"/>
    <w:rsid w:val="00471CFA"/>
    <w:rsid w:val="00472FED"/>
    <w:rsid w:val="00474A3C"/>
    <w:rsid w:val="0047710B"/>
    <w:rsid w:val="00477A61"/>
    <w:rsid w:val="00493B9F"/>
    <w:rsid w:val="004A1C88"/>
    <w:rsid w:val="004A2C87"/>
    <w:rsid w:val="004B5B35"/>
    <w:rsid w:val="004D2197"/>
    <w:rsid w:val="004D42B5"/>
    <w:rsid w:val="004E2FDA"/>
    <w:rsid w:val="00515521"/>
    <w:rsid w:val="005220AF"/>
    <w:rsid w:val="0052532C"/>
    <w:rsid w:val="00537B72"/>
    <w:rsid w:val="00545219"/>
    <w:rsid w:val="0055186A"/>
    <w:rsid w:val="00563D16"/>
    <w:rsid w:val="005775D6"/>
    <w:rsid w:val="005800DA"/>
    <w:rsid w:val="0059554B"/>
    <w:rsid w:val="005A0373"/>
    <w:rsid w:val="005A0517"/>
    <w:rsid w:val="005A4170"/>
    <w:rsid w:val="005B421F"/>
    <w:rsid w:val="005B7FFE"/>
    <w:rsid w:val="005C00B6"/>
    <w:rsid w:val="005D746D"/>
    <w:rsid w:val="005E5736"/>
    <w:rsid w:val="005F4B69"/>
    <w:rsid w:val="005F539F"/>
    <w:rsid w:val="005F7580"/>
    <w:rsid w:val="005F7C1D"/>
    <w:rsid w:val="00623832"/>
    <w:rsid w:val="00643A05"/>
    <w:rsid w:val="006502FF"/>
    <w:rsid w:val="00653682"/>
    <w:rsid w:val="00671155"/>
    <w:rsid w:val="0067223B"/>
    <w:rsid w:val="006A08C1"/>
    <w:rsid w:val="006B1C61"/>
    <w:rsid w:val="006B2D20"/>
    <w:rsid w:val="006D0683"/>
    <w:rsid w:val="006D3CC5"/>
    <w:rsid w:val="006E4AD0"/>
    <w:rsid w:val="006F2C19"/>
    <w:rsid w:val="007310E0"/>
    <w:rsid w:val="00731DB1"/>
    <w:rsid w:val="00731E56"/>
    <w:rsid w:val="00750AC1"/>
    <w:rsid w:val="00765D3C"/>
    <w:rsid w:val="007669F7"/>
    <w:rsid w:val="00771FD5"/>
    <w:rsid w:val="007741FC"/>
    <w:rsid w:val="007766B2"/>
    <w:rsid w:val="007776DD"/>
    <w:rsid w:val="00781071"/>
    <w:rsid w:val="0079288A"/>
    <w:rsid w:val="007A0A55"/>
    <w:rsid w:val="007C5A79"/>
    <w:rsid w:val="007D63B1"/>
    <w:rsid w:val="007E34EC"/>
    <w:rsid w:val="00803B63"/>
    <w:rsid w:val="008042C7"/>
    <w:rsid w:val="00804DC1"/>
    <w:rsid w:val="00814DE4"/>
    <w:rsid w:val="0082403E"/>
    <w:rsid w:val="00825E45"/>
    <w:rsid w:val="00843D9E"/>
    <w:rsid w:val="00845C24"/>
    <w:rsid w:val="0084773C"/>
    <w:rsid w:val="00852EA3"/>
    <w:rsid w:val="00857551"/>
    <w:rsid w:val="00861D46"/>
    <w:rsid w:val="00874FBB"/>
    <w:rsid w:val="008775BD"/>
    <w:rsid w:val="0089629B"/>
    <w:rsid w:val="00897A94"/>
    <w:rsid w:val="008A599F"/>
    <w:rsid w:val="008B1CB8"/>
    <w:rsid w:val="008B2E96"/>
    <w:rsid w:val="008C2BF1"/>
    <w:rsid w:val="008D467C"/>
    <w:rsid w:val="008D66FD"/>
    <w:rsid w:val="008E1661"/>
    <w:rsid w:val="008E22B1"/>
    <w:rsid w:val="008E55F4"/>
    <w:rsid w:val="008E6D44"/>
    <w:rsid w:val="00905D1D"/>
    <w:rsid w:val="00906592"/>
    <w:rsid w:val="009108BB"/>
    <w:rsid w:val="00950A5F"/>
    <w:rsid w:val="00986881"/>
    <w:rsid w:val="0099185A"/>
    <w:rsid w:val="00992B19"/>
    <w:rsid w:val="009A6F30"/>
    <w:rsid w:val="009A72E8"/>
    <w:rsid w:val="009B086C"/>
    <w:rsid w:val="009B1A73"/>
    <w:rsid w:val="009B6428"/>
    <w:rsid w:val="009C6C77"/>
    <w:rsid w:val="009E0842"/>
    <w:rsid w:val="00A10326"/>
    <w:rsid w:val="00A175AC"/>
    <w:rsid w:val="00A22BD7"/>
    <w:rsid w:val="00A32793"/>
    <w:rsid w:val="00A35A5A"/>
    <w:rsid w:val="00A42BF6"/>
    <w:rsid w:val="00A522D6"/>
    <w:rsid w:val="00A5318D"/>
    <w:rsid w:val="00A56902"/>
    <w:rsid w:val="00A60351"/>
    <w:rsid w:val="00A61043"/>
    <w:rsid w:val="00A64C3F"/>
    <w:rsid w:val="00A71C57"/>
    <w:rsid w:val="00A90073"/>
    <w:rsid w:val="00A90B0E"/>
    <w:rsid w:val="00AA20EA"/>
    <w:rsid w:val="00AB7083"/>
    <w:rsid w:val="00AC1E63"/>
    <w:rsid w:val="00AC25BA"/>
    <w:rsid w:val="00AC57A6"/>
    <w:rsid w:val="00AD083C"/>
    <w:rsid w:val="00AE1FFA"/>
    <w:rsid w:val="00AE3152"/>
    <w:rsid w:val="00AE419A"/>
    <w:rsid w:val="00AF20C5"/>
    <w:rsid w:val="00B01256"/>
    <w:rsid w:val="00B04FDA"/>
    <w:rsid w:val="00B06725"/>
    <w:rsid w:val="00B07787"/>
    <w:rsid w:val="00B11B08"/>
    <w:rsid w:val="00B17476"/>
    <w:rsid w:val="00B30A40"/>
    <w:rsid w:val="00B3408B"/>
    <w:rsid w:val="00B401E4"/>
    <w:rsid w:val="00B44B83"/>
    <w:rsid w:val="00B6359A"/>
    <w:rsid w:val="00B665A3"/>
    <w:rsid w:val="00B73994"/>
    <w:rsid w:val="00B8711F"/>
    <w:rsid w:val="00B932D8"/>
    <w:rsid w:val="00BA4FAC"/>
    <w:rsid w:val="00BB2C60"/>
    <w:rsid w:val="00BB2D55"/>
    <w:rsid w:val="00BD5F8B"/>
    <w:rsid w:val="00BE6C7C"/>
    <w:rsid w:val="00BF5A3D"/>
    <w:rsid w:val="00C014D6"/>
    <w:rsid w:val="00C03B73"/>
    <w:rsid w:val="00C05D96"/>
    <w:rsid w:val="00C06FF0"/>
    <w:rsid w:val="00C16C8D"/>
    <w:rsid w:val="00C23B3B"/>
    <w:rsid w:val="00C552C0"/>
    <w:rsid w:val="00C7061A"/>
    <w:rsid w:val="00C751FE"/>
    <w:rsid w:val="00C77F6D"/>
    <w:rsid w:val="00C842DB"/>
    <w:rsid w:val="00C865A8"/>
    <w:rsid w:val="00C929F9"/>
    <w:rsid w:val="00CA196F"/>
    <w:rsid w:val="00CA1CBF"/>
    <w:rsid w:val="00CA7970"/>
    <w:rsid w:val="00CB51AA"/>
    <w:rsid w:val="00CC4409"/>
    <w:rsid w:val="00CC527C"/>
    <w:rsid w:val="00CE243B"/>
    <w:rsid w:val="00CE7549"/>
    <w:rsid w:val="00CF5DEF"/>
    <w:rsid w:val="00D40A68"/>
    <w:rsid w:val="00D53D31"/>
    <w:rsid w:val="00D57E10"/>
    <w:rsid w:val="00D61314"/>
    <w:rsid w:val="00D632BA"/>
    <w:rsid w:val="00D67E4B"/>
    <w:rsid w:val="00D73B91"/>
    <w:rsid w:val="00D866BD"/>
    <w:rsid w:val="00D90943"/>
    <w:rsid w:val="00DA4F8C"/>
    <w:rsid w:val="00DB57F8"/>
    <w:rsid w:val="00DC318D"/>
    <w:rsid w:val="00DC6F51"/>
    <w:rsid w:val="00DC7200"/>
    <w:rsid w:val="00DD66C7"/>
    <w:rsid w:val="00DD7F5E"/>
    <w:rsid w:val="00DE1886"/>
    <w:rsid w:val="00DF0717"/>
    <w:rsid w:val="00DF450D"/>
    <w:rsid w:val="00E03D07"/>
    <w:rsid w:val="00E124D6"/>
    <w:rsid w:val="00E21002"/>
    <w:rsid w:val="00E2275E"/>
    <w:rsid w:val="00E22B20"/>
    <w:rsid w:val="00E36A1E"/>
    <w:rsid w:val="00E724F4"/>
    <w:rsid w:val="00E72929"/>
    <w:rsid w:val="00EA16F2"/>
    <w:rsid w:val="00EB336C"/>
    <w:rsid w:val="00EB46EB"/>
    <w:rsid w:val="00EB473A"/>
    <w:rsid w:val="00ED32B3"/>
    <w:rsid w:val="00ED40B7"/>
    <w:rsid w:val="00ED671F"/>
    <w:rsid w:val="00EE2D91"/>
    <w:rsid w:val="00EE4689"/>
    <w:rsid w:val="00EF6ECA"/>
    <w:rsid w:val="00F04973"/>
    <w:rsid w:val="00F1040D"/>
    <w:rsid w:val="00F1414C"/>
    <w:rsid w:val="00F36DBB"/>
    <w:rsid w:val="00F407AC"/>
    <w:rsid w:val="00F54F5D"/>
    <w:rsid w:val="00F6448B"/>
    <w:rsid w:val="00F64DA9"/>
    <w:rsid w:val="00F7253B"/>
    <w:rsid w:val="00F73E82"/>
    <w:rsid w:val="00F82AA6"/>
    <w:rsid w:val="00F92D41"/>
    <w:rsid w:val="00FB2816"/>
    <w:rsid w:val="00FC1FCB"/>
    <w:rsid w:val="00FD0BC0"/>
    <w:rsid w:val="00FE2F6B"/>
    <w:rsid w:val="00FE4207"/>
    <w:rsid w:val="00FE72D8"/>
    <w:rsid w:val="00FF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A9EB"/>
  <w15:chartTrackingRefBased/>
  <w15:docId w15:val="{41018933-86A3-4997-AF5C-B16DF926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1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97"/>
    <w:rPr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D21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rennancenter.org/our-work/court-cases/harper-v-lew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FB093-FBA0-4C54-8E2F-B14726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Matsuda</dc:creator>
  <cp:keywords/>
  <dc:description/>
  <cp:lastModifiedBy>Scott Matsuda</cp:lastModifiedBy>
  <cp:revision>157</cp:revision>
  <dcterms:created xsi:type="dcterms:W3CDTF">2022-10-17T23:11:00Z</dcterms:created>
  <dcterms:modified xsi:type="dcterms:W3CDTF">2022-10-18T02:30:00Z</dcterms:modified>
</cp:coreProperties>
</file>