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472FED">
        <w:rPr>
          <w:szCs w:val="20"/>
        </w:rPr>
        <w:t xml:space="preserve">D. &amp; Bernard </w:t>
      </w:r>
      <w:proofErr w:type="spellStart"/>
      <w:r w:rsidR="00472FED">
        <w:rPr>
          <w:szCs w:val="20"/>
        </w:rPr>
        <w:t>Grofman</w:t>
      </w:r>
      <w:proofErr w:type="spellEnd"/>
      <w:r w:rsidR="00472FED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1282CECD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E328EF">
        <w:rPr>
          <w:szCs w:val="20"/>
        </w:rPr>
        <w:t>10/4/2022</w:t>
      </w:r>
    </w:p>
    <w:p w14:paraId="385897F0" w14:textId="712B4732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1B1295">
        <w:rPr>
          <w:b/>
          <w:bCs/>
          <w:szCs w:val="20"/>
          <w:u w:val="single"/>
        </w:rPr>
        <w:t>NEW JERSEY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D56348">
        <w:trPr>
          <w:trHeight w:val="71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6EADD6F5" w14:textId="77777777" w:rsidR="005F539F" w:rsidRDefault="00BF59C4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1D217F">
              <w:rPr>
                <w:rFonts w:ascii="Arial" w:hAnsi="Arial" w:cs="Arial"/>
                <w:i/>
                <w:sz w:val="20"/>
                <w:szCs w:val="20"/>
              </w:rPr>
              <w:t>Matter of Congressional Districts by New Jersey Redistricting Comm’n</w:t>
            </w:r>
            <w:r w:rsidR="00F917A4">
              <w:rPr>
                <w:rFonts w:ascii="Arial" w:hAnsi="Arial" w:cs="Arial"/>
                <w:iCs/>
                <w:sz w:val="20"/>
                <w:szCs w:val="20"/>
              </w:rPr>
              <w:t>, 268 A.3d 299 (N.J. 2022)</w:t>
            </w:r>
            <w:r w:rsidR="003B06BC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7A00851" w14:textId="4CA19A6B" w:rsidR="00D56348" w:rsidRPr="00A64C3F" w:rsidRDefault="00D56348" w:rsidP="00D56348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001C9398" w14:textId="162FA328" w:rsidR="00474A3C" w:rsidRDefault="006749C3" w:rsidP="00474A3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Rabner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, C.J. (</w:t>
            </w:r>
            <w:r w:rsidR="007970B4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), issued the </w:t>
            </w:r>
            <w:r w:rsidR="00B379B0">
              <w:rPr>
                <w:rFonts w:ascii="Arial" w:hAnsi="Arial" w:cs="Arial"/>
                <w:iCs/>
                <w:sz w:val="20"/>
                <w:szCs w:val="20"/>
              </w:rPr>
              <w:t>5</w:t>
            </w:r>
            <w:r>
              <w:rPr>
                <w:rFonts w:ascii="Arial" w:hAnsi="Arial" w:cs="Arial"/>
                <w:iCs/>
                <w:sz w:val="20"/>
                <w:szCs w:val="20"/>
              </w:rPr>
              <w:t>-</w:t>
            </w:r>
            <w:r w:rsidR="00B379B0">
              <w:rPr>
                <w:rFonts w:ascii="Arial" w:hAnsi="Arial" w:cs="Arial"/>
                <w:iCs/>
                <w:sz w:val="20"/>
                <w:szCs w:val="20"/>
              </w:rPr>
              <w:t>0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opinion, joined by Justices Albin (</w:t>
            </w:r>
            <w:r w:rsidR="007970B4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>), Patterson (</w:t>
            </w:r>
            <w:r w:rsidR="007970B4">
              <w:rPr>
                <w:rFonts w:ascii="Arial" w:hAnsi="Arial" w:cs="Arial"/>
                <w:iCs/>
                <w:sz w:val="20"/>
                <w:szCs w:val="20"/>
              </w:rPr>
              <w:t>Federalist Party</w:t>
            </w:r>
            <w:r>
              <w:rPr>
                <w:rFonts w:ascii="Arial" w:hAnsi="Arial" w:cs="Arial"/>
                <w:iCs/>
                <w:sz w:val="20"/>
                <w:szCs w:val="20"/>
              </w:rPr>
              <w:t>), and Solomon (</w:t>
            </w:r>
            <w:r w:rsidR="007970B4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Cs/>
                <w:sz w:val="20"/>
                <w:szCs w:val="20"/>
              </w:rPr>
              <w:t>); temporarily assigned, Judge Fuentes (</w:t>
            </w:r>
            <w:r w:rsidR="007970B4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>), also joined the order.</w:t>
            </w:r>
            <w:r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1"/>
            </w:r>
          </w:p>
          <w:p w14:paraId="4C14DE31" w14:textId="58BAE893" w:rsidR="002E2E9C" w:rsidRPr="002E2E9C" w:rsidRDefault="006749C3" w:rsidP="006749C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Justices Fernandez-Vina (</w:t>
            </w:r>
            <w:r w:rsidR="007970B4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Cs/>
                <w:sz w:val="20"/>
                <w:szCs w:val="20"/>
              </w:rPr>
              <w:t>) and Pierre-Louis (</w:t>
            </w:r>
            <w:r w:rsidR="007970B4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>) d</w:t>
            </w:r>
            <w:r w:rsidR="002E2E9C" w:rsidRPr="002E2E9C">
              <w:rPr>
                <w:rFonts w:ascii="Arial" w:hAnsi="Arial" w:cs="Arial"/>
                <w:iCs/>
                <w:sz w:val="20"/>
                <w:szCs w:val="20"/>
              </w:rPr>
              <w:t>id not participate.</w:t>
            </w:r>
          </w:p>
        </w:tc>
      </w:tr>
      <w:tr w:rsidR="00ED671F" w:rsidRPr="00D73B91" w14:paraId="1553CCF4" w14:textId="77777777" w:rsidTr="00B665A3">
        <w:trPr>
          <w:trHeight w:val="900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1067CC19" w14:textId="5D48C280" w:rsidR="00ED671F" w:rsidRPr="001B60C5" w:rsidRDefault="00C401FE" w:rsidP="001B60C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401FE">
              <w:rPr>
                <w:rFonts w:ascii="Arial" w:hAnsi="Arial" w:cs="Arial"/>
                <w:sz w:val="20"/>
                <w:szCs w:val="20"/>
              </w:rPr>
              <w:t>Plaintiffs, the Republican delegation to the Commission, filed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01FE">
              <w:rPr>
                <w:rFonts w:ascii="Arial" w:hAnsi="Arial" w:cs="Arial"/>
                <w:sz w:val="20"/>
                <w:szCs w:val="20"/>
              </w:rPr>
              <w:t xml:space="preserve">an amended complaint on </w:t>
            </w:r>
            <w:r>
              <w:rPr>
                <w:rFonts w:ascii="Arial" w:hAnsi="Arial" w:cs="Arial"/>
                <w:sz w:val="20"/>
                <w:szCs w:val="20"/>
              </w:rPr>
              <w:t>1/5/</w:t>
            </w:r>
            <w:r w:rsidR="00B71840">
              <w:rPr>
                <w:rFonts w:ascii="Arial" w:hAnsi="Arial" w:cs="Arial"/>
                <w:sz w:val="20"/>
                <w:szCs w:val="20"/>
              </w:rPr>
              <w:t>20</w:t>
            </w:r>
            <w:r w:rsidRPr="00C401FE">
              <w:rPr>
                <w:rFonts w:ascii="Arial" w:hAnsi="Arial" w:cs="Arial"/>
                <w:sz w:val="20"/>
                <w:szCs w:val="20"/>
              </w:rPr>
              <w:t xml:space="preserve">22 to challenge </w:t>
            </w:r>
            <w:r w:rsidR="001872B2">
              <w:rPr>
                <w:rFonts w:ascii="Arial" w:hAnsi="Arial" w:cs="Arial"/>
                <w:sz w:val="20"/>
                <w:szCs w:val="20"/>
              </w:rPr>
              <w:t>the</w:t>
            </w:r>
            <w:r w:rsidRPr="00C401FE">
              <w:rPr>
                <w:rFonts w:ascii="Arial" w:hAnsi="Arial" w:cs="Arial"/>
                <w:sz w:val="20"/>
                <w:szCs w:val="20"/>
              </w:rPr>
              <w:t xml:space="preserve"> map</w:t>
            </w:r>
            <w:r w:rsidR="001872B2">
              <w:rPr>
                <w:rFonts w:ascii="Arial" w:hAnsi="Arial" w:cs="Arial"/>
                <w:sz w:val="20"/>
                <w:szCs w:val="20"/>
              </w:rPr>
              <w:t xml:space="preserve"> selected by the independent Chair</w:t>
            </w:r>
            <w:r w:rsidR="001B60C5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Pr="001B60C5">
              <w:rPr>
                <w:rFonts w:ascii="Arial" w:hAnsi="Arial" w:cs="Arial"/>
                <w:sz w:val="20"/>
                <w:szCs w:val="20"/>
              </w:rPr>
              <w:t xml:space="preserve">filed their complaint directly with </w:t>
            </w:r>
            <w:r w:rsidR="001872B2" w:rsidRPr="001B60C5">
              <w:rPr>
                <w:rFonts w:ascii="Arial" w:hAnsi="Arial" w:cs="Arial"/>
                <w:sz w:val="20"/>
                <w:szCs w:val="20"/>
              </w:rPr>
              <w:t>the NJ Supreme Court</w:t>
            </w:r>
            <w:r w:rsidRPr="001B60C5">
              <w:rPr>
                <w:rFonts w:ascii="Arial" w:hAnsi="Arial" w:cs="Arial"/>
                <w:sz w:val="20"/>
                <w:szCs w:val="20"/>
              </w:rPr>
              <w:t>, pursuant to Article II, Section 2, Paragraph 7 of the</w:t>
            </w:r>
            <w:r w:rsidR="005D46F8" w:rsidRPr="001B60C5">
              <w:rPr>
                <w:rFonts w:ascii="Arial" w:hAnsi="Arial" w:cs="Arial"/>
                <w:sz w:val="20"/>
                <w:szCs w:val="20"/>
              </w:rPr>
              <w:t xml:space="preserve"> NJ</w:t>
            </w:r>
            <w:r w:rsidRPr="001B60C5">
              <w:rPr>
                <w:rFonts w:ascii="Arial" w:hAnsi="Arial" w:cs="Arial"/>
                <w:sz w:val="20"/>
                <w:szCs w:val="20"/>
              </w:rPr>
              <w:t xml:space="preserve"> Constitution</w:t>
            </w:r>
            <w:r w:rsidR="00D63F9D" w:rsidRPr="001B60C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3B4C9C" w14:textId="5E82EC3A" w:rsidR="001B60C5" w:rsidRDefault="001B60C5" w:rsidP="001B60C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60C5">
              <w:rPr>
                <w:rFonts w:ascii="Arial" w:hAnsi="Arial" w:cs="Arial"/>
                <w:sz w:val="20"/>
                <w:szCs w:val="20"/>
              </w:rPr>
              <w:t>Plaintiffs ask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1B60C5">
              <w:rPr>
                <w:rFonts w:ascii="Arial" w:hAnsi="Arial" w:cs="Arial"/>
                <w:sz w:val="20"/>
                <w:szCs w:val="20"/>
              </w:rPr>
              <w:t xml:space="preserve"> the Court to vacate the Commission's decision and remand the matter to the Commission for further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60C5">
              <w:rPr>
                <w:rFonts w:ascii="Arial" w:hAnsi="Arial" w:cs="Arial"/>
                <w:sz w:val="20"/>
                <w:szCs w:val="20"/>
              </w:rPr>
              <w:t>proceedings, with the Chair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60C5">
              <w:rPr>
                <w:rFonts w:ascii="Arial" w:hAnsi="Arial" w:cs="Arial"/>
                <w:sz w:val="20"/>
                <w:szCs w:val="20"/>
              </w:rPr>
              <w:t xml:space="preserve">recused. </w:t>
            </w:r>
          </w:p>
          <w:p w14:paraId="7D8DB5A3" w14:textId="146302E9" w:rsidR="002D0FE1" w:rsidRDefault="002D0FE1" w:rsidP="002D0FE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Plaintiffs argued that the </w:t>
            </w:r>
            <w:r w:rsidRPr="002D0FE1">
              <w:rPr>
                <w:rFonts w:ascii="Arial" w:hAnsi="Arial" w:cs="Arial"/>
                <w:sz w:val="20"/>
                <w:szCs w:val="20"/>
              </w:rPr>
              <w:t>actions of the Chair were "arbitrary, capricious, and unreasonable," violat</w:t>
            </w:r>
            <w:r w:rsidR="0082342C">
              <w:rPr>
                <w:rFonts w:ascii="Arial" w:hAnsi="Arial" w:cs="Arial"/>
                <w:sz w:val="20"/>
                <w:szCs w:val="20"/>
              </w:rPr>
              <w:t>ed</w:t>
            </w:r>
            <w:r w:rsidRPr="002D0FE1">
              <w:rPr>
                <w:rFonts w:ascii="Arial" w:hAnsi="Arial" w:cs="Arial"/>
                <w:sz w:val="20"/>
                <w:szCs w:val="20"/>
              </w:rPr>
              <w:t xml:space="preserve"> "federal and state constitutional equal protection and due process protections," and posed a "common law conflict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0FE1">
              <w:rPr>
                <w:rFonts w:ascii="Arial" w:hAnsi="Arial" w:cs="Arial"/>
                <w:sz w:val="20"/>
                <w:szCs w:val="20"/>
              </w:rPr>
              <w:t xml:space="preserve">of interest." </w:t>
            </w:r>
          </w:p>
          <w:p w14:paraId="5FAD4C01" w14:textId="7F24309D" w:rsidR="002D0FE1" w:rsidRDefault="002D0FE1" w:rsidP="002D0FE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D0FE1">
              <w:rPr>
                <w:rFonts w:ascii="Arial" w:hAnsi="Arial" w:cs="Arial"/>
                <w:sz w:val="20"/>
                <w:szCs w:val="20"/>
              </w:rPr>
              <w:t>The complaint also assert</w:t>
            </w:r>
            <w:r w:rsidR="00B40154">
              <w:rPr>
                <w:rFonts w:ascii="Arial" w:hAnsi="Arial" w:cs="Arial"/>
                <w:sz w:val="20"/>
                <w:szCs w:val="20"/>
              </w:rPr>
              <w:t>ed</w:t>
            </w:r>
            <w:r w:rsidRPr="002D0F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7001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Pr="002D0FE1">
              <w:rPr>
                <w:rFonts w:ascii="Arial" w:hAnsi="Arial" w:cs="Arial"/>
                <w:sz w:val="20"/>
                <w:szCs w:val="20"/>
              </w:rPr>
              <w:t>there were "significant differences between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B2F">
              <w:rPr>
                <w:rFonts w:ascii="Arial" w:hAnsi="Arial" w:cs="Arial"/>
                <w:sz w:val="20"/>
                <w:szCs w:val="20"/>
              </w:rPr>
              <w:t xml:space="preserve">[two] </w:t>
            </w:r>
            <w:r w:rsidRPr="002D0FE1">
              <w:rPr>
                <w:rFonts w:ascii="Arial" w:hAnsi="Arial" w:cs="Arial"/>
                <w:sz w:val="20"/>
                <w:szCs w:val="20"/>
              </w:rPr>
              <w:t xml:space="preserve">maps" and </w:t>
            </w:r>
            <w:r w:rsidR="007A3B2F">
              <w:rPr>
                <w:rFonts w:ascii="Arial" w:hAnsi="Arial" w:cs="Arial"/>
                <w:sz w:val="20"/>
                <w:szCs w:val="20"/>
              </w:rPr>
              <w:t>described</w:t>
            </w:r>
            <w:r w:rsidRPr="002D0FE1">
              <w:rPr>
                <w:rFonts w:ascii="Arial" w:hAnsi="Arial" w:cs="Arial"/>
                <w:sz w:val="20"/>
                <w:szCs w:val="20"/>
              </w:rPr>
              <w:t xml:space="preserve"> ways in which the Republican delegation's map better met the standards the Chair had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0FE1">
              <w:rPr>
                <w:rFonts w:ascii="Arial" w:hAnsi="Arial" w:cs="Arial"/>
                <w:sz w:val="20"/>
                <w:szCs w:val="20"/>
              </w:rPr>
              <w:t xml:space="preserve">applied. </w:t>
            </w:r>
          </w:p>
          <w:p w14:paraId="11FA53B0" w14:textId="0DFDAFE5" w:rsidR="005F2A8A" w:rsidRPr="002D0FE1" w:rsidRDefault="005F2A8A" w:rsidP="002D0FE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Plaintiffs did not, however, “</w:t>
            </w:r>
            <w:r w:rsidRPr="005F2A8A">
              <w:rPr>
                <w:rFonts w:ascii="Arial" w:hAnsi="Arial" w:cs="Arial"/>
                <w:sz w:val="20"/>
                <w:szCs w:val="20"/>
              </w:rPr>
              <w:t>assert that the map the Commission adopted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 was itself </w:t>
            </w:r>
            <w:r w:rsidR="005C4D3C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/>
                <w:sz w:val="20"/>
                <w:szCs w:val="20"/>
              </w:rPr>
              <w:t>unlawful.</w:t>
            </w:r>
            <w:r w:rsidR="005C4D3C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0A73DF2" w14:textId="515837D3" w:rsidR="00EA5F92" w:rsidRDefault="001B60C5" w:rsidP="00733E5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60C5">
              <w:rPr>
                <w:rFonts w:ascii="Arial" w:hAnsi="Arial" w:cs="Arial"/>
                <w:sz w:val="20"/>
                <w:szCs w:val="20"/>
              </w:rPr>
              <w:t>Defendants, the Democratic delegation to the Commission,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60C5">
              <w:rPr>
                <w:rFonts w:ascii="Arial" w:hAnsi="Arial" w:cs="Arial"/>
                <w:sz w:val="20"/>
                <w:szCs w:val="20"/>
              </w:rPr>
              <w:t>filed a motion to dismiss the amended complaint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B60C5">
              <w:rPr>
                <w:rFonts w:ascii="Arial" w:hAnsi="Arial" w:cs="Arial"/>
                <w:sz w:val="20"/>
                <w:szCs w:val="20"/>
              </w:rPr>
              <w:t>assert</w:t>
            </w:r>
            <w:r>
              <w:rPr>
                <w:rFonts w:ascii="Arial" w:hAnsi="Arial" w:cs="Arial"/>
                <w:sz w:val="20"/>
                <w:szCs w:val="20"/>
              </w:rPr>
              <w:t xml:space="preserve">ing </w:t>
            </w:r>
            <w:r w:rsidRPr="001B60C5">
              <w:rPr>
                <w:rFonts w:ascii="Arial" w:hAnsi="Arial" w:cs="Arial"/>
                <w:sz w:val="20"/>
                <w:szCs w:val="20"/>
              </w:rPr>
              <w:t>that the amende</w:t>
            </w:r>
            <w:r>
              <w:rPr>
                <w:rFonts w:ascii="Arial" w:hAnsi="Arial" w:cs="Arial"/>
                <w:sz w:val="20"/>
                <w:szCs w:val="20"/>
              </w:rPr>
              <w:t xml:space="preserve">d </w:t>
            </w:r>
            <w:r w:rsidRPr="001B60C5">
              <w:rPr>
                <w:rFonts w:ascii="Arial" w:hAnsi="Arial" w:cs="Arial"/>
                <w:sz w:val="20"/>
                <w:szCs w:val="20"/>
              </w:rPr>
              <w:t>complaint fail</w:t>
            </w:r>
            <w:r w:rsidR="00F6243F">
              <w:rPr>
                <w:rFonts w:ascii="Arial" w:hAnsi="Arial" w:cs="Arial"/>
                <w:sz w:val="20"/>
                <w:szCs w:val="20"/>
              </w:rPr>
              <w:t>ed</w:t>
            </w:r>
            <w:r w:rsidRPr="001B60C5">
              <w:rPr>
                <w:rFonts w:ascii="Arial" w:hAnsi="Arial" w:cs="Arial"/>
                <w:sz w:val="20"/>
                <w:szCs w:val="20"/>
              </w:rPr>
              <w:t xml:space="preserve"> to state a claim upon which relief </w:t>
            </w:r>
            <w:r w:rsidR="0063617F">
              <w:rPr>
                <w:rFonts w:ascii="Arial" w:hAnsi="Arial" w:cs="Arial"/>
                <w:sz w:val="20"/>
                <w:szCs w:val="20"/>
              </w:rPr>
              <w:t>could</w:t>
            </w:r>
            <w:r w:rsidRPr="001B60C5">
              <w:rPr>
                <w:rFonts w:ascii="Arial" w:hAnsi="Arial" w:cs="Arial"/>
                <w:sz w:val="20"/>
                <w:szCs w:val="20"/>
              </w:rPr>
              <w:t xml:space="preserve"> be granted.</w:t>
            </w:r>
          </w:p>
          <w:p w14:paraId="31434CEC" w14:textId="77777777" w:rsidR="00B71840" w:rsidRDefault="00B71840" w:rsidP="00FC7D4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2/2/2022, </w:t>
            </w:r>
            <w:r w:rsidR="00FC7D45" w:rsidRPr="00FC7D45">
              <w:rPr>
                <w:rFonts w:ascii="Arial" w:hAnsi="Arial" w:cs="Arial"/>
                <w:sz w:val="20"/>
                <w:szCs w:val="20"/>
              </w:rPr>
              <w:t>Plaintiffs submitted a second amended complaint</w:t>
            </w:r>
            <w:r w:rsidR="00FC7D45">
              <w:rPr>
                <w:rFonts w:ascii="Arial" w:hAnsi="Arial" w:cs="Arial"/>
                <w:sz w:val="20"/>
                <w:szCs w:val="20"/>
              </w:rPr>
              <w:t xml:space="preserve">, and added the </w:t>
            </w:r>
            <w:r w:rsidR="00FC7D45" w:rsidRPr="00FC7D45">
              <w:rPr>
                <w:rFonts w:ascii="Arial" w:hAnsi="Arial" w:cs="Arial"/>
                <w:sz w:val="20"/>
                <w:szCs w:val="20"/>
              </w:rPr>
              <w:t>Princeton Gerrymandering Project (PGP) as a defendant</w:t>
            </w:r>
            <w:r w:rsidR="00FC7D45">
              <w:rPr>
                <w:rFonts w:ascii="Arial" w:hAnsi="Arial" w:cs="Arial"/>
                <w:sz w:val="20"/>
                <w:szCs w:val="20"/>
              </w:rPr>
              <w:t>, arguing that “</w:t>
            </w:r>
            <w:r w:rsidR="00FC7D45" w:rsidRPr="00FC7D45">
              <w:rPr>
                <w:rFonts w:ascii="Arial" w:hAnsi="Arial" w:cs="Arial"/>
                <w:sz w:val="20"/>
                <w:szCs w:val="20"/>
              </w:rPr>
              <w:t>the group advised and provided independent analysis of the parties' proposed redistricting maps to the Chair during</w:t>
            </w:r>
            <w:r w:rsidR="00FC7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D45" w:rsidRPr="00FC7D45">
              <w:rPr>
                <w:rFonts w:ascii="Arial" w:hAnsi="Arial" w:cs="Arial"/>
                <w:sz w:val="20"/>
                <w:szCs w:val="20"/>
              </w:rPr>
              <w:t>the redistricting process and breached an alleged promise of confidentiality by providing valuable feedback to the</w:t>
            </w:r>
            <w:r w:rsidR="00FC7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D45" w:rsidRPr="00FC7D45">
              <w:rPr>
                <w:rFonts w:ascii="Arial" w:hAnsi="Arial" w:cs="Arial"/>
                <w:sz w:val="20"/>
                <w:szCs w:val="20"/>
              </w:rPr>
              <w:t>Democratic delegation.</w:t>
            </w:r>
            <w:r w:rsidR="00654911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2F0A76C" w14:textId="428C8C82" w:rsidR="004F7CE2" w:rsidRPr="004F7CE2" w:rsidRDefault="004F7CE2" w:rsidP="004F7CE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F7CE2">
              <w:rPr>
                <w:rFonts w:ascii="Arial" w:hAnsi="Arial" w:cs="Arial"/>
                <w:sz w:val="20"/>
                <w:szCs w:val="20"/>
              </w:rPr>
              <w:t>Plaintiffs also allege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4F7CE2">
              <w:rPr>
                <w:rFonts w:ascii="Arial" w:hAnsi="Arial" w:cs="Arial"/>
                <w:sz w:val="20"/>
                <w:szCs w:val="20"/>
              </w:rPr>
              <w:t xml:space="preserve"> that PGP </w:t>
            </w:r>
            <w:r w:rsidR="00065D1B">
              <w:rPr>
                <w:rFonts w:ascii="Arial" w:hAnsi="Arial" w:cs="Arial"/>
                <w:sz w:val="20"/>
                <w:szCs w:val="20"/>
              </w:rPr>
              <w:t>was</w:t>
            </w:r>
            <w:r w:rsidRPr="004F7CE2">
              <w:rPr>
                <w:rFonts w:ascii="Arial" w:hAnsi="Arial" w:cs="Arial"/>
                <w:sz w:val="20"/>
                <w:szCs w:val="20"/>
              </w:rPr>
              <w:t xml:space="preserve"> supported by private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7CE2">
              <w:rPr>
                <w:rFonts w:ascii="Arial" w:hAnsi="Arial" w:cs="Arial"/>
                <w:sz w:val="20"/>
                <w:szCs w:val="20"/>
              </w:rPr>
              <w:t>donors who have contributed to Democratic officials and causes.</w:t>
            </w:r>
          </w:p>
        </w:tc>
      </w:tr>
      <w:tr w:rsidR="00ED671F" w:rsidRPr="00D73B91" w14:paraId="37413AE7" w14:textId="77777777" w:rsidTr="00372F65">
        <w:trPr>
          <w:trHeight w:val="513"/>
        </w:trPr>
        <w:tc>
          <w:tcPr>
            <w:tcW w:w="1998" w:type="dxa"/>
          </w:tcPr>
          <w:p w14:paraId="4AEA63B6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40EF3D6D" w14:textId="32C9A0E0" w:rsidR="00ED671F" w:rsidRDefault="00A067E9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067E9">
              <w:rPr>
                <w:rFonts w:ascii="Arial" w:hAnsi="Arial" w:cs="Arial"/>
                <w:sz w:val="20"/>
                <w:szCs w:val="20"/>
              </w:rPr>
              <w:t xml:space="preserve">efendants' motion to dismiss the complaint with prejudice </w:t>
            </w:r>
            <w:r>
              <w:rPr>
                <w:rFonts w:ascii="Arial" w:hAnsi="Arial" w:cs="Arial"/>
                <w:sz w:val="20"/>
                <w:szCs w:val="20"/>
              </w:rPr>
              <w:t>was</w:t>
            </w:r>
            <w:r w:rsidRPr="00A067E9">
              <w:rPr>
                <w:rFonts w:ascii="Arial" w:hAnsi="Arial" w:cs="Arial"/>
                <w:sz w:val="20"/>
                <w:szCs w:val="20"/>
              </w:rPr>
              <w:t xml:space="preserve"> granted.</w:t>
            </w:r>
          </w:p>
          <w:p w14:paraId="26E195EC" w14:textId="7AD46337" w:rsidR="00ED671F" w:rsidRPr="0079288A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D73B91" w14:paraId="0AA16A26" w14:textId="77777777" w:rsidTr="00A522D6">
        <w:trPr>
          <w:trHeight w:val="1827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4F507DD9" w14:textId="481DCC60" w:rsidR="00A96E58" w:rsidRDefault="00A96E58" w:rsidP="00A96E5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 the NJ Constitution, the </w:t>
            </w:r>
            <w:r w:rsidR="008D7711">
              <w:rPr>
                <w:rFonts w:ascii="Arial" w:hAnsi="Arial" w:cs="Arial"/>
                <w:sz w:val="20"/>
                <w:szCs w:val="20"/>
              </w:rPr>
              <w:t xml:space="preserve">Redistricting </w:t>
            </w:r>
            <w:r>
              <w:rPr>
                <w:rFonts w:ascii="Arial" w:hAnsi="Arial" w:cs="Arial"/>
                <w:sz w:val="20"/>
                <w:szCs w:val="20"/>
              </w:rPr>
              <w:t xml:space="preserve">Commission </w:t>
            </w:r>
            <w:r w:rsidRPr="00A96E58">
              <w:rPr>
                <w:rFonts w:ascii="Arial" w:hAnsi="Arial" w:cs="Arial"/>
                <w:sz w:val="20"/>
                <w:szCs w:val="20"/>
              </w:rPr>
              <w:t>is initially comprised of six individuals affiliated wit</w:t>
            </w:r>
            <w:r>
              <w:rPr>
                <w:rFonts w:ascii="Arial" w:hAnsi="Arial" w:cs="Arial"/>
                <w:sz w:val="20"/>
                <w:szCs w:val="20"/>
              </w:rPr>
              <w:t xml:space="preserve">h </w:t>
            </w:r>
            <w:r w:rsidRPr="00A96E58">
              <w:rPr>
                <w:rFonts w:ascii="Arial" w:hAnsi="Arial" w:cs="Arial"/>
                <w:sz w:val="20"/>
                <w:szCs w:val="20"/>
              </w:rPr>
              <w:t>the Democratic Party</w:t>
            </w:r>
            <w:r w:rsidR="00361023">
              <w:rPr>
                <w:rFonts w:ascii="Arial" w:hAnsi="Arial" w:cs="Arial"/>
                <w:sz w:val="20"/>
                <w:szCs w:val="20"/>
              </w:rPr>
              <w:t>,</w:t>
            </w:r>
            <w:r w:rsidRPr="00A96E58">
              <w:rPr>
                <w:rFonts w:ascii="Arial" w:hAnsi="Arial" w:cs="Arial"/>
                <w:sz w:val="20"/>
                <w:szCs w:val="20"/>
              </w:rPr>
              <w:t xml:space="preserve"> and six who are affiliated with the Republican Party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92E35E" w14:textId="2066A80A" w:rsidR="00DC1A5B" w:rsidRDefault="00DC1A5B" w:rsidP="00DC1A5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5F5160">
              <w:rPr>
                <w:rFonts w:ascii="Arial" w:hAnsi="Arial" w:cs="Arial"/>
                <w:sz w:val="20"/>
                <w:szCs w:val="20"/>
              </w:rPr>
              <w:t>thirteenth</w:t>
            </w:r>
            <w:r>
              <w:rPr>
                <w:rFonts w:ascii="Arial" w:hAnsi="Arial" w:cs="Arial"/>
                <w:sz w:val="20"/>
                <w:szCs w:val="20"/>
              </w:rPr>
              <w:t xml:space="preserve"> member is to be selected by the members</w:t>
            </w:r>
            <w:r w:rsidR="00C066EF">
              <w:rPr>
                <w:rFonts w:ascii="Arial" w:hAnsi="Arial" w:cs="Arial"/>
                <w:sz w:val="20"/>
                <w:szCs w:val="20"/>
              </w:rPr>
              <w:t xml:space="preserve">, who </w:t>
            </w:r>
            <w:r w:rsidR="003041A2">
              <w:rPr>
                <w:rFonts w:ascii="Arial" w:hAnsi="Arial" w:cs="Arial"/>
                <w:sz w:val="20"/>
                <w:szCs w:val="20"/>
              </w:rPr>
              <w:t>will then serve</w:t>
            </w:r>
            <w:r w:rsidR="00C066EF">
              <w:rPr>
                <w:rFonts w:ascii="Arial" w:hAnsi="Arial" w:cs="Arial"/>
                <w:sz w:val="20"/>
                <w:szCs w:val="20"/>
              </w:rPr>
              <w:t xml:space="preserve"> as Chair</w:t>
            </w:r>
            <w:r w:rsidR="0026682B">
              <w:rPr>
                <w:rFonts w:ascii="Arial" w:hAnsi="Arial" w:cs="Arial"/>
                <w:sz w:val="20"/>
                <w:szCs w:val="20"/>
              </w:rPr>
              <w:t xml:space="preserve"> and tiebreaker.</w:t>
            </w:r>
          </w:p>
          <w:p w14:paraId="1DAC787F" w14:textId="79326749" w:rsidR="00DC1A5B" w:rsidRDefault="00F84389" w:rsidP="002171B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</w:t>
            </w:r>
            <w:r w:rsidR="00DC1A5B">
              <w:rPr>
                <w:rFonts w:ascii="Arial" w:hAnsi="Arial" w:cs="Arial"/>
                <w:sz w:val="20"/>
                <w:szCs w:val="20"/>
              </w:rPr>
              <w:t>, b</w:t>
            </w:r>
            <w:r w:rsidR="00DC1A5B" w:rsidRPr="00DC1A5B">
              <w:rPr>
                <w:rFonts w:ascii="Arial" w:hAnsi="Arial" w:cs="Arial"/>
                <w:sz w:val="20"/>
                <w:szCs w:val="20"/>
              </w:rPr>
              <w:t>ecause the original twelve</w:t>
            </w:r>
            <w:r w:rsidR="00DC1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1A5B" w:rsidRPr="00DC1A5B">
              <w:rPr>
                <w:rFonts w:ascii="Arial" w:hAnsi="Arial" w:cs="Arial"/>
                <w:sz w:val="20"/>
                <w:szCs w:val="20"/>
              </w:rPr>
              <w:t xml:space="preserve">members were unable to agree on a </w:t>
            </w:r>
            <w:r w:rsidR="00F9408B">
              <w:rPr>
                <w:rFonts w:ascii="Arial" w:hAnsi="Arial" w:cs="Arial"/>
                <w:sz w:val="20"/>
                <w:szCs w:val="20"/>
              </w:rPr>
              <w:t>thirteenth member</w:t>
            </w:r>
            <w:r w:rsidR="00DC1A5B" w:rsidRPr="00DC1A5B">
              <w:rPr>
                <w:rFonts w:ascii="Arial" w:hAnsi="Arial" w:cs="Arial"/>
                <w:sz w:val="20"/>
                <w:szCs w:val="20"/>
              </w:rPr>
              <w:t xml:space="preserve"> by a majority vote, each delegation submitted one</w:t>
            </w:r>
            <w:r w:rsidR="00DC1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1A5B" w:rsidRPr="00DC1A5B">
              <w:rPr>
                <w:rFonts w:ascii="Arial" w:hAnsi="Arial" w:cs="Arial"/>
                <w:sz w:val="20"/>
                <w:szCs w:val="20"/>
              </w:rPr>
              <w:t xml:space="preserve">name to the Court. </w:t>
            </w:r>
          </w:p>
          <w:p w14:paraId="33BC2FD0" w14:textId="03A73251" w:rsidR="0026682B" w:rsidRPr="007678C7" w:rsidRDefault="00DC1A5B" w:rsidP="007678C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C1A5B">
              <w:rPr>
                <w:rFonts w:ascii="Arial" w:hAnsi="Arial" w:cs="Arial"/>
                <w:sz w:val="20"/>
                <w:szCs w:val="20"/>
              </w:rPr>
              <w:lastRenderedPageBreak/>
              <w:t>From those names, the Court had to select the thirteenth member, in accordance with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1A5B">
              <w:rPr>
                <w:rFonts w:ascii="Arial" w:hAnsi="Arial" w:cs="Arial"/>
                <w:sz w:val="20"/>
                <w:szCs w:val="20"/>
              </w:rPr>
              <w:t>Constitution</w:t>
            </w:r>
            <w:r w:rsidR="007678C7">
              <w:rPr>
                <w:rFonts w:ascii="Arial" w:hAnsi="Arial" w:cs="Arial"/>
                <w:sz w:val="20"/>
                <w:szCs w:val="20"/>
              </w:rPr>
              <w:t>; t</w:t>
            </w:r>
            <w:r w:rsidR="003A4568" w:rsidRPr="007678C7">
              <w:rPr>
                <w:rFonts w:ascii="Arial" w:hAnsi="Arial" w:cs="Arial"/>
                <w:sz w:val="20"/>
                <w:szCs w:val="20"/>
              </w:rPr>
              <w:t xml:space="preserve">he Court </w:t>
            </w:r>
            <w:r w:rsidR="00083705" w:rsidRPr="007678C7">
              <w:rPr>
                <w:rFonts w:ascii="Arial" w:hAnsi="Arial" w:cs="Arial"/>
                <w:sz w:val="20"/>
                <w:szCs w:val="20"/>
              </w:rPr>
              <w:t>chose</w:t>
            </w:r>
            <w:r w:rsidR="003A4568" w:rsidRPr="007678C7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4D2D62" w:rsidRPr="007678C7">
              <w:rPr>
                <w:rFonts w:ascii="Arial" w:hAnsi="Arial" w:cs="Arial"/>
                <w:sz w:val="20"/>
                <w:szCs w:val="20"/>
              </w:rPr>
              <w:t>Hon.</w:t>
            </w:r>
            <w:r w:rsidR="003A4568" w:rsidRPr="007678C7">
              <w:rPr>
                <w:rFonts w:ascii="Arial" w:hAnsi="Arial" w:cs="Arial"/>
                <w:sz w:val="20"/>
                <w:szCs w:val="20"/>
              </w:rPr>
              <w:t xml:space="preserve"> John E. Wallace, Jr. (ret.), to serve as the independent member</w:t>
            </w:r>
            <w:r w:rsidR="00266A52" w:rsidRPr="007678C7">
              <w:rPr>
                <w:rFonts w:ascii="Arial" w:hAnsi="Arial" w:cs="Arial"/>
                <w:sz w:val="20"/>
                <w:szCs w:val="20"/>
              </w:rPr>
              <w:t>, and n</w:t>
            </w:r>
            <w:r w:rsidR="003A4568" w:rsidRPr="007678C7">
              <w:rPr>
                <w:rFonts w:ascii="Arial" w:hAnsi="Arial" w:cs="Arial"/>
                <w:sz w:val="20"/>
                <w:szCs w:val="20"/>
              </w:rPr>
              <w:t>either party objected.</w:t>
            </w:r>
          </w:p>
          <w:p w14:paraId="35E60997" w14:textId="508438DF" w:rsidR="00ED671F" w:rsidRDefault="006A5D84" w:rsidP="006A5D8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5D84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12/22/</w:t>
            </w:r>
            <w:r w:rsidR="00790F7C">
              <w:rPr>
                <w:rFonts w:ascii="Arial" w:hAnsi="Arial" w:cs="Arial"/>
                <w:sz w:val="20"/>
                <w:szCs w:val="20"/>
              </w:rPr>
              <w:t>20</w:t>
            </w:r>
            <w:r w:rsidRPr="006A5D84">
              <w:rPr>
                <w:rFonts w:ascii="Arial" w:hAnsi="Arial" w:cs="Arial"/>
                <w:sz w:val="20"/>
                <w:szCs w:val="20"/>
              </w:rPr>
              <w:t xml:space="preserve">21, a majority of the Commission's </w:t>
            </w:r>
            <w:r w:rsidR="00DB19ED">
              <w:rPr>
                <w:rFonts w:ascii="Arial" w:hAnsi="Arial" w:cs="Arial"/>
                <w:sz w:val="20"/>
                <w:szCs w:val="20"/>
              </w:rPr>
              <w:t xml:space="preserve">members—including the </w:t>
            </w:r>
            <w:r w:rsidRPr="006A5D84">
              <w:rPr>
                <w:rFonts w:ascii="Arial" w:hAnsi="Arial" w:cs="Arial"/>
                <w:sz w:val="20"/>
                <w:szCs w:val="20"/>
              </w:rPr>
              <w:t>Chai</w:t>
            </w:r>
            <w:r w:rsidR="00DB19ED">
              <w:rPr>
                <w:rFonts w:ascii="Arial" w:hAnsi="Arial" w:cs="Arial"/>
                <w:sz w:val="20"/>
                <w:szCs w:val="20"/>
              </w:rPr>
              <w:t>r—</w:t>
            </w:r>
            <w:r w:rsidRPr="006A5D84">
              <w:rPr>
                <w:rFonts w:ascii="Arial" w:hAnsi="Arial" w:cs="Arial"/>
                <w:sz w:val="20"/>
                <w:szCs w:val="20"/>
              </w:rPr>
              <w:t>voted in favor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5D84">
              <w:rPr>
                <w:rFonts w:ascii="Arial" w:hAnsi="Arial" w:cs="Arial"/>
                <w:sz w:val="20"/>
                <w:szCs w:val="20"/>
              </w:rPr>
              <w:t xml:space="preserve">map the Democratic delegation presented. </w:t>
            </w:r>
          </w:p>
          <w:p w14:paraId="36BC542D" w14:textId="7EEE39F2" w:rsidR="0026682B" w:rsidRDefault="003576FF" w:rsidP="0086650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deciding between the two maps, the Chair concluded that</w:t>
            </w:r>
            <w:r w:rsidR="000D18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both </w:t>
            </w:r>
            <w:r w:rsidR="000D18CB">
              <w:rPr>
                <w:rFonts w:ascii="Arial" w:hAnsi="Arial" w:cs="Arial"/>
                <w:sz w:val="20"/>
                <w:szCs w:val="20"/>
              </w:rPr>
              <w:t xml:space="preserve">maps </w:t>
            </w:r>
            <w:r>
              <w:rPr>
                <w:rFonts w:ascii="Arial" w:hAnsi="Arial" w:cs="Arial"/>
                <w:sz w:val="20"/>
                <w:szCs w:val="20"/>
              </w:rPr>
              <w:t>were constitutional</w:t>
            </w:r>
            <w:r w:rsidR="00C67A3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66509">
              <w:rPr>
                <w:rFonts w:ascii="Arial" w:hAnsi="Arial" w:cs="Arial"/>
                <w:sz w:val="20"/>
                <w:szCs w:val="20"/>
              </w:rPr>
              <w:t>and</w:t>
            </w:r>
            <w:r w:rsidR="00C67A30">
              <w:rPr>
                <w:rFonts w:ascii="Arial" w:hAnsi="Arial" w:cs="Arial"/>
                <w:sz w:val="20"/>
                <w:szCs w:val="20"/>
              </w:rPr>
              <w:t xml:space="preserve"> noted that </w:t>
            </w:r>
            <w:r w:rsidR="00866509">
              <w:rPr>
                <w:rFonts w:ascii="Arial" w:hAnsi="Arial" w:cs="Arial"/>
                <w:sz w:val="20"/>
                <w:szCs w:val="20"/>
              </w:rPr>
              <w:t>“[t]</w:t>
            </w:r>
            <w:r w:rsidR="00866509" w:rsidRPr="00866509">
              <w:rPr>
                <w:rFonts w:ascii="Arial" w:hAnsi="Arial" w:cs="Arial"/>
                <w:sz w:val="20"/>
                <w:szCs w:val="20"/>
              </w:rPr>
              <w:t>he only area</w:t>
            </w:r>
            <w:r w:rsidR="008665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6509" w:rsidRPr="00866509">
              <w:rPr>
                <w:rFonts w:ascii="Arial" w:hAnsi="Arial" w:cs="Arial"/>
                <w:sz w:val="20"/>
                <w:szCs w:val="20"/>
              </w:rPr>
              <w:t>where one map</w:t>
            </w:r>
            <w:r w:rsidR="00866509">
              <w:rPr>
                <w:rFonts w:ascii="Arial" w:hAnsi="Arial" w:cs="Arial"/>
                <w:sz w:val="20"/>
                <w:szCs w:val="20"/>
              </w:rPr>
              <w:t xml:space="preserve"> [the Democrat’s]</w:t>
            </w:r>
            <w:r w:rsidR="00866509" w:rsidRPr="00866509">
              <w:rPr>
                <w:rFonts w:ascii="Arial" w:hAnsi="Arial" w:cs="Arial"/>
                <w:sz w:val="20"/>
                <w:szCs w:val="20"/>
              </w:rPr>
              <w:t xml:space="preserve"> pulled ahead of the other is in partisan fairness</w:t>
            </w:r>
            <w:r w:rsidR="00EC7FA6"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1431F8D2" w14:textId="22A6CB13" w:rsidR="00EC7FA6" w:rsidRDefault="00EC7FA6" w:rsidP="00EC7FA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However, the Chair did not rely on this factor in making his determination.</w:t>
            </w:r>
          </w:p>
          <w:p w14:paraId="73C956B0" w14:textId="0E242CF5" w:rsidR="00EC7FA6" w:rsidRPr="00EC7FA6" w:rsidRDefault="00EC7FA6" w:rsidP="00EC7FA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Rather, the Chair stated that</w:t>
            </w:r>
            <w:r w:rsidR="00ED413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EC7FA6">
              <w:rPr>
                <w:rFonts w:ascii="Arial" w:hAnsi="Arial" w:cs="Arial"/>
                <w:sz w:val="20"/>
                <w:szCs w:val="20"/>
              </w:rPr>
              <w:t>In the end, I decided to vote for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7FA6">
              <w:rPr>
                <w:rFonts w:ascii="Arial" w:hAnsi="Arial" w:cs="Arial"/>
                <w:sz w:val="20"/>
                <w:szCs w:val="20"/>
              </w:rPr>
              <w:t>Democratic map, simply because in the last redistricting map it was drawn by the Republicans.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EC7FA6">
              <w:rPr>
                <w:rFonts w:ascii="Arial" w:hAnsi="Arial" w:cs="Arial"/>
                <w:sz w:val="20"/>
                <w:szCs w:val="20"/>
              </w:rPr>
              <w:t>Thus, I conclude that fairness dictates that the Democrats have the opportunity to have their map used for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7FA6">
              <w:rPr>
                <w:rFonts w:ascii="Arial" w:hAnsi="Arial" w:cs="Arial"/>
                <w:sz w:val="20"/>
                <w:szCs w:val="20"/>
              </w:rPr>
              <w:t>next redistricting cycle.”</w:t>
            </w:r>
          </w:p>
          <w:p w14:paraId="6A639D96" w14:textId="4E83EB48" w:rsidR="00966E6E" w:rsidRPr="006A5D84" w:rsidRDefault="00966E6E" w:rsidP="00966E6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752E9030" w14:textId="70FF1AD9" w:rsidR="00ED671F" w:rsidRPr="008D467C" w:rsidRDefault="008F32E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</w:t>
            </w:r>
            <w:r w:rsidR="007710E7" w:rsidRPr="007710E7">
              <w:rPr>
                <w:rFonts w:ascii="Arial" w:hAnsi="Arial" w:cs="Arial"/>
                <w:sz w:val="20"/>
                <w:szCs w:val="20"/>
              </w:rPr>
              <w:t xml:space="preserve">plaintiffs' allegations </w:t>
            </w:r>
            <w:r w:rsidR="007710E7">
              <w:rPr>
                <w:rFonts w:ascii="Arial" w:hAnsi="Arial" w:cs="Arial"/>
                <w:sz w:val="20"/>
                <w:szCs w:val="20"/>
              </w:rPr>
              <w:t>were</w:t>
            </w:r>
            <w:r w:rsidR="007710E7" w:rsidRPr="007710E7">
              <w:rPr>
                <w:rFonts w:ascii="Arial" w:hAnsi="Arial" w:cs="Arial"/>
                <w:sz w:val="20"/>
                <w:szCs w:val="20"/>
              </w:rPr>
              <w:t xml:space="preserve"> insufficient to support a claim upon which relief </w:t>
            </w:r>
            <w:r w:rsidR="00F05647">
              <w:rPr>
                <w:rFonts w:ascii="Arial" w:hAnsi="Arial" w:cs="Arial"/>
                <w:sz w:val="20"/>
                <w:szCs w:val="20"/>
              </w:rPr>
              <w:t>could</w:t>
            </w:r>
            <w:r w:rsidR="007710E7" w:rsidRPr="007710E7">
              <w:rPr>
                <w:rFonts w:ascii="Arial" w:hAnsi="Arial" w:cs="Arial"/>
                <w:sz w:val="20"/>
                <w:szCs w:val="20"/>
              </w:rPr>
              <w:t xml:space="preserve"> be granted</w:t>
            </w:r>
            <w:r w:rsidR="000C51D3">
              <w:rPr>
                <w:rFonts w:ascii="Arial" w:hAnsi="Arial" w:cs="Arial"/>
                <w:sz w:val="20"/>
                <w:szCs w:val="20"/>
              </w:rPr>
              <w:t xml:space="preserve">, because they did not assert any </w:t>
            </w:r>
            <w:r w:rsidR="00085EEE">
              <w:rPr>
                <w:rFonts w:ascii="Arial" w:hAnsi="Arial" w:cs="Arial"/>
                <w:sz w:val="20"/>
                <w:szCs w:val="20"/>
              </w:rPr>
              <w:t>constitutional</w:t>
            </w:r>
            <w:r w:rsidR="000C51D3">
              <w:rPr>
                <w:rFonts w:ascii="Arial" w:hAnsi="Arial" w:cs="Arial"/>
                <w:sz w:val="20"/>
                <w:szCs w:val="20"/>
              </w:rPr>
              <w:t xml:space="preserve"> violation.</w:t>
            </w:r>
          </w:p>
        </w:tc>
      </w:tr>
      <w:tr w:rsidR="00ED671F" w:rsidRPr="008D467C" w14:paraId="36271834" w14:textId="77777777" w:rsidTr="00085EEE">
        <w:trPr>
          <w:trHeight w:val="360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5F5E3764" w14:textId="4181FFF6" w:rsidR="00ED671F" w:rsidRDefault="00D14D13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Justiciability of the NJ Supreme Court Over the Redistricting Process</w:t>
            </w:r>
          </w:p>
          <w:p w14:paraId="2E2A3465" w14:textId="0E52C7E7" w:rsidR="00F950A3" w:rsidRDefault="00F950A3" w:rsidP="00F950A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950A3">
              <w:rPr>
                <w:rFonts w:ascii="Arial" w:hAnsi="Arial" w:cs="Arial"/>
                <w:sz w:val="20"/>
                <w:szCs w:val="20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F950A3">
              <w:rPr>
                <w:rFonts w:ascii="Arial" w:hAnsi="Arial" w:cs="Arial"/>
                <w:sz w:val="20"/>
                <w:szCs w:val="20"/>
              </w:rPr>
              <w:t xml:space="preserve"> Court has no role in the outcome of the redistricting process unless the map is "unlawful."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50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50A3">
              <w:rPr>
                <w:rFonts w:ascii="Arial" w:hAnsi="Arial" w:cs="Arial"/>
                <w:smallCaps/>
                <w:sz w:val="20"/>
                <w:szCs w:val="20"/>
              </w:rPr>
              <w:t>N.J. Const.</w:t>
            </w:r>
            <w:r w:rsidRPr="00F950A3">
              <w:rPr>
                <w:rFonts w:ascii="Arial" w:hAnsi="Arial" w:cs="Arial"/>
                <w:sz w:val="20"/>
                <w:szCs w:val="20"/>
              </w:rPr>
              <w:t xml:space="preserve"> art.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50A3">
              <w:rPr>
                <w:rFonts w:ascii="Arial" w:hAnsi="Arial" w:cs="Arial"/>
                <w:sz w:val="20"/>
                <w:szCs w:val="20"/>
              </w:rPr>
              <w:t>II, § 2, ¶¶ 7, 9.</w:t>
            </w:r>
          </w:p>
          <w:p w14:paraId="18CB99EC" w14:textId="2A1E5BCC" w:rsidR="00203911" w:rsidRDefault="00203911" w:rsidP="0020391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03911">
              <w:rPr>
                <w:rFonts w:ascii="Arial" w:hAnsi="Arial" w:cs="Arial"/>
                <w:sz w:val="20"/>
                <w:szCs w:val="20"/>
              </w:rPr>
              <w:t>So long as the final map is constitutional, the Court cannot grant any relief.</w:t>
            </w:r>
          </w:p>
          <w:p w14:paraId="4F87951E" w14:textId="7C9D021F" w:rsidR="00322A88" w:rsidRDefault="00322A88" w:rsidP="00F950A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22A88">
              <w:rPr>
                <w:rFonts w:ascii="Arial" w:hAnsi="Arial" w:cs="Arial"/>
                <w:sz w:val="20"/>
                <w:szCs w:val="20"/>
              </w:rPr>
              <w:t>If it is</w:t>
            </w:r>
            <w:r w:rsidR="0012777D">
              <w:rPr>
                <w:rFonts w:ascii="Arial" w:hAnsi="Arial" w:cs="Arial"/>
                <w:sz w:val="20"/>
                <w:szCs w:val="20"/>
              </w:rPr>
              <w:t xml:space="preserve"> [unconstitutional]</w:t>
            </w:r>
            <w:r w:rsidRPr="00322A88">
              <w:rPr>
                <w:rFonts w:ascii="Arial" w:hAnsi="Arial" w:cs="Arial"/>
                <w:sz w:val="20"/>
                <w:szCs w:val="20"/>
              </w:rPr>
              <w:t>, the Commission must reassemble and adopt another redistricting plan.</w:t>
            </w:r>
          </w:p>
          <w:p w14:paraId="7F82AAFC" w14:textId="77777777" w:rsidR="00F96C2F" w:rsidRDefault="00F90141" w:rsidP="00F96C2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Standing</w:t>
            </w:r>
          </w:p>
          <w:p w14:paraId="06CF53EB" w14:textId="4078CB10" w:rsidR="00F90141" w:rsidRDefault="00F90141" w:rsidP="001F180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NJ </w:t>
            </w:r>
            <w:r w:rsidRPr="00F90141">
              <w:rPr>
                <w:rFonts w:ascii="Arial" w:hAnsi="Arial" w:cs="Arial"/>
                <w:sz w:val="20"/>
                <w:szCs w:val="20"/>
              </w:rPr>
              <w:t>jurisprudence takes a more liberal approach to standing than federal law</w:t>
            </w:r>
            <w:r w:rsidR="001F180D">
              <w:rPr>
                <w:rFonts w:ascii="Arial" w:hAnsi="Arial" w:cs="Arial"/>
                <w:sz w:val="20"/>
                <w:szCs w:val="20"/>
              </w:rPr>
              <w:t>; t</w:t>
            </w:r>
            <w:r w:rsidRPr="001F180D">
              <w:rPr>
                <w:rFonts w:ascii="Arial" w:hAnsi="Arial" w:cs="Arial"/>
                <w:sz w:val="20"/>
                <w:szCs w:val="20"/>
              </w:rPr>
              <w:t>he State Constitution does not limit " judicial power to actual cases and</w:t>
            </w:r>
            <w:r w:rsidR="001F18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180D">
              <w:rPr>
                <w:rFonts w:ascii="Arial" w:hAnsi="Arial" w:cs="Arial"/>
                <w:sz w:val="20"/>
                <w:szCs w:val="20"/>
              </w:rPr>
              <w:t>controversies."</w:t>
            </w:r>
          </w:p>
          <w:p w14:paraId="75368B74" w14:textId="77777777" w:rsidR="001F180D" w:rsidRDefault="000C5FCF" w:rsidP="000C5FC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C5FCF">
              <w:rPr>
                <w:rFonts w:ascii="Arial" w:hAnsi="Arial" w:cs="Arial"/>
                <w:sz w:val="20"/>
                <w:szCs w:val="20"/>
              </w:rPr>
              <w:t>To possess standing in state court, a party must have "a sufficient stake in the outcome of the litigation"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5FCF">
              <w:rPr>
                <w:rFonts w:ascii="Arial" w:hAnsi="Arial" w:cs="Arial"/>
                <w:sz w:val="20"/>
                <w:szCs w:val="20"/>
              </w:rPr>
              <w:t>"real adverseness," and there must be "a substantial likelihood that the party will suffer harm in the event of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5FCF">
              <w:rPr>
                <w:rFonts w:ascii="Arial" w:hAnsi="Arial" w:cs="Arial"/>
                <w:sz w:val="20"/>
                <w:szCs w:val="20"/>
              </w:rPr>
              <w:t>unfavorable decision."</w:t>
            </w:r>
          </w:p>
          <w:p w14:paraId="400101F2" w14:textId="11D4A2A3" w:rsidR="000C5FCF" w:rsidRDefault="000C5FCF" w:rsidP="000C5FC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0C5FCF">
              <w:rPr>
                <w:rFonts w:ascii="Arial" w:hAnsi="Arial" w:cs="Arial"/>
                <w:sz w:val="20"/>
                <w:szCs w:val="20"/>
              </w:rPr>
              <w:t xml:space="preserve">eight </w:t>
            </w:r>
            <w:r>
              <w:rPr>
                <w:rFonts w:ascii="Arial" w:hAnsi="Arial" w:cs="Arial"/>
                <w:sz w:val="20"/>
                <w:szCs w:val="20"/>
              </w:rPr>
              <w:t xml:space="preserve">is also given </w:t>
            </w:r>
            <w:r w:rsidRPr="000C5FCF">
              <w:rPr>
                <w:rFonts w:ascii="Arial" w:hAnsi="Arial" w:cs="Arial"/>
                <w:sz w:val="20"/>
                <w:szCs w:val="20"/>
              </w:rPr>
              <w:t>to the public's interest in the resolution of a matter and favor a just ruling on the merits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5FCF">
              <w:rPr>
                <w:rFonts w:ascii="Arial" w:hAnsi="Arial" w:cs="Arial"/>
                <w:sz w:val="20"/>
                <w:szCs w:val="20"/>
              </w:rPr>
              <w:t>over "procedural frustrations."</w:t>
            </w:r>
          </w:p>
          <w:p w14:paraId="25700A5A" w14:textId="5AD05C4B" w:rsidR="005A1F0E" w:rsidRDefault="005A1F0E" w:rsidP="005A1F0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Requirements of a Constitutional NJ Redistricting Map</w:t>
            </w:r>
          </w:p>
          <w:p w14:paraId="11EF7137" w14:textId="77777777" w:rsidR="00AF53EE" w:rsidRDefault="00AA2F18" w:rsidP="00AF53E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2F18">
              <w:rPr>
                <w:rFonts w:ascii="Arial" w:hAnsi="Arial" w:cs="Arial"/>
                <w:sz w:val="20"/>
                <w:szCs w:val="20"/>
              </w:rPr>
              <w:t>"</w:t>
            </w:r>
            <w:r w:rsidR="00AF53EE">
              <w:rPr>
                <w:rFonts w:ascii="Arial" w:hAnsi="Arial" w:cs="Arial"/>
                <w:sz w:val="20"/>
                <w:szCs w:val="20"/>
              </w:rPr>
              <w:t>[C]</w:t>
            </w:r>
            <w:proofErr w:type="spellStart"/>
            <w:r w:rsidRPr="00AA2F18">
              <w:rPr>
                <w:rFonts w:ascii="Arial" w:hAnsi="Arial" w:cs="Arial"/>
                <w:sz w:val="20"/>
                <w:szCs w:val="20"/>
              </w:rPr>
              <w:t>ongressional</w:t>
            </w:r>
            <w:proofErr w:type="spellEnd"/>
            <w:r w:rsidRPr="00AA2F18">
              <w:rPr>
                <w:rFonts w:ascii="Arial" w:hAnsi="Arial" w:cs="Arial"/>
                <w:sz w:val="20"/>
                <w:szCs w:val="20"/>
              </w:rPr>
              <w:t xml:space="preserve"> districts . . . shall be geographically</w:t>
            </w:r>
            <w:r w:rsidR="00AF53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3EE">
              <w:rPr>
                <w:rFonts w:ascii="Arial" w:hAnsi="Arial" w:cs="Arial"/>
                <w:sz w:val="20"/>
                <w:szCs w:val="20"/>
              </w:rPr>
              <w:t xml:space="preserve">contiguous" and account for each district's total population; </w:t>
            </w:r>
          </w:p>
          <w:p w14:paraId="250AE93C" w14:textId="2547A166" w:rsidR="00AF53EE" w:rsidRDefault="00AA2F18" w:rsidP="00AF53E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F53EE">
              <w:rPr>
                <w:rFonts w:ascii="Arial" w:hAnsi="Arial" w:cs="Arial"/>
                <w:sz w:val="20"/>
                <w:szCs w:val="20"/>
              </w:rPr>
              <w:t>"</w:t>
            </w:r>
            <w:r w:rsidR="00AF53EE">
              <w:rPr>
                <w:rFonts w:ascii="Arial" w:hAnsi="Arial" w:cs="Arial"/>
                <w:sz w:val="20"/>
                <w:szCs w:val="20"/>
              </w:rPr>
              <w:t>M</w:t>
            </w:r>
            <w:r w:rsidRPr="00AF53EE">
              <w:rPr>
                <w:rFonts w:ascii="Arial" w:hAnsi="Arial" w:cs="Arial"/>
                <w:sz w:val="20"/>
                <w:szCs w:val="20"/>
              </w:rPr>
              <w:t>apmakers shall comply with the Voting Rights</w:t>
            </w:r>
            <w:r w:rsidR="00AF53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3EE">
              <w:rPr>
                <w:rFonts w:ascii="Arial" w:hAnsi="Arial" w:cs="Arial"/>
                <w:sz w:val="20"/>
                <w:szCs w:val="20"/>
              </w:rPr>
              <w:t xml:space="preserve">Act" and other relevant authority, and </w:t>
            </w:r>
          </w:p>
          <w:p w14:paraId="60473EEC" w14:textId="77777777" w:rsidR="00AF53EE" w:rsidRDefault="00AA2F18" w:rsidP="00AF53E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F53EE">
              <w:rPr>
                <w:rFonts w:ascii="Arial" w:hAnsi="Arial" w:cs="Arial"/>
                <w:sz w:val="20"/>
                <w:szCs w:val="20"/>
              </w:rPr>
              <w:t>"</w:t>
            </w:r>
            <w:r w:rsidR="00AF53EE">
              <w:rPr>
                <w:rFonts w:ascii="Arial" w:hAnsi="Arial" w:cs="Arial"/>
                <w:sz w:val="20"/>
                <w:szCs w:val="20"/>
              </w:rPr>
              <w:t>[S]</w:t>
            </w:r>
            <w:proofErr w:type="spellStart"/>
            <w:r w:rsidRPr="00AF53EE">
              <w:rPr>
                <w:rFonts w:ascii="Arial" w:hAnsi="Arial" w:cs="Arial"/>
                <w:sz w:val="20"/>
                <w:szCs w:val="20"/>
              </w:rPr>
              <w:t>hould</w:t>
            </w:r>
            <w:proofErr w:type="spellEnd"/>
            <w:r w:rsidRPr="00AF53EE">
              <w:rPr>
                <w:rFonts w:ascii="Arial" w:hAnsi="Arial" w:cs="Arial"/>
                <w:sz w:val="20"/>
                <w:szCs w:val="20"/>
              </w:rPr>
              <w:t xml:space="preserve"> include sufficient numbers of minority/majority districts"; </w:t>
            </w:r>
          </w:p>
          <w:p w14:paraId="062B14EA" w14:textId="77777777" w:rsidR="00660D75" w:rsidRDefault="00AF53EE" w:rsidP="00AF53E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AA2F18" w:rsidRPr="00AF53EE">
              <w:rPr>
                <w:rFonts w:ascii="Arial" w:hAnsi="Arial" w:cs="Arial"/>
                <w:sz w:val="20"/>
                <w:szCs w:val="20"/>
              </w:rPr>
              <w:t>aps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2F18" w:rsidRPr="00AF53EE">
              <w:rPr>
                <w:rFonts w:ascii="Arial" w:hAnsi="Arial" w:cs="Arial"/>
                <w:sz w:val="20"/>
                <w:szCs w:val="20"/>
              </w:rPr>
              <w:t>"shall not split political subdivision boundaries and communities of interest unless necessary" to comply</w:t>
            </w:r>
            <w:r w:rsidR="00AA2F18">
              <w:t xml:space="preserve"> </w:t>
            </w:r>
            <w:r w:rsidR="00AA2F18" w:rsidRPr="00AF53EE">
              <w:rPr>
                <w:rFonts w:ascii="Arial" w:hAnsi="Arial" w:cs="Arial"/>
                <w:sz w:val="20"/>
                <w:szCs w:val="20"/>
              </w:rPr>
              <w:t xml:space="preserve">with the above standards; </w:t>
            </w:r>
          </w:p>
          <w:p w14:paraId="7396928C" w14:textId="77777777" w:rsidR="00660D75" w:rsidRDefault="00AA2F18" w:rsidP="00AF53E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F53EE">
              <w:rPr>
                <w:rFonts w:ascii="Arial" w:hAnsi="Arial" w:cs="Arial"/>
                <w:sz w:val="20"/>
                <w:szCs w:val="20"/>
              </w:rPr>
              <w:t>"</w:t>
            </w:r>
            <w:r w:rsidR="00660D75">
              <w:rPr>
                <w:rFonts w:ascii="Arial" w:hAnsi="Arial" w:cs="Arial"/>
                <w:sz w:val="20"/>
                <w:szCs w:val="20"/>
              </w:rPr>
              <w:t>C</w:t>
            </w:r>
            <w:r w:rsidRPr="00AF53EE">
              <w:rPr>
                <w:rFonts w:ascii="Arial" w:hAnsi="Arial" w:cs="Arial"/>
                <w:sz w:val="20"/>
                <w:szCs w:val="20"/>
              </w:rPr>
              <w:t xml:space="preserve">ompetitive districts are favored"; </w:t>
            </w:r>
          </w:p>
          <w:p w14:paraId="60853282" w14:textId="75C2F211" w:rsidR="00DE3D4C" w:rsidRPr="00DE3D4C" w:rsidRDefault="00660D75" w:rsidP="00DE3D4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E3D4C">
              <w:rPr>
                <w:rFonts w:ascii="Arial" w:hAnsi="Arial" w:cs="Arial"/>
                <w:sz w:val="20"/>
                <w:szCs w:val="20"/>
                <w:u w:val="single"/>
              </w:rPr>
              <w:t>“N</w:t>
            </w:r>
            <w:r w:rsidR="00AA2F18" w:rsidRPr="00DE3D4C">
              <w:rPr>
                <w:rFonts w:ascii="Arial" w:hAnsi="Arial" w:cs="Arial"/>
                <w:sz w:val="20"/>
                <w:szCs w:val="20"/>
                <w:u w:val="single"/>
              </w:rPr>
              <w:t>o district may be formed solely to favor or</w:t>
            </w:r>
            <w:r w:rsidR="00DE3D4C" w:rsidRPr="00DE3D4C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AA2F18" w:rsidRPr="00DE3D4C">
              <w:rPr>
                <w:rFonts w:ascii="Arial" w:hAnsi="Arial" w:cs="Arial"/>
                <w:sz w:val="20"/>
                <w:szCs w:val="20"/>
                <w:u w:val="single"/>
              </w:rPr>
              <w:t xml:space="preserve">disfavor any political party or the election of any person" (which the Chair described as "partisan fairness"); </w:t>
            </w:r>
          </w:p>
          <w:p w14:paraId="5AA5F3A4" w14:textId="77777777" w:rsidR="005541F9" w:rsidRDefault="00AA2F18" w:rsidP="005541F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2F18">
              <w:rPr>
                <w:rFonts w:ascii="Arial" w:hAnsi="Arial" w:cs="Arial"/>
                <w:sz w:val="20"/>
                <w:szCs w:val="20"/>
              </w:rPr>
              <w:t>"</w:t>
            </w:r>
            <w:r w:rsidR="00DE3D4C">
              <w:rPr>
                <w:rFonts w:ascii="Arial" w:hAnsi="Arial" w:cs="Arial"/>
                <w:sz w:val="20"/>
                <w:szCs w:val="20"/>
              </w:rPr>
              <w:t>[D]</w:t>
            </w:r>
            <w:proofErr w:type="spellStart"/>
            <w:r w:rsidRPr="00AA2F18">
              <w:rPr>
                <w:rFonts w:ascii="Arial" w:hAnsi="Arial" w:cs="Arial"/>
                <w:sz w:val="20"/>
                <w:szCs w:val="20"/>
              </w:rPr>
              <w:t>istricts</w:t>
            </w:r>
            <w:proofErr w:type="spellEnd"/>
            <w:r w:rsidRPr="00AA2F18">
              <w:rPr>
                <w:rFonts w:ascii="Arial" w:hAnsi="Arial" w:cs="Arial"/>
                <w:sz w:val="20"/>
                <w:szCs w:val="20"/>
              </w:rPr>
              <w:t xml:space="preserve"> may include the cores of existing districts" "[to] assist voters in assessing incumbents and minimizing voter</w:t>
            </w:r>
            <w:r w:rsidR="005541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41F9">
              <w:rPr>
                <w:rFonts w:ascii="Arial" w:hAnsi="Arial" w:cs="Arial"/>
                <w:sz w:val="20"/>
                <w:szCs w:val="20"/>
              </w:rPr>
              <w:t xml:space="preserve">confusion"; and </w:t>
            </w:r>
          </w:p>
          <w:p w14:paraId="6537133A" w14:textId="411E7555" w:rsidR="005A1F0E" w:rsidRPr="00714EEF" w:rsidRDefault="005541F9" w:rsidP="00714EE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“All</w:t>
            </w:r>
            <w:r w:rsidR="00AA2F18" w:rsidRPr="005541F9">
              <w:rPr>
                <w:rFonts w:ascii="Arial" w:hAnsi="Arial" w:cs="Arial"/>
                <w:sz w:val="20"/>
                <w:szCs w:val="20"/>
              </w:rPr>
              <w:t xml:space="preserve"> districts shall be as compact and regularly shaped as possible unless deviation is required</w:t>
            </w:r>
            <w:r w:rsidR="00714E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2F18" w:rsidRPr="00714EEF">
              <w:rPr>
                <w:rFonts w:ascii="Arial" w:hAnsi="Arial" w:cs="Arial"/>
                <w:sz w:val="20"/>
                <w:szCs w:val="20"/>
              </w:rPr>
              <w:t>to comply with any of the above standards."</w:t>
            </w:r>
          </w:p>
          <w:p w14:paraId="6FF57219" w14:textId="1B2A4761" w:rsidR="00C71960" w:rsidRPr="000C5FCF" w:rsidRDefault="00C71960" w:rsidP="00C719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47D26CFD" w14:textId="0CF62F42" w:rsidR="00ED671F" w:rsidRPr="002E0856" w:rsidRDefault="008F32E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held that </w:t>
            </w:r>
            <w:r w:rsidR="00085EEE" w:rsidRPr="007710E7">
              <w:rPr>
                <w:rFonts w:ascii="Arial" w:hAnsi="Arial" w:cs="Arial"/>
                <w:sz w:val="20"/>
                <w:szCs w:val="20"/>
              </w:rPr>
              <w:t xml:space="preserve">plaintiffs' allegations </w:t>
            </w:r>
            <w:r w:rsidR="00085EEE">
              <w:rPr>
                <w:rFonts w:ascii="Arial" w:hAnsi="Arial" w:cs="Arial"/>
                <w:sz w:val="20"/>
                <w:szCs w:val="20"/>
              </w:rPr>
              <w:t>were</w:t>
            </w:r>
            <w:r w:rsidR="00085EEE" w:rsidRPr="007710E7">
              <w:rPr>
                <w:rFonts w:ascii="Arial" w:hAnsi="Arial" w:cs="Arial"/>
                <w:sz w:val="20"/>
                <w:szCs w:val="20"/>
              </w:rPr>
              <w:t xml:space="preserve"> insufficient to support a claim upon which relief </w:t>
            </w:r>
            <w:r w:rsidR="00731049">
              <w:rPr>
                <w:rFonts w:ascii="Arial" w:hAnsi="Arial" w:cs="Arial"/>
                <w:sz w:val="20"/>
                <w:szCs w:val="20"/>
              </w:rPr>
              <w:t>could</w:t>
            </w:r>
            <w:r w:rsidR="00085EEE" w:rsidRPr="007710E7">
              <w:rPr>
                <w:rFonts w:ascii="Arial" w:hAnsi="Arial" w:cs="Arial"/>
                <w:sz w:val="20"/>
                <w:szCs w:val="20"/>
              </w:rPr>
              <w:t xml:space="preserve"> be granted</w:t>
            </w:r>
            <w:r w:rsidR="00085EEE">
              <w:rPr>
                <w:rFonts w:ascii="Arial" w:hAnsi="Arial" w:cs="Arial"/>
                <w:sz w:val="20"/>
                <w:szCs w:val="20"/>
              </w:rPr>
              <w:t>, because they did not assert any constitutional violation.</w:t>
            </w:r>
          </w:p>
        </w:tc>
      </w:tr>
      <w:tr w:rsidR="00ED671F" w:rsidRPr="008D467C" w14:paraId="5135565A" w14:textId="77777777" w:rsidTr="00146FF8">
        <w:trPr>
          <w:trHeight w:val="630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61DD56CB" w14:textId="36BCB1D2" w:rsidR="006F77FA" w:rsidRDefault="006F77FA" w:rsidP="006F77F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First, </w:t>
            </w:r>
            <w:r w:rsidR="008F32E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Court rejected Defendants’ argument that plaintiffs lacked standing, noting that they</w:t>
            </w:r>
            <w:r w:rsidRPr="006F77F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6F77FA">
              <w:rPr>
                <w:rFonts w:ascii="Arial" w:hAnsi="Arial" w:cs="Arial"/>
                <w:sz w:val="20"/>
                <w:szCs w:val="20"/>
              </w:rPr>
              <w:t>have a strong stake in the outcome of the redistricting process and are plainly adverse to the map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77FA">
              <w:rPr>
                <w:rFonts w:ascii="Arial" w:hAnsi="Arial" w:cs="Arial"/>
                <w:sz w:val="20"/>
                <w:szCs w:val="20"/>
              </w:rPr>
              <w:t>adopted.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4D1EC8AF" w14:textId="64CA5431" w:rsidR="00ED671F" w:rsidRDefault="004D4185" w:rsidP="006F77F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Defendants’</w:t>
            </w:r>
            <w:r w:rsidR="006F77FA" w:rsidRPr="006F77FA">
              <w:rPr>
                <w:rFonts w:ascii="Arial" w:hAnsi="Arial" w:cs="Arial"/>
                <w:sz w:val="20"/>
                <w:szCs w:val="20"/>
              </w:rPr>
              <w:t xml:space="preserve"> assertion of personal harm as members of the delegation is less strong, but the overriding public</w:t>
            </w:r>
            <w:r w:rsidR="006F77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77FA" w:rsidRPr="006F77FA">
              <w:rPr>
                <w:rFonts w:ascii="Arial" w:hAnsi="Arial" w:cs="Arial"/>
                <w:sz w:val="20"/>
                <w:szCs w:val="20"/>
              </w:rPr>
              <w:t>interest in this case is compelling.</w:t>
            </w:r>
          </w:p>
          <w:p w14:paraId="739FB271" w14:textId="77777777" w:rsidR="007C0593" w:rsidRDefault="007C0593" w:rsidP="007C059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7C0593">
              <w:rPr>
                <w:rFonts w:ascii="Arial" w:hAnsi="Arial" w:cs="Arial"/>
                <w:sz w:val="20"/>
                <w:szCs w:val="20"/>
              </w:rPr>
              <w:t>Resolving the map for congressional districts for the next decade is of the</w:t>
            </w:r>
            <w:r>
              <w:t xml:space="preserve"> </w:t>
            </w:r>
            <w:r w:rsidRPr="007C0593">
              <w:rPr>
                <w:rFonts w:ascii="Arial" w:hAnsi="Arial" w:cs="Arial"/>
                <w:sz w:val="20"/>
                <w:szCs w:val="20"/>
              </w:rPr>
              <w:t>utmost importance</w:t>
            </w:r>
            <w:r>
              <w:rPr>
                <w:rFonts w:ascii="Arial" w:hAnsi="Arial" w:cs="Arial"/>
                <w:sz w:val="20"/>
                <w:szCs w:val="20"/>
              </w:rPr>
              <w:t>,” and “[d]</w:t>
            </w:r>
            <w:proofErr w:type="spellStart"/>
            <w:r w:rsidRPr="007C0593">
              <w:rPr>
                <w:rFonts w:ascii="Arial" w:hAnsi="Arial" w:cs="Arial"/>
                <w:sz w:val="20"/>
                <w:szCs w:val="20"/>
              </w:rPr>
              <w:t>oing</w:t>
            </w:r>
            <w:proofErr w:type="spellEnd"/>
            <w:r w:rsidRPr="007C0593">
              <w:rPr>
                <w:rFonts w:ascii="Arial" w:hAnsi="Arial" w:cs="Arial"/>
                <w:sz w:val="20"/>
                <w:szCs w:val="20"/>
              </w:rPr>
              <w:t xml:space="preserve"> so expeditiously, in time for candidates and election officials to plan for the upcoming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0593">
              <w:rPr>
                <w:rFonts w:ascii="Arial" w:hAnsi="Arial" w:cs="Arial"/>
                <w:sz w:val="20"/>
                <w:szCs w:val="20"/>
              </w:rPr>
              <w:t>primary and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0593">
              <w:rPr>
                <w:rFonts w:ascii="Arial" w:hAnsi="Arial" w:cs="Arial"/>
                <w:sz w:val="20"/>
                <w:szCs w:val="20"/>
              </w:rPr>
              <w:t>elections, is also significant to the public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68A151B2" w14:textId="5AA3499E" w:rsidR="00C64A3C" w:rsidRDefault="00C64A3C" w:rsidP="000C09C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Court </w:t>
            </w:r>
            <w:r w:rsidR="009223F9">
              <w:rPr>
                <w:rFonts w:ascii="Arial" w:hAnsi="Arial" w:cs="Arial"/>
                <w:sz w:val="20"/>
                <w:szCs w:val="20"/>
              </w:rPr>
              <w:t xml:space="preserve">then </w:t>
            </w:r>
            <w:r w:rsidR="003E0BA8">
              <w:rPr>
                <w:rFonts w:ascii="Arial" w:hAnsi="Arial" w:cs="Arial"/>
                <w:sz w:val="20"/>
                <w:szCs w:val="20"/>
              </w:rPr>
              <w:t xml:space="preserve">determined </w:t>
            </w:r>
            <w:r w:rsidR="005F2E2D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3E0BA8">
              <w:rPr>
                <w:rFonts w:ascii="Arial" w:hAnsi="Arial" w:cs="Arial"/>
                <w:sz w:val="20"/>
                <w:szCs w:val="20"/>
              </w:rPr>
              <w:t>there was no justiciability, because the maps were not unlawful.</w:t>
            </w:r>
          </w:p>
          <w:p w14:paraId="120F9BF1" w14:textId="6F03895A" w:rsidR="00533808" w:rsidRPr="00533808" w:rsidRDefault="00533808" w:rsidP="0053380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533808">
              <w:rPr>
                <w:rFonts w:ascii="Arial" w:hAnsi="Arial" w:cs="Arial"/>
                <w:sz w:val="20"/>
                <w:szCs w:val="20"/>
              </w:rPr>
              <w:t>Reasonable people may differ with a tiebreaker's evaluation of, and support for, a particular plan, but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3808">
              <w:rPr>
                <w:rFonts w:ascii="Arial" w:hAnsi="Arial" w:cs="Arial"/>
                <w:sz w:val="20"/>
                <w:szCs w:val="20"/>
              </w:rPr>
              <w:t>decision is not subject to review by the Court unless the plan is unlawful or reflects invidious discrimination.</w:t>
            </w:r>
            <w:r w:rsidR="00DC5E3C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6E310C19" w14:textId="797DA395" w:rsidR="00C1047B" w:rsidRDefault="00C64A3C" w:rsidP="00DC5E3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0C09CF" w:rsidRPr="000C09CF">
              <w:rPr>
                <w:rFonts w:ascii="Arial" w:hAnsi="Arial" w:cs="Arial"/>
                <w:sz w:val="20"/>
                <w:szCs w:val="20"/>
              </w:rPr>
              <w:t>No count in the complaint</w:t>
            </w:r>
            <w:r w:rsidR="009E6EB8"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="000C09CF" w:rsidRPr="000C09CF">
              <w:rPr>
                <w:rFonts w:ascii="Arial" w:hAnsi="Arial" w:cs="Arial"/>
                <w:sz w:val="20"/>
                <w:szCs w:val="20"/>
              </w:rPr>
              <w:t>asserts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09CF" w:rsidRPr="00C64A3C">
              <w:rPr>
                <w:rFonts w:ascii="Arial" w:hAnsi="Arial" w:cs="Arial"/>
                <w:sz w:val="20"/>
                <w:szCs w:val="20"/>
              </w:rPr>
              <w:t>the final map itself is unlawful or that it is the result of invidious discrimination.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63F99658" w14:textId="45E5203C" w:rsidR="00C727EA" w:rsidRPr="0090370C" w:rsidRDefault="0090370C" w:rsidP="0090370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90370C">
              <w:rPr>
                <w:rFonts w:ascii="Arial" w:hAnsi="Arial" w:cs="Arial"/>
                <w:sz w:val="20"/>
                <w:szCs w:val="20"/>
              </w:rPr>
              <w:t>Plaintiffs' argument focuses on the Chair's thought process but does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370C">
              <w:rPr>
                <w:rFonts w:ascii="Arial" w:hAnsi="Arial" w:cs="Arial"/>
                <w:sz w:val="20"/>
                <w:szCs w:val="20"/>
              </w:rPr>
              <w:t>allege how the map suffers from invidious discrimination or is otherwise unlawful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5F9AA0DE" w14:textId="2EBF14CB" w:rsidR="00DC5E3C" w:rsidRDefault="009A5F2E" w:rsidP="009A5F2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="00071917">
              <w:rPr>
                <w:rFonts w:ascii="Arial" w:hAnsi="Arial" w:cs="Arial"/>
                <w:sz w:val="20"/>
                <w:szCs w:val="20"/>
              </w:rPr>
              <w:t>dismissed as</w:t>
            </w:r>
            <w:r>
              <w:rPr>
                <w:rFonts w:ascii="Arial" w:hAnsi="Arial" w:cs="Arial"/>
                <w:sz w:val="20"/>
                <w:szCs w:val="20"/>
              </w:rPr>
              <w:t xml:space="preserve"> moot the Plaintiffs’ arguments </w:t>
            </w:r>
            <w:r w:rsidR="00E0170A">
              <w:rPr>
                <w:rFonts w:ascii="Arial" w:hAnsi="Arial" w:cs="Arial"/>
                <w:sz w:val="20"/>
                <w:szCs w:val="20"/>
              </w:rPr>
              <w:t>related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Chair’s amplified statement, because the Court did not rely on th</w:t>
            </w:r>
            <w:r w:rsidR="000B5239">
              <w:rPr>
                <w:rFonts w:ascii="Arial" w:hAnsi="Arial" w:cs="Arial"/>
                <w:sz w:val="20"/>
                <w:szCs w:val="20"/>
              </w:rPr>
              <w:t>at</w:t>
            </w:r>
            <w:r>
              <w:rPr>
                <w:rFonts w:ascii="Arial" w:hAnsi="Arial" w:cs="Arial"/>
                <w:sz w:val="20"/>
                <w:szCs w:val="20"/>
              </w:rPr>
              <w:t xml:space="preserve"> statement</w:t>
            </w:r>
            <w:r w:rsidR="00DB398C">
              <w:rPr>
                <w:rFonts w:ascii="Arial" w:hAnsi="Arial" w:cs="Arial"/>
                <w:sz w:val="20"/>
                <w:szCs w:val="20"/>
              </w:rPr>
              <w:t xml:space="preserve"> in consideration of this matter.</w:t>
            </w:r>
          </w:p>
          <w:p w14:paraId="738D8E14" w14:textId="0A4308BA" w:rsidR="003432A0" w:rsidRDefault="003432A0" w:rsidP="00D940B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 similarly dismiss</w:t>
            </w:r>
            <w:r w:rsidR="001B4DA9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the Plaintiffs’ arguments in their second amended complaint as to PGP, because the “p</w:t>
            </w:r>
            <w:r w:rsidRPr="003432A0">
              <w:rPr>
                <w:rFonts w:ascii="Arial" w:hAnsi="Arial" w:cs="Arial"/>
                <w:sz w:val="20"/>
                <w:szCs w:val="20"/>
              </w:rPr>
              <w:t>laintiffs' additional claim</w:t>
            </w:r>
            <w:r w:rsidR="0094082F">
              <w:rPr>
                <w:rFonts w:ascii="Arial" w:hAnsi="Arial" w:cs="Arial"/>
                <w:sz w:val="20"/>
                <w:szCs w:val="20"/>
              </w:rPr>
              <w:t>[s]</w:t>
            </w:r>
            <w:r w:rsidRPr="003432A0">
              <w:rPr>
                <w:rFonts w:ascii="Arial" w:hAnsi="Arial" w:cs="Arial"/>
                <w:sz w:val="20"/>
                <w:szCs w:val="20"/>
              </w:rPr>
              <w:t xml:space="preserve"> do</w:t>
            </w:r>
            <w:r w:rsidR="006C4AD5">
              <w:rPr>
                <w:rFonts w:ascii="Arial" w:hAnsi="Arial" w:cs="Arial"/>
                <w:sz w:val="20"/>
                <w:szCs w:val="20"/>
              </w:rPr>
              <w:t>[]</w:t>
            </w:r>
            <w:r w:rsidRPr="003432A0">
              <w:rPr>
                <w:rFonts w:ascii="Arial" w:hAnsi="Arial" w:cs="Arial"/>
                <w:sz w:val="20"/>
                <w:szCs w:val="20"/>
              </w:rPr>
              <w:t xml:space="preserve"> not assert that the redistricting plan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32A0">
              <w:rPr>
                <w:rFonts w:ascii="Arial" w:hAnsi="Arial" w:cs="Arial"/>
                <w:sz w:val="20"/>
                <w:szCs w:val="20"/>
              </w:rPr>
              <w:t>unlawful or is the result of invidious discrimination</w:t>
            </w:r>
            <w:r w:rsidR="00D940B4">
              <w:rPr>
                <w:rFonts w:ascii="Arial" w:hAnsi="Arial" w:cs="Arial"/>
                <w:sz w:val="20"/>
                <w:szCs w:val="20"/>
              </w:rPr>
              <w:t xml:space="preserve">,” and therefore </w:t>
            </w:r>
            <w:r w:rsidR="00D940B4" w:rsidRPr="00D940B4">
              <w:rPr>
                <w:rFonts w:ascii="Arial" w:hAnsi="Arial" w:cs="Arial"/>
                <w:sz w:val="20"/>
                <w:szCs w:val="20"/>
              </w:rPr>
              <w:t xml:space="preserve">falls outside the Court's </w:t>
            </w:r>
            <w:r w:rsidR="004C4803">
              <w:rPr>
                <w:rFonts w:ascii="Arial" w:hAnsi="Arial" w:cs="Arial"/>
                <w:sz w:val="20"/>
                <w:szCs w:val="20"/>
              </w:rPr>
              <w:t>“</w:t>
            </w:r>
            <w:r w:rsidR="00D940B4" w:rsidRPr="00D940B4">
              <w:rPr>
                <w:rFonts w:ascii="Arial" w:hAnsi="Arial" w:cs="Arial"/>
                <w:sz w:val="20"/>
                <w:szCs w:val="20"/>
              </w:rPr>
              <w:t>limited scope of review in redistricting matters and</w:t>
            </w:r>
            <w:r w:rsidR="00D940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40B4" w:rsidRPr="00D940B4">
              <w:rPr>
                <w:rFonts w:ascii="Arial" w:hAnsi="Arial" w:cs="Arial"/>
                <w:sz w:val="20"/>
                <w:szCs w:val="20"/>
              </w:rPr>
              <w:t>therefore cannot prevail.”</w:t>
            </w:r>
          </w:p>
          <w:p w14:paraId="395422FB" w14:textId="12DDBB48" w:rsidR="00AB3DC1" w:rsidRDefault="00F61571" w:rsidP="00D940B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 dismissed the common law conflict of interest claim.</w:t>
            </w:r>
          </w:p>
          <w:p w14:paraId="4FFE74CB" w14:textId="205936B9" w:rsidR="00852F22" w:rsidRDefault="00852F22" w:rsidP="00F6157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Chair’s </w:t>
            </w:r>
            <w:r w:rsidR="00662079">
              <w:rPr>
                <w:rFonts w:ascii="Arial" w:hAnsi="Arial" w:cs="Arial"/>
                <w:sz w:val="20"/>
                <w:szCs w:val="20"/>
              </w:rPr>
              <w:t>political contribution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2F22">
              <w:rPr>
                <w:rFonts w:ascii="Arial" w:hAnsi="Arial" w:cs="Arial"/>
                <w:sz w:val="20"/>
                <w:szCs w:val="20"/>
              </w:rPr>
              <w:t xml:space="preserve">information </w:t>
            </w:r>
            <w:r w:rsidR="00A10379">
              <w:rPr>
                <w:rFonts w:ascii="Arial" w:hAnsi="Arial" w:cs="Arial"/>
                <w:sz w:val="20"/>
                <w:szCs w:val="20"/>
              </w:rPr>
              <w:t>was</w:t>
            </w:r>
            <w:r w:rsidRPr="00852F22">
              <w:rPr>
                <w:rFonts w:ascii="Arial" w:hAnsi="Arial" w:cs="Arial"/>
                <w:sz w:val="20"/>
                <w:szCs w:val="20"/>
              </w:rPr>
              <w:t xml:space="preserve"> readily available to the public</w:t>
            </w:r>
            <w:r w:rsidR="00655FD8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852F22">
              <w:rPr>
                <w:rFonts w:ascii="Arial" w:hAnsi="Arial" w:cs="Arial"/>
                <w:sz w:val="20"/>
                <w:szCs w:val="20"/>
              </w:rPr>
              <w:t xml:space="preserve">appears on the </w:t>
            </w:r>
            <w:r w:rsidR="00655FD8">
              <w:rPr>
                <w:rFonts w:ascii="Arial" w:hAnsi="Arial" w:cs="Arial"/>
                <w:sz w:val="20"/>
                <w:szCs w:val="20"/>
              </w:rPr>
              <w:t xml:space="preserve">FEC’s </w:t>
            </w:r>
            <w:r w:rsidR="00655FD8" w:rsidRPr="00655FD8">
              <w:rPr>
                <w:rFonts w:ascii="Arial" w:hAnsi="Arial" w:cs="Arial"/>
                <w:sz w:val="20"/>
                <w:szCs w:val="20"/>
              </w:rPr>
              <w:t>public database of contributions to candidates and committees in federal elections</w:t>
            </w:r>
            <w:r w:rsidR="00655FD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C2E13" w14:textId="6E0EFCA0" w:rsidR="00F61571" w:rsidRDefault="00F61571" w:rsidP="00852F22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1571">
              <w:rPr>
                <w:rFonts w:ascii="Arial" w:hAnsi="Arial" w:cs="Arial"/>
                <w:sz w:val="20"/>
                <w:szCs w:val="20"/>
              </w:rPr>
              <w:t>Because plaintiffs either knew or reasonably should have known of the contribution, they could have raised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1571">
              <w:rPr>
                <w:rFonts w:ascii="Arial" w:hAnsi="Arial" w:cs="Arial"/>
                <w:sz w:val="20"/>
                <w:szCs w:val="20"/>
              </w:rPr>
              <w:t xml:space="preserve">the argument earlier.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6386F01" w14:textId="77777777" w:rsidR="00F61571" w:rsidRDefault="00F61571" w:rsidP="00852F22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1571">
              <w:rPr>
                <w:rFonts w:ascii="Arial" w:hAnsi="Arial" w:cs="Arial"/>
                <w:sz w:val="20"/>
                <w:szCs w:val="20"/>
              </w:rPr>
              <w:t>Instead, they did not object to the Chair's participation until after he selected the 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1571">
              <w:rPr>
                <w:rFonts w:ascii="Arial" w:hAnsi="Arial" w:cs="Arial"/>
                <w:sz w:val="20"/>
                <w:szCs w:val="20"/>
              </w:rPr>
              <w:t xml:space="preserve">side's map. </w:t>
            </w:r>
          </w:p>
          <w:p w14:paraId="5F66764C" w14:textId="3226FE13" w:rsidR="00F61571" w:rsidRDefault="00F61571" w:rsidP="00852F22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1571">
              <w:rPr>
                <w:rFonts w:ascii="Arial" w:hAnsi="Arial" w:cs="Arial"/>
                <w:sz w:val="20"/>
                <w:szCs w:val="20"/>
              </w:rPr>
              <w:t>On those facts, a strong argument can be made that plaintiffs waived their conflict claim.</w:t>
            </w:r>
          </w:p>
          <w:p w14:paraId="1CEDF49F" w14:textId="728BA245" w:rsidR="006364E0" w:rsidRDefault="00931D84" w:rsidP="00931D8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Also, “[b]</w:t>
            </w:r>
            <w:proofErr w:type="spellStart"/>
            <w:r w:rsidRPr="00931D84">
              <w:rPr>
                <w:rFonts w:ascii="Arial" w:hAnsi="Arial" w:cs="Arial"/>
                <w:sz w:val="20"/>
                <w:szCs w:val="20"/>
              </w:rPr>
              <w:t>ecause</w:t>
            </w:r>
            <w:proofErr w:type="spellEnd"/>
            <w:r w:rsidRPr="00931D84">
              <w:rPr>
                <w:rFonts w:ascii="Arial" w:hAnsi="Arial" w:cs="Arial"/>
                <w:sz w:val="20"/>
                <w:szCs w:val="20"/>
              </w:rPr>
              <w:t xml:space="preserve"> the Constitution specifies requirements for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1D84">
              <w:rPr>
                <w:rFonts w:ascii="Arial" w:hAnsi="Arial" w:cs="Arial"/>
                <w:sz w:val="20"/>
                <w:szCs w:val="20"/>
              </w:rPr>
              <w:t>tiebreaker, we do not look to the common law, as plaintiffs request, to insert additional qualifications</w:t>
            </w:r>
            <w:r w:rsidR="004663ED"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71DD207B" w14:textId="02F1D300" w:rsidR="004663ED" w:rsidRPr="00493EB0" w:rsidRDefault="00493EB0" w:rsidP="00493EB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93EB0">
              <w:rPr>
                <w:rFonts w:ascii="Arial" w:hAnsi="Arial" w:cs="Arial"/>
                <w:sz w:val="20"/>
                <w:szCs w:val="20"/>
              </w:rPr>
              <w:t>The Constitution does not bar the selection of a person who has contributed to a political campaign or a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3EB0">
              <w:rPr>
                <w:rFonts w:ascii="Arial" w:hAnsi="Arial" w:cs="Arial"/>
                <w:sz w:val="20"/>
                <w:szCs w:val="20"/>
              </w:rPr>
              <w:t xml:space="preserve">political </w:t>
            </w:r>
            <w:r w:rsidRPr="00493EB0">
              <w:rPr>
                <w:rFonts w:ascii="Arial" w:hAnsi="Arial" w:cs="Arial"/>
                <w:sz w:val="20"/>
                <w:szCs w:val="20"/>
              </w:rPr>
              <w:lastRenderedPageBreak/>
              <w:t>group, or whose spouse has done so, as the independent member</w:t>
            </w:r>
            <w:r>
              <w:rPr>
                <w:rFonts w:ascii="Arial" w:hAnsi="Arial" w:cs="Arial"/>
                <w:sz w:val="20"/>
                <w:szCs w:val="20"/>
              </w:rPr>
              <w:t>, and therefore there is no finding of disqualifying conduct.</w:t>
            </w:r>
          </w:p>
          <w:p w14:paraId="5782D514" w14:textId="1139B713" w:rsidR="008F32E6" w:rsidRPr="007C0593" w:rsidRDefault="008F32E6" w:rsidP="008F32E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53F9293" w14:textId="77777777" w:rsidTr="000011E4">
        <w:trPr>
          <w:trHeight w:val="1242"/>
        </w:trPr>
        <w:tc>
          <w:tcPr>
            <w:tcW w:w="1998" w:type="dxa"/>
            <w:tcBorders>
              <w:left w:val="nil"/>
              <w:bottom w:val="nil"/>
            </w:tcBorders>
          </w:tcPr>
          <w:p w14:paraId="063E9EB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Arguments of Parties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19ECE691" w14:textId="3D67EF79" w:rsidR="00B41C81" w:rsidRDefault="00B41C81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Plaintiffs</w:t>
            </w:r>
          </w:p>
          <w:p w14:paraId="575ABF82" w14:textId="2A0CBA2A" w:rsidR="00B41C81" w:rsidRDefault="00D300C3" w:rsidP="0011137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Also r</w:t>
            </w:r>
            <w:r w:rsidR="00F57DF2" w:rsidRPr="00F57DF2">
              <w:rPr>
                <w:rFonts w:ascii="Arial" w:hAnsi="Arial" w:cs="Arial"/>
                <w:sz w:val="20"/>
                <w:szCs w:val="20"/>
              </w:rPr>
              <w:t>aise</w:t>
            </w:r>
            <w:r w:rsidR="00F57DF2">
              <w:rPr>
                <w:rFonts w:ascii="Arial" w:hAnsi="Arial" w:cs="Arial"/>
                <w:sz w:val="20"/>
                <w:szCs w:val="20"/>
              </w:rPr>
              <w:t>d</w:t>
            </w:r>
            <w:r w:rsidR="00F57DF2" w:rsidRPr="00F57DF2">
              <w:rPr>
                <w:rFonts w:ascii="Arial" w:hAnsi="Arial" w:cs="Arial"/>
                <w:sz w:val="20"/>
                <w:szCs w:val="20"/>
              </w:rPr>
              <w:t xml:space="preserve"> a threshold argument </w:t>
            </w:r>
            <w:r w:rsidR="00F57DF2">
              <w:rPr>
                <w:rFonts w:ascii="Arial" w:hAnsi="Arial" w:cs="Arial"/>
                <w:sz w:val="20"/>
                <w:szCs w:val="20"/>
              </w:rPr>
              <w:t>contending</w:t>
            </w:r>
            <w:r w:rsidR="00F57DF2" w:rsidRPr="00F57DF2">
              <w:rPr>
                <w:rFonts w:ascii="Arial" w:hAnsi="Arial" w:cs="Arial"/>
                <w:sz w:val="20"/>
                <w:szCs w:val="20"/>
              </w:rPr>
              <w:t xml:space="preserve"> that the Chair's amplified statement of reasons cannot</w:t>
            </w:r>
            <w:r w:rsidR="001113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7DF2" w:rsidRPr="00111375">
              <w:rPr>
                <w:rFonts w:ascii="Arial" w:hAnsi="Arial" w:cs="Arial"/>
                <w:sz w:val="20"/>
                <w:szCs w:val="20"/>
              </w:rPr>
              <w:t>be considered because it violates the State Constitution's public meeting requirement and</w:t>
            </w:r>
            <w:r w:rsidR="001113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7DF2" w:rsidRPr="00111375">
              <w:rPr>
                <w:rFonts w:ascii="Arial" w:hAnsi="Arial" w:cs="Arial"/>
                <w:sz w:val="20"/>
                <w:szCs w:val="20"/>
              </w:rPr>
              <w:t>analogous principles in the Open Public Meetings Act (OPMA), N.J.S.A. 10:4-6 to -21</w:t>
            </w:r>
            <w:r w:rsidR="00111375">
              <w:rPr>
                <w:rFonts w:ascii="Arial" w:hAnsi="Arial" w:cs="Arial"/>
                <w:sz w:val="20"/>
                <w:szCs w:val="20"/>
              </w:rPr>
              <w:t>, failing to provide proper notice and due process.</w:t>
            </w:r>
            <w:r w:rsidR="00AF53EE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2"/>
            </w:r>
          </w:p>
          <w:p w14:paraId="454EB5F9" w14:textId="5C0C230E" w:rsidR="00642630" w:rsidRPr="00861050" w:rsidRDefault="00642630" w:rsidP="0086105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642630">
              <w:rPr>
                <w:rFonts w:ascii="Arial" w:hAnsi="Arial" w:cs="Arial"/>
                <w:sz w:val="20"/>
                <w:szCs w:val="20"/>
              </w:rPr>
              <w:t>ontend</w:t>
            </w:r>
            <w:r>
              <w:rPr>
                <w:rFonts w:ascii="Arial" w:hAnsi="Arial" w:cs="Arial"/>
                <w:sz w:val="20"/>
                <w:szCs w:val="20"/>
              </w:rPr>
              <w:t>ed that</w:t>
            </w:r>
            <w:r w:rsidRPr="00642630">
              <w:rPr>
                <w:rFonts w:ascii="Arial" w:hAnsi="Arial" w:cs="Arial"/>
                <w:sz w:val="20"/>
                <w:szCs w:val="20"/>
              </w:rPr>
              <w:t xml:space="preserve"> the Chair had a conflict of interest under the common law and should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2630">
              <w:rPr>
                <w:rFonts w:ascii="Arial" w:hAnsi="Arial" w:cs="Arial"/>
                <w:sz w:val="20"/>
                <w:szCs w:val="20"/>
              </w:rPr>
              <w:t>have recused himself because his wife made a political contribution to a member of Congress from New Jersey in</w:t>
            </w:r>
            <w:r w:rsidR="008610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1050">
              <w:rPr>
                <w:rFonts w:ascii="Arial" w:hAnsi="Arial" w:cs="Arial"/>
                <w:sz w:val="20"/>
                <w:szCs w:val="20"/>
              </w:rPr>
              <w:t>2021.</w:t>
            </w:r>
          </w:p>
          <w:p w14:paraId="7E5A3D03" w14:textId="31FEE03A" w:rsidR="00ED671F" w:rsidRDefault="00733E57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Defendants</w:t>
            </w:r>
          </w:p>
          <w:p w14:paraId="3B81AF74" w14:textId="347C1CA7" w:rsidR="00733E57" w:rsidRDefault="00733E57" w:rsidP="00733E5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EA5F92">
              <w:rPr>
                <w:rFonts w:ascii="Arial" w:hAnsi="Arial" w:cs="Arial"/>
                <w:sz w:val="20"/>
                <w:szCs w:val="20"/>
              </w:rPr>
              <w:t>ontend</w:t>
            </w:r>
            <w:r w:rsidR="00CC58C8">
              <w:rPr>
                <w:rFonts w:ascii="Arial" w:hAnsi="Arial" w:cs="Arial"/>
                <w:sz w:val="20"/>
                <w:szCs w:val="20"/>
              </w:rPr>
              <w:t>ed</w:t>
            </w:r>
            <w:r w:rsidRPr="00EA5F92">
              <w:rPr>
                <w:rFonts w:ascii="Arial" w:hAnsi="Arial" w:cs="Arial"/>
                <w:sz w:val="20"/>
                <w:szCs w:val="20"/>
              </w:rPr>
              <w:t xml:space="preserve"> that plaintiffs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A5F92">
              <w:rPr>
                <w:rFonts w:ascii="Arial" w:hAnsi="Arial" w:cs="Arial"/>
                <w:sz w:val="20"/>
                <w:szCs w:val="20"/>
              </w:rPr>
              <w:t>lack standing because they have no "personal stake" and have not alleged a "personal injury."</w:t>
            </w:r>
          </w:p>
          <w:p w14:paraId="36FD2DAD" w14:textId="77777777" w:rsidR="00895E67" w:rsidRDefault="00EB4587" w:rsidP="00EB458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Argued that </w:t>
            </w:r>
            <w:r w:rsidRPr="00EB4587">
              <w:rPr>
                <w:rFonts w:ascii="Arial" w:hAnsi="Arial" w:cs="Arial"/>
                <w:sz w:val="20"/>
                <w:szCs w:val="20"/>
              </w:rPr>
              <w:t>the complaint must be dismissed because it presents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4587">
              <w:rPr>
                <w:rFonts w:ascii="Arial" w:hAnsi="Arial" w:cs="Arial"/>
                <w:sz w:val="20"/>
                <w:szCs w:val="20"/>
              </w:rPr>
              <w:t>nonjusticiable political question.</w:t>
            </w:r>
          </w:p>
          <w:p w14:paraId="2B5C0BDB" w14:textId="21BFE83B" w:rsidR="00F43B50" w:rsidRPr="00F43B50" w:rsidRDefault="00F43B50" w:rsidP="00C04CF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57474FF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37041526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Notes/ </w:t>
            </w:r>
          </w:p>
          <w:p w14:paraId="58605F49" w14:textId="32AC2F7E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4344CD7" w14:textId="59318B09" w:rsidR="00ED671F" w:rsidRPr="008D467C" w:rsidRDefault="006C33A8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BE18" w14:textId="77777777" w:rsidR="002A6CC1" w:rsidRDefault="002A6CC1" w:rsidP="006749C3">
      <w:pPr>
        <w:spacing w:line="240" w:lineRule="auto"/>
      </w:pPr>
      <w:r>
        <w:separator/>
      </w:r>
    </w:p>
  </w:endnote>
  <w:endnote w:type="continuationSeparator" w:id="0">
    <w:p w14:paraId="46904DBC" w14:textId="77777777" w:rsidR="002A6CC1" w:rsidRDefault="002A6CC1" w:rsidP="00674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6D9D" w14:textId="77777777" w:rsidR="002A6CC1" w:rsidRDefault="002A6CC1" w:rsidP="006749C3">
      <w:pPr>
        <w:spacing w:line="240" w:lineRule="auto"/>
      </w:pPr>
      <w:r>
        <w:separator/>
      </w:r>
    </w:p>
  </w:footnote>
  <w:footnote w:type="continuationSeparator" w:id="0">
    <w:p w14:paraId="4C030C14" w14:textId="77777777" w:rsidR="002A6CC1" w:rsidRDefault="002A6CC1" w:rsidP="006749C3">
      <w:pPr>
        <w:spacing w:line="240" w:lineRule="auto"/>
      </w:pPr>
      <w:r>
        <w:continuationSeparator/>
      </w:r>
    </w:p>
  </w:footnote>
  <w:footnote w:id="1">
    <w:p w14:paraId="4153D845" w14:textId="77777777" w:rsidR="006749C3" w:rsidRDefault="006749C3" w:rsidP="006749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6FC9">
        <w:t>The political party designations of the judges were obtained via Google desktop searches, which may not be entirely accurate.</w:t>
      </w:r>
    </w:p>
  </w:footnote>
  <w:footnote w:id="2">
    <w:p w14:paraId="6CC4937E" w14:textId="144746F9" w:rsidR="00AF53EE" w:rsidRDefault="00AF53EE" w:rsidP="00AF53EE">
      <w:pPr>
        <w:pStyle w:val="FootnoteText"/>
      </w:pPr>
      <w:r>
        <w:rPr>
          <w:rStyle w:val="FootnoteReference"/>
        </w:rPr>
        <w:footnoteRef/>
      </w:r>
      <w:r>
        <w:t xml:space="preserve"> On 1/4/</w:t>
      </w:r>
      <w:r w:rsidR="00EC2ADA">
        <w:t>20</w:t>
      </w:r>
      <w:r>
        <w:t xml:space="preserve">22, the Court requested an amplified statement of reasons to assist in its review of this matter. By analogy to Rule 2:5-1(b), which allows a trial judge or agency head to submit "an amplification of a prior statement, opinion or memorandum" when an appeal is taken, the Court asked the Chair to amplify the grounds for his oral decision on </w:t>
      </w:r>
      <w:r w:rsidR="00987C86">
        <w:t>12/22/2021</w:t>
      </w:r>
      <w:r>
        <w:t xml:space="preserve">. </w:t>
      </w:r>
      <w:r w:rsidR="002C0C4A">
        <w:t xml:space="preserve"> </w:t>
      </w:r>
      <w:r>
        <w:t xml:space="preserve">The Chair presented a written statement to the Court and the parties on </w:t>
      </w:r>
      <w:r w:rsidR="00F220F6">
        <w:t>1/11/2</w:t>
      </w:r>
      <w:r w:rsidR="00EC2ADA">
        <w:t>02</w:t>
      </w:r>
      <w:r w:rsidR="00F220F6">
        <w:t>2</w:t>
      </w:r>
      <w:r>
        <w:t>, and it was posted on the Judiciary's website the same day.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24C5C"/>
    <w:rsid w:val="00031BFF"/>
    <w:rsid w:val="0003271E"/>
    <w:rsid w:val="000423F8"/>
    <w:rsid w:val="00053DC6"/>
    <w:rsid w:val="000612B8"/>
    <w:rsid w:val="00061BAC"/>
    <w:rsid w:val="00065D1B"/>
    <w:rsid w:val="00071917"/>
    <w:rsid w:val="00083705"/>
    <w:rsid w:val="00085EEE"/>
    <w:rsid w:val="000B5239"/>
    <w:rsid w:val="000C09CF"/>
    <w:rsid w:val="000C51D3"/>
    <w:rsid w:val="000C5FCF"/>
    <w:rsid w:val="000C62F3"/>
    <w:rsid w:val="000C6405"/>
    <w:rsid w:val="000D18CB"/>
    <w:rsid w:val="000D6927"/>
    <w:rsid w:val="000E1185"/>
    <w:rsid w:val="000E2B5F"/>
    <w:rsid w:val="000F06B0"/>
    <w:rsid w:val="000F7680"/>
    <w:rsid w:val="000F7880"/>
    <w:rsid w:val="00111375"/>
    <w:rsid w:val="0012777D"/>
    <w:rsid w:val="001455D2"/>
    <w:rsid w:val="00146DAD"/>
    <w:rsid w:val="00146FF8"/>
    <w:rsid w:val="0015052D"/>
    <w:rsid w:val="00166C13"/>
    <w:rsid w:val="00181207"/>
    <w:rsid w:val="001872B2"/>
    <w:rsid w:val="00191BE3"/>
    <w:rsid w:val="001B1295"/>
    <w:rsid w:val="001B45BC"/>
    <w:rsid w:val="001B4DA9"/>
    <w:rsid w:val="001B60C5"/>
    <w:rsid w:val="001C5B2D"/>
    <w:rsid w:val="001D1B29"/>
    <w:rsid w:val="001D217F"/>
    <w:rsid w:val="001E6844"/>
    <w:rsid w:val="001F180D"/>
    <w:rsid w:val="001F32D6"/>
    <w:rsid w:val="00203911"/>
    <w:rsid w:val="00207D95"/>
    <w:rsid w:val="00211E23"/>
    <w:rsid w:val="00212664"/>
    <w:rsid w:val="00215EC7"/>
    <w:rsid w:val="002171BC"/>
    <w:rsid w:val="0022426A"/>
    <w:rsid w:val="00225810"/>
    <w:rsid w:val="00257734"/>
    <w:rsid w:val="002643E0"/>
    <w:rsid w:val="00264C5A"/>
    <w:rsid w:val="0026682B"/>
    <w:rsid w:val="00266A52"/>
    <w:rsid w:val="00267920"/>
    <w:rsid w:val="00271211"/>
    <w:rsid w:val="0027636D"/>
    <w:rsid w:val="002856A4"/>
    <w:rsid w:val="00290BB0"/>
    <w:rsid w:val="002A6CC1"/>
    <w:rsid w:val="002C0C4A"/>
    <w:rsid w:val="002C2AAC"/>
    <w:rsid w:val="002C2FFB"/>
    <w:rsid w:val="002D0FE1"/>
    <w:rsid w:val="002E0856"/>
    <w:rsid w:val="002E2E9C"/>
    <w:rsid w:val="002E4B81"/>
    <w:rsid w:val="002F086B"/>
    <w:rsid w:val="002F7FC3"/>
    <w:rsid w:val="0030378C"/>
    <w:rsid w:val="003041A2"/>
    <w:rsid w:val="00322A88"/>
    <w:rsid w:val="0032595F"/>
    <w:rsid w:val="00330EC1"/>
    <w:rsid w:val="00334C92"/>
    <w:rsid w:val="0034242C"/>
    <w:rsid w:val="003427AD"/>
    <w:rsid w:val="003432A0"/>
    <w:rsid w:val="003543FB"/>
    <w:rsid w:val="003576FF"/>
    <w:rsid w:val="00361023"/>
    <w:rsid w:val="00372F65"/>
    <w:rsid w:val="003A4568"/>
    <w:rsid w:val="003B06BC"/>
    <w:rsid w:val="003D65B4"/>
    <w:rsid w:val="003E0BA8"/>
    <w:rsid w:val="0041780A"/>
    <w:rsid w:val="00421FA7"/>
    <w:rsid w:val="0045618C"/>
    <w:rsid w:val="004663ED"/>
    <w:rsid w:val="0047192B"/>
    <w:rsid w:val="00471CFA"/>
    <w:rsid w:val="00472FED"/>
    <w:rsid w:val="00474A3C"/>
    <w:rsid w:val="0047710B"/>
    <w:rsid w:val="00493EB0"/>
    <w:rsid w:val="004A2C87"/>
    <w:rsid w:val="004C4803"/>
    <w:rsid w:val="004D2D62"/>
    <w:rsid w:val="004D4185"/>
    <w:rsid w:val="004F725D"/>
    <w:rsid w:val="004F7CE2"/>
    <w:rsid w:val="00505F82"/>
    <w:rsid w:val="00515521"/>
    <w:rsid w:val="0052532C"/>
    <w:rsid w:val="00533808"/>
    <w:rsid w:val="00537B72"/>
    <w:rsid w:val="00542AC7"/>
    <w:rsid w:val="005541F9"/>
    <w:rsid w:val="005A0373"/>
    <w:rsid w:val="005A1F0E"/>
    <w:rsid w:val="005A4170"/>
    <w:rsid w:val="005B421F"/>
    <w:rsid w:val="005B4C00"/>
    <w:rsid w:val="005B7FFE"/>
    <w:rsid w:val="005C4D3C"/>
    <w:rsid w:val="005D0344"/>
    <w:rsid w:val="005D46F8"/>
    <w:rsid w:val="005D746D"/>
    <w:rsid w:val="005F2A8A"/>
    <w:rsid w:val="005F2E2D"/>
    <w:rsid w:val="005F5160"/>
    <w:rsid w:val="005F539F"/>
    <w:rsid w:val="005F7580"/>
    <w:rsid w:val="005F772C"/>
    <w:rsid w:val="005F7C1D"/>
    <w:rsid w:val="00615775"/>
    <w:rsid w:val="0063617F"/>
    <w:rsid w:val="006364E0"/>
    <w:rsid w:val="00642630"/>
    <w:rsid w:val="00643A05"/>
    <w:rsid w:val="00644822"/>
    <w:rsid w:val="006502FF"/>
    <w:rsid w:val="00654911"/>
    <w:rsid w:val="00655FD8"/>
    <w:rsid w:val="00660D75"/>
    <w:rsid w:val="00662079"/>
    <w:rsid w:val="00671155"/>
    <w:rsid w:val="0067223B"/>
    <w:rsid w:val="006749C3"/>
    <w:rsid w:val="006A08C1"/>
    <w:rsid w:val="006A5D84"/>
    <w:rsid w:val="006B1C61"/>
    <w:rsid w:val="006B2D20"/>
    <w:rsid w:val="006C33A8"/>
    <w:rsid w:val="006C4AD5"/>
    <w:rsid w:val="006E698F"/>
    <w:rsid w:val="006F2C19"/>
    <w:rsid w:val="006F77FA"/>
    <w:rsid w:val="00714EEF"/>
    <w:rsid w:val="0072767F"/>
    <w:rsid w:val="00731049"/>
    <w:rsid w:val="007310E0"/>
    <w:rsid w:val="00733E57"/>
    <w:rsid w:val="00750AC1"/>
    <w:rsid w:val="00765D3C"/>
    <w:rsid w:val="007678C7"/>
    <w:rsid w:val="007710E7"/>
    <w:rsid w:val="00790F7C"/>
    <w:rsid w:val="0079288A"/>
    <w:rsid w:val="00794B9D"/>
    <w:rsid w:val="007970B4"/>
    <w:rsid w:val="007A3B2F"/>
    <w:rsid w:val="007C0593"/>
    <w:rsid w:val="007C445E"/>
    <w:rsid w:val="007D63B1"/>
    <w:rsid w:val="008042C7"/>
    <w:rsid w:val="00804DC1"/>
    <w:rsid w:val="0082342C"/>
    <w:rsid w:val="0082403E"/>
    <w:rsid w:val="00825E45"/>
    <w:rsid w:val="00841AA7"/>
    <w:rsid w:val="0084773C"/>
    <w:rsid w:val="00852EA3"/>
    <w:rsid w:val="00852F22"/>
    <w:rsid w:val="00861050"/>
    <w:rsid w:val="00866509"/>
    <w:rsid w:val="008775BD"/>
    <w:rsid w:val="00895E67"/>
    <w:rsid w:val="0089629B"/>
    <w:rsid w:val="008D467C"/>
    <w:rsid w:val="008D66FD"/>
    <w:rsid w:val="008D7711"/>
    <w:rsid w:val="008E1661"/>
    <w:rsid w:val="008E6D44"/>
    <w:rsid w:val="008E7001"/>
    <w:rsid w:val="008F32E6"/>
    <w:rsid w:val="008F6E61"/>
    <w:rsid w:val="008F7BD9"/>
    <w:rsid w:val="008F7DBF"/>
    <w:rsid w:val="0090370C"/>
    <w:rsid w:val="00905D1D"/>
    <w:rsid w:val="00906592"/>
    <w:rsid w:val="009108BB"/>
    <w:rsid w:val="009223F9"/>
    <w:rsid w:val="00931D84"/>
    <w:rsid w:val="0094082F"/>
    <w:rsid w:val="00966E6E"/>
    <w:rsid w:val="00987C86"/>
    <w:rsid w:val="0099185A"/>
    <w:rsid w:val="00992B19"/>
    <w:rsid w:val="009A5F2E"/>
    <w:rsid w:val="009A6F30"/>
    <w:rsid w:val="009A72E8"/>
    <w:rsid w:val="009B1A73"/>
    <w:rsid w:val="009C6C77"/>
    <w:rsid w:val="009E0842"/>
    <w:rsid w:val="009E6EB8"/>
    <w:rsid w:val="00A067E9"/>
    <w:rsid w:val="00A10326"/>
    <w:rsid w:val="00A10379"/>
    <w:rsid w:val="00A175AC"/>
    <w:rsid w:val="00A22BD7"/>
    <w:rsid w:val="00A33815"/>
    <w:rsid w:val="00A51078"/>
    <w:rsid w:val="00A522D6"/>
    <w:rsid w:val="00A56902"/>
    <w:rsid w:val="00A61043"/>
    <w:rsid w:val="00A64C3F"/>
    <w:rsid w:val="00A71C57"/>
    <w:rsid w:val="00A90B0E"/>
    <w:rsid w:val="00A96E58"/>
    <w:rsid w:val="00AA2F18"/>
    <w:rsid w:val="00AB3DC1"/>
    <w:rsid w:val="00AB7083"/>
    <w:rsid w:val="00AC1E63"/>
    <w:rsid w:val="00AC57A6"/>
    <w:rsid w:val="00AD083C"/>
    <w:rsid w:val="00AE1FFA"/>
    <w:rsid w:val="00AE419A"/>
    <w:rsid w:val="00AE606A"/>
    <w:rsid w:val="00AF20C5"/>
    <w:rsid w:val="00AF53EE"/>
    <w:rsid w:val="00B01256"/>
    <w:rsid w:val="00B07787"/>
    <w:rsid w:val="00B11B08"/>
    <w:rsid w:val="00B17476"/>
    <w:rsid w:val="00B379B0"/>
    <w:rsid w:val="00B40154"/>
    <w:rsid w:val="00B401E4"/>
    <w:rsid w:val="00B41C81"/>
    <w:rsid w:val="00B44B83"/>
    <w:rsid w:val="00B665A3"/>
    <w:rsid w:val="00B71840"/>
    <w:rsid w:val="00B8711F"/>
    <w:rsid w:val="00B932D8"/>
    <w:rsid w:val="00BA4FAC"/>
    <w:rsid w:val="00BD5F8B"/>
    <w:rsid w:val="00BE1973"/>
    <w:rsid w:val="00BF59C4"/>
    <w:rsid w:val="00C04CFD"/>
    <w:rsid w:val="00C066EF"/>
    <w:rsid w:val="00C1047B"/>
    <w:rsid w:val="00C16C8D"/>
    <w:rsid w:val="00C26510"/>
    <w:rsid w:val="00C358BC"/>
    <w:rsid w:val="00C401FE"/>
    <w:rsid w:val="00C552C0"/>
    <w:rsid w:val="00C64A3C"/>
    <w:rsid w:val="00C67A30"/>
    <w:rsid w:val="00C71960"/>
    <w:rsid w:val="00C71B1C"/>
    <w:rsid w:val="00C727EA"/>
    <w:rsid w:val="00C751FE"/>
    <w:rsid w:val="00C77F6D"/>
    <w:rsid w:val="00C842DB"/>
    <w:rsid w:val="00CA1CBF"/>
    <w:rsid w:val="00CA7970"/>
    <w:rsid w:val="00CB14EE"/>
    <w:rsid w:val="00CB51AA"/>
    <w:rsid w:val="00CC527C"/>
    <w:rsid w:val="00CC58C8"/>
    <w:rsid w:val="00CD7689"/>
    <w:rsid w:val="00D14D13"/>
    <w:rsid w:val="00D2575B"/>
    <w:rsid w:val="00D300C3"/>
    <w:rsid w:val="00D40A68"/>
    <w:rsid w:val="00D56348"/>
    <w:rsid w:val="00D61314"/>
    <w:rsid w:val="00D632BA"/>
    <w:rsid w:val="00D63F9D"/>
    <w:rsid w:val="00D67E4B"/>
    <w:rsid w:val="00D73B91"/>
    <w:rsid w:val="00D85450"/>
    <w:rsid w:val="00D866BD"/>
    <w:rsid w:val="00D90943"/>
    <w:rsid w:val="00D940B4"/>
    <w:rsid w:val="00DA35B4"/>
    <w:rsid w:val="00DB19ED"/>
    <w:rsid w:val="00DB398C"/>
    <w:rsid w:val="00DC1A5B"/>
    <w:rsid w:val="00DC318D"/>
    <w:rsid w:val="00DC5E3C"/>
    <w:rsid w:val="00DC6F51"/>
    <w:rsid w:val="00DD66C7"/>
    <w:rsid w:val="00DD7F5E"/>
    <w:rsid w:val="00DE1886"/>
    <w:rsid w:val="00DE3D4C"/>
    <w:rsid w:val="00DF0717"/>
    <w:rsid w:val="00DF450D"/>
    <w:rsid w:val="00E0170A"/>
    <w:rsid w:val="00E124D6"/>
    <w:rsid w:val="00E21002"/>
    <w:rsid w:val="00E2275E"/>
    <w:rsid w:val="00E22B20"/>
    <w:rsid w:val="00E23F93"/>
    <w:rsid w:val="00E328EF"/>
    <w:rsid w:val="00E36A1E"/>
    <w:rsid w:val="00E72929"/>
    <w:rsid w:val="00E80E2A"/>
    <w:rsid w:val="00E96722"/>
    <w:rsid w:val="00EA5F92"/>
    <w:rsid w:val="00EB4587"/>
    <w:rsid w:val="00EC2ADA"/>
    <w:rsid w:val="00EC7FA6"/>
    <w:rsid w:val="00ED32B3"/>
    <w:rsid w:val="00ED4137"/>
    <w:rsid w:val="00ED671F"/>
    <w:rsid w:val="00EE2D91"/>
    <w:rsid w:val="00EE3046"/>
    <w:rsid w:val="00EE4689"/>
    <w:rsid w:val="00EF6ECA"/>
    <w:rsid w:val="00F05647"/>
    <w:rsid w:val="00F1414C"/>
    <w:rsid w:val="00F220F6"/>
    <w:rsid w:val="00F36DBB"/>
    <w:rsid w:val="00F407AC"/>
    <w:rsid w:val="00F43B50"/>
    <w:rsid w:val="00F57DF2"/>
    <w:rsid w:val="00F61571"/>
    <w:rsid w:val="00F6243F"/>
    <w:rsid w:val="00F73E82"/>
    <w:rsid w:val="00F84389"/>
    <w:rsid w:val="00F90141"/>
    <w:rsid w:val="00F917A4"/>
    <w:rsid w:val="00F9408B"/>
    <w:rsid w:val="00F950A3"/>
    <w:rsid w:val="00F96C2F"/>
    <w:rsid w:val="00F97BEF"/>
    <w:rsid w:val="00FA4848"/>
    <w:rsid w:val="00FC1FCB"/>
    <w:rsid w:val="00FC7D45"/>
    <w:rsid w:val="00FD0BC0"/>
    <w:rsid w:val="00FE2F6B"/>
    <w:rsid w:val="00FE4207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9C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9C3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9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DA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183</cp:revision>
  <dcterms:created xsi:type="dcterms:W3CDTF">2022-10-04T01:11:00Z</dcterms:created>
  <dcterms:modified xsi:type="dcterms:W3CDTF">2022-10-06T20:36:00Z</dcterms:modified>
</cp:coreProperties>
</file>