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EEBC" w14:textId="0C4C55F5" w:rsidR="006F2C19" w:rsidRPr="00D73B91" w:rsidRDefault="00CA7970">
      <w:pPr>
        <w:rPr>
          <w:szCs w:val="20"/>
        </w:rPr>
      </w:pPr>
      <w:r w:rsidRPr="00D73B91">
        <w:rPr>
          <w:szCs w:val="20"/>
        </w:rPr>
        <w:t xml:space="preserve">To: </w:t>
      </w:r>
      <w:r w:rsidRPr="00D73B91">
        <w:rPr>
          <w:szCs w:val="20"/>
        </w:rPr>
        <w:tab/>
      </w:r>
      <w:r w:rsidR="005F7C1D">
        <w:rPr>
          <w:szCs w:val="20"/>
        </w:rPr>
        <w:t xml:space="preserve">Jonathan </w:t>
      </w:r>
      <w:proofErr w:type="spellStart"/>
      <w:r w:rsidR="005F7C1D">
        <w:rPr>
          <w:szCs w:val="20"/>
        </w:rPr>
        <w:t>Cervas</w:t>
      </w:r>
      <w:proofErr w:type="spellEnd"/>
      <w:r w:rsidR="0082403E">
        <w:rPr>
          <w:szCs w:val="20"/>
        </w:rPr>
        <w:t>, Ph.</w:t>
      </w:r>
      <w:r w:rsidR="00472FED">
        <w:rPr>
          <w:szCs w:val="20"/>
        </w:rPr>
        <w:t xml:space="preserve">D. &amp; Bernard </w:t>
      </w:r>
      <w:proofErr w:type="spellStart"/>
      <w:r w:rsidR="00472FED">
        <w:rPr>
          <w:szCs w:val="20"/>
        </w:rPr>
        <w:t>Grofman</w:t>
      </w:r>
      <w:proofErr w:type="spellEnd"/>
      <w:r w:rsidR="00472FED">
        <w:rPr>
          <w:szCs w:val="20"/>
        </w:rPr>
        <w:t>, Ph.D.</w:t>
      </w:r>
    </w:p>
    <w:p w14:paraId="3C1F65CF" w14:textId="77777777" w:rsidR="00CA7970" w:rsidRPr="00D73B91" w:rsidRDefault="00CA7970">
      <w:pPr>
        <w:rPr>
          <w:szCs w:val="20"/>
        </w:rPr>
      </w:pPr>
      <w:r w:rsidRPr="00D73B91">
        <w:rPr>
          <w:szCs w:val="20"/>
        </w:rPr>
        <w:t>From:</w:t>
      </w:r>
      <w:r w:rsidRPr="00D73B91">
        <w:rPr>
          <w:szCs w:val="20"/>
        </w:rPr>
        <w:tab/>
        <w:t>Scott Matsuda</w:t>
      </w:r>
    </w:p>
    <w:p w14:paraId="1B9182EE" w14:textId="14BD88D5" w:rsidR="00CA7970" w:rsidRPr="00D73B91" w:rsidRDefault="00CA7970">
      <w:pPr>
        <w:rPr>
          <w:szCs w:val="20"/>
        </w:rPr>
      </w:pPr>
      <w:r w:rsidRPr="00D73B91">
        <w:rPr>
          <w:szCs w:val="20"/>
        </w:rPr>
        <w:t>Date:</w:t>
      </w:r>
      <w:r w:rsidRPr="00D73B91">
        <w:rPr>
          <w:szCs w:val="20"/>
        </w:rPr>
        <w:tab/>
      </w:r>
      <w:r w:rsidR="00D65618">
        <w:rPr>
          <w:szCs w:val="20"/>
        </w:rPr>
        <w:t>10/21/2022</w:t>
      </w:r>
    </w:p>
    <w:p w14:paraId="385897F0" w14:textId="53286F18" w:rsidR="00CA7970" w:rsidRPr="00906592" w:rsidRDefault="00CA7970" w:rsidP="00CA7970">
      <w:pPr>
        <w:jc w:val="center"/>
        <w:rPr>
          <w:b/>
          <w:bCs/>
          <w:szCs w:val="20"/>
          <w:u w:val="single"/>
        </w:rPr>
      </w:pPr>
      <w:r w:rsidRPr="00852EA3">
        <w:rPr>
          <w:szCs w:val="20"/>
          <w:u w:val="single"/>
        </w:rPr>
        <w:t>Case Briefing</w:t>
      </w:r>
      <w:r w:rsidR="00906592">
        <w:rPr>
          <w:szCs w:val="20"/>
          <w:u w:val="single"/>
        </w:rPr>
        <w:t xml:space="preserve"> </w:t>
      </w:r>
      <w:r w:rsidR="00061BAC">
        <w:rPr>
          <w:b/>
          <w:bCs/>
          <w:szCs w:val="20"/>
          <w:u w:val="single"/>
        </w:rPr>
        <w:t>[</w:t>
      </w:r>
      <w:r w:rsidR="00534661">
        <w:rPr>
          <w:b/>
          <w:bCs/>
          <w:szCs w:val="20"/>
          <w:u w:val="single"/>
        </w:rPr>
        <w:t>OREGON</w:t>
      </w:r>
      <w:r w:rsidR="00061BAC">
        <w:rPr>
          <w:b/>
          <w:bCs/>
          <w:szCs w:val="20"/>
          <w:u w:val="single"/>
        </w:rPr>
        <w:t>]</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998"/>
        <w:gridCol w:w="7470"/>
      </w:tblGrid>
      <w:tr w:rsidR="00D73B91" w:rsidRPr="00D73B91" w14:paraId="216BB34A" w14:textId="77777777" w:rsidTr="00395ABB">
        <w:trPr>
          <w:trHeight w:val="180"/>
        </w:trPr>
        <w:tc>
          <w:tcPr>
            <w:tcW w:w="1998" w:type="dxa"/>
          </w:tcPr>
          <w:p w14:paraId="39C9A3DC" w14:textId="77777777" w:rsidR="00D73B91" w:rsidRPr="00D73B91" w:rsidRDefault="00D73B91">
            <w:pPr>
              <w:pStyle w:val="Default"/>
              <w:rPr>
                <w:rFonts w:ascii="Arial" w:hAnsi="Arial" w:cs="Arial"/>
                <w:sz w:val="20"/>
                <w:szCs w:val="20"/>
              </w:rPr>
            </w:pPr>
            <w:r w:rsidRPr="00D73B91">
              <w:rPr>
                <w:rFonts w:ascii="Arial" w:hAnsi="Arial" w:cs="Arial"/>
                <w:b/>
                <w:bCs/>
                <w:sz w:val="20"/>
                <w:szCs w:val="20"/>
              </w:rPr>
              <w:t xml:space="preserve">Citation </w:t>
            </w:r>
          </w:p>
        </w:tc>
        <w:tc>
          <w:tcPr>
            <w:tcW w:w="7470" w:type="dxa"/>
          </w:tcPr>
          <w:p w14:paraId="762221A4" w14:textId="77777777" w:rsidR="005F539F" w:rsidRDefault="00D65618" w:rsidP="00B401E4">
            <w:pPr>
              <w:pStyle w:val="Default"/>
              <w:numPr>
                <w:ilvl w:val="0"/>
                <w:numId w:val="1"/>
              </w:numPr>
              <w:rPr>
                <w:rFonts w:ascii="Arial" w:hAnsi="Arial" w:cs="Arial"/>
                <w:iCs/>
                <w:sz w:val="20"/>
                <w:szCs w:val="20"/>
              </w:rPr>
            </w:pPr>
            <w:proofErr w:type="spellStart"/>
            <w:r w:rsidRPr="00534661">
              <w:rPr>
                <w:rFonts w:ascii="Arial" w:hAnsi="Arial" w:cs="Arial"/>
                <w:i/>
                <w:sz w:val="20"/>
                <w:szCs w:val="20"/>
              </w:rPr>
              <w:t>Clarno</w:t>
            </w:r>
            <w:proofErr w:type="spellEnd"/>
            <w:r w:rsidRPr="00534661">
              <w:rPr>
                <w:rFonts w:ascii="Arial" w:hAnsi="Arial" w:cs="Arial"/>
                <w:i/>
                <w:sz w:val="20"/>
                <w:szCs w:val="20"/>
              </w:rPr>
              <w:t xml:space="preserve"> v. Fagan</w:t>
            </w:r>
            <w:r>
              <w:rPr>
                <w:rFonts w:ascii="Arial" w:hAnsi="Arial" w:cs="Arial"/>
                <w:iCs/>
                <w:sz w:val="20"/>
                <w:szCs w:val="20"/>
              </w:rPr>
              <w:t>, No. 21-CV-40180, 2021 WL 5632370 (Or. Cir. Ct. Nov. 24, 2021).</w:t>
            </w:r>
          </w:p>
          <w:p w14:paraId="07A00851" w14:textId="4BB4E781" w:rsidR="00534661" w:rsidRPr="00A64C3F" w:rsidRDefault="00534661" w:rsidP="00534661">
            <w:pPr>
              <w:pStyle w:val="Default"/>
              <w:rPr>
                <w:rFonts w:ascii="Arial" w:hAnsi="Arial" w:cs="Arial"/>
                <w:iCs/>
                <w:sz w:val="20"/>
                <w:szCs w:val="20"/>
              </w:rPr>
            </w:pPr>
          </w:p>
        </w:tc>
      </w:tr>
      <w:tr w:rsidR="00474A3C" w:rsidRPr="00D73B91" w14:paraId="579CDEAF" w14:textId="77777777" w:rsidTr="0084590D">
        <w:trPr>
          <w:trHeight w:val="369"/>
        </w:trPr>
        <w:tc>
          <w:tcPr>
            <w:tcW w:w="1998" w:type="dxa"/>
          </w:tcPr>
          <w:p w14:paraId="2A45B22E" w14:textId="77777777" w:rsidR="00474A3C" w:rsidRDefault="00474A3C" w:rsidP="00474A3C">
            <w:pPr>
              <w:pStyle w:val="Default"/>
              <w:rPr>
                <w:rFonts w:ascii="Arial" w:hAnsi="Arial" w:cs="Arial"/>
                <w:b/>
                <w:bCs/>
                <w:sz w:val="20"/>
                <w:szCs w:val="20"/>
              </w:rPr>
            </w:pPr>
            <w:r>
              <w:rPr>
                <w:rFonts w:ascii="Arial" w:hAnsi="Arial" w:cs="Arial"/>
                <w:b/>
                <w:bCs/>
                <w:sz w:val="20"/>
                <w:szCs w:val="20"/>
              </w:rPr>
              <w:t>Judicial Breakdown / Partisan or Nonpartisan</w:t>
            </w:r>
          </w:p>
          <w:p w14:paraId="3BC9E9A3" w14:textId="4ED1530C" w:rsidR="00474A3C" w:rsidRPr="00D73B91" w:rsidRDefault="00474A3C" w:rsidP="00474A3C">
            <w:pPr>
              <w:pStyle w:val="Default"/>
              <w:rPr>
                <w:rFonts w:ascii="Arial" w:hAnsi="Arial" w:cs="Arial"/>
                <w:sz w:val="20"/>
                <w:szCs w:val="20"/>
              </w:rPr>
            </w:pPr>
            <w:r w:rsidRPr="008D467C">
              <w:rPr>
                <w:rFonts w:ascii="Arial" w:hAnsi="Arial" w:cs="Arial"/>
                <w:b/>
                <w:bCs/>
                <w:sz w:val="20"/>
                <w:szCs w:val="20"/>
              </w:rPr>
              <w:t xml:space="preserve"> </w:t>
            </w:r>
          </w:p>
        </w:tc>
        <w:tc>
          <w:tcPr>
            <w:tcW w:w="7470" w:type="dxa"/>
          </w:tcPr>
          <w:p w14:paraId="4C14DE31" w14:textId="2441BF06" w:rsidR="00E34FB3" w:rsidRPr="00107CC2" w:rsidRDefault="00C46A8A" w:rsidP="00107CC2">
            <w:pPr>
              <w:pStyle w:val="Default"/>
              <w:numPr>
                <w:ilvl w:val="0"/>
                <w:numId w:val="1"/>
              </w:numPr>
              <w:rPr>
                <w:rFonts w:ascii="Arial" w:hAnsi="Arial" w:cs="Arial"/>
                <w:iCs/>
                <w:sz w:val="20"/>
                <w:szCs w:val="20"/>
              </w:rPr>
            </w:pPr>
            <w:r>
              <w:rPr>
                <w:rFonts w:ascii="Arial" w:hAnsi="Arial" w:cs="Arial"/>
                <w:iCs/>
                <w:sz w:val="20"/>
                <w:szCs w:val="20"/>
              </w:rPr>
              <w:t xml:space="preserve">On behalf of the Special Judicial Panel (SJP), </w:t>
            </w:r>
            <w:r w:rsidR="00107CC2">
              <w:rPr>
                <w:rFonts w:ascii="Arial" w:hAnsi="Arial" w:cs="Arial"/>
                <w:iCs/>
                <w:sz w:val="20"/>
                <w:szCs w:val="20"/>
              </w:rPr>
              <w:t>Senior Judge Mary M. James issued the</w:t>
            </w:r>
            <w:r w:rsidR="00977E1F">
              <w:rPr>
                <w:rFonts w:ascii="Arial" w:hAnsi="Arial" w:cs="Arial"/>
                <w:iCs/>
                <w:sz w:val="20"/>
                <w:szCs w:val="20"/>
              </w:rPr>
              <w:t xml:space="preserve"> unanimous</w:t>
            </w:r>
            <w:r w:rsidR="00107CC2">
              <w:rPr>
                <w:rFonts w:ascii="Arial" w:hAnsi="Arial" w:cs="Arial"/>
                <w:iCs/>
                <w:sz w:val="20"/>
                <w:szCs w:val="20"/>
              </w:rPr>
              <w:t xml:space="preserve"> opinion, joined by Senior Judges Katherine Tennyson, Paula Brownhill, and Richard L. Barron, and </w:t>
            </w:r>
            <w:r w:rsidR="00363EEC">
              <w:rPr>
                <w:rFonts w:ascii="Arial" w:hAnsi="Arial" w:cs="Arial"/>
                <w:iCs/>
                <w:sz w:val="20"/>
                <w:szCs w:val="20"/>
              </w:rPr>
              <w:t>Senior</w:t>
            </w:r>
            <w:r w:rsidR="00107CC2">
              <w:rPr>
                <w:rFonts w:ascii="Arial" w:hAnsi="Arial" w:cs="Arial"/>
                <w:iCs/>
                <w:sz w:val="20"/>
                <w:szCs w:val="20"/>
              </w:rPr>
              <w:t xml:space="preserve"> Judge W.D. Cramer, Jr.</w:t>
            </w:r>
          </w:p>
        </w:tc>
      </w:tr>
      <w:tr w:rsidR="00ED671F" w:rsidRPr="00D73B91" w14:paraId="1553CCF4" w14:textId="77777777" w:rsidTr="00B665A3">
        <w:trPr>
          <w:trHeight w:val="900"/>
        </w:trPr>
        <w:tc>
          <w:tcPr>
            <w:tcW w:w="1998" w:type="dxa"/>
          </w:tcPr>
          <w:p w14:paraId="48278285" w14:textId="185C2B74" w:rsidR="00ED671F" w:rsidRDefault="00474A3C" w:rsidP="00ED671F">
            <w:pPr>
              <w:pStyle w:val="Default"/>
              <w:rPr>
                <w:rFonts w:ascii="Arial" w:hAnsi="Arial" w:cs="Arial"/>
                <w:b/>
                <w:bCs/>
                <w:sz w:val="20"/>
                <w:szCs w:val="20"/>
              </w:rPr>
            </w:pPr>
            <w:r>
              <w:rPr>
                <w:rFonts w:ascii="Arial" w:hAnsi="Arial" w:cs="Arial"/>
                <w:b/>
                <w:bCs/>
                <w:sz w:val="20"/>
                <w:szCs w:val="20"/>
              </w:rPr>
              <w:t>Procedural History</w:t>
            </w:r>
          </w:p>
          <w:p w14:paraId="36E704DD" w14:textId="2EC70AA0" w:rsidR="00ED671F" w:rsidRPr="00D73B91" w:rsidRDefault="00ED671F" w:rsidP="00ED671F">
            <w:pPr>
              <w:pStyle w:val="Default"/>
              <w:rPr>
                <w:rFonts w:ascii="Arial" w:hAnsi="Arial" w:cs="Arial"/>
                <w:sz w:val="20"/>
                <w:szCs w:val="20"/>
              </w:rPr>
            </w:pPr>
            <w:r w:rsidRPr="008D467C">
              <w:rPr>
                <w:rFonts w:ascii="Arial" w:hAnsi="Arial" w:cs="Arial"/>
                <w:b/>
                <w:bCs/>
                <w:sz w:val="20"/>
                <w:szCs w:val="20"/>
              </w:rPr>
              <w:t xml:space="preserve"> </w:t>
            </w:r>
          </w:p>
        </w:tc>
        <w:tc>
          <w:tcPr>
            <w:tcW w:w="7470" w:type="dxa"/>
          </w:tcPr>
          <w:p w14:paraId="4E93B493" w14:textId="7FA4570D" w:rsidR="00A23112" w:rsidRDefault="007F2622" w:rsidP="00ED671F">
            <w:pPr>
              <w:pStyle w:val="Default"/>
              <w:numPr>
                <w:ilvl w:val="0"/>
                <w:numId w:val="1"/>
              </w:numPr>
              <w:rPr>
                <w:rFonts w:ascii="Arial" w:hAnsi="Arial" w:cs="Arial"/>
                <w:sz w:val="20"/>
                <w:szCs w:val="20"/>
              </w:rPr>
            </w:pPr>
            <w:r>
              <w:rPr>
                <w:rFonts w:ascii="Arial" w:hAnsi="Arial" w:cs="Arial"/>
                <w:sz w:val="20"/>
                <w:szCs w:val="20"/>
              </w:rPr>
              <w:t>On 10/11/2021</w:t>
            </w:r>
            <w:r w:rsidR="00A23112" w:rsidRPr="002C0D6F">
              <w:rPr>
                <w:rFonts w:ascii="Arial" w:hAnsi="Arial" w:cs="Arial"/>
                <w:sz w:val="20"/>
                <w:szCs w:val="20"/>
              </w:rPr>
              <w:t xml:space="preserve">, Petitioners filed a petition challenging the validity of </w:t>
            </w:r>
            <w:r w:rsidR="00336C65" w:rsidRPr="002C0D6F">
              <w:rPr>
                <w:rFonts w:ascii="Arial" w:hAnsi="Arial" w:cs="Arial"/>
                <w:sz w:val="20"/>
                <w:szCs w:val="20"/>
              </w:rPr>
              <w:t xml:space="preserve">the </w:t>
            </w:r>
            <w:r w:rsidR="00A23112" w:rsidRPr="002C0D6F">
              <w:rPr>
                <w:rFonts w:ascii="Arial" w:hAnsi="Arial" w:cs="Arial"/>
                <w:sz w:val="20"/>
                <w:szCs w:val="20"/>
              </w:rPr>
              <w:t xml:space="preserve">2021 </w:t>
            </w:r>
            <w:r w:rsidR="00336C65" w:rsidRPr="002C0D6F">
              <w:rPr>
                <w:rFonts w:ascii="Arial" w:hAnsi="Arial" w:cs="Arial"/>
                <w:sz w:val="20"/>
                <w:szCs w:val="20"/>
              </w:rPr>
              <w:t xml:space="preserve">Oregon </w:t>
            </w:r>
            <w:r w:rsidR="00892E9B" w:rsidRPr="002C0D6F">
              <w:rPr>
                <w:rFonts w:ascii="Arial" w:hAnsi="Arial" w:cs="Arial"/>
                <w:sz w:val="20"/>
                <w:szCs w:val="20"/>
              </w:rPr>
              <w:t xml:space="preserve">congressional </w:t>
            </w:r>
            <w:r w:rsidR="00336C65" w:rsidRPr="002C0D6F">
              <w:rPr>
                <w:rFonts w:ascii="Arial" w:hAnsi="Arial" w:cs="Arial"/>
                <w:sz w:val="20"/>
                <w:szCs w:val="20"/>
              </w:rPr>
              <w:t>redistricting plan</w:t>
            </w:r>
            <w:r w:rsidR="00A23112" w:rsidRPr="002C0D6F">
              <w:rPr>
                <w:rFonts w:ascii="Arial" w:hAnsi="Arial" w:cs="Arial"/>
                <w:sz w:val="20"/>
                <w:szCs w:val="20"/>
              </w:rPr>
              <w:t xml:space="preserve"> (</w:t>
            </w:r>
            <w:r w:rsidR="00A23112" w:rsidRPr="00A23112">
              <w:rPr>
                <w:rFonts w:ascii="Arial" w:hAnsi="Arial" w:cs="Arial"/>
                <w:sz w:val="20"/>
                <w:szCs w:val="20"/>
              </w:rPr>
              <w:t xml:space="preserve">SB 881). </w:t>
            </w:r>
          </w:p>
          <w:p w14:paraId="73B71A73" w14:textId="02915C67" w:rsidR="008236AF" w:rsidRDefault="008236AF" w:rsidP="008236AF">
            <w:pPr>
              <w:pStyle w:val="Default"/>
              <w:numPr>
                <w:ilvl w:val="1"/>
                <w:numId w:val="1"/>
              </w:numPr>
              <w:rPr>
                <w:rFonts w:ascii="Arial" w:hAnsi="Arial" w:cs="Arial"/>
                <w:sz w:val="20"/>
                <w:szCs w:val="20"/>
              </w:rPr>
            </w:pPr>
            <w:r>
              <w:rPr>
                <w:rFonts w:ascii="Arial" w:hAnsi="Arial" w:cs="Arial"/>
                <w:sz w:val="20"/>
                <w:szCs w:val="20"/>
              </w:rPr>
              <w:t>Petitioners asked</w:t>
            </w:r>
            <w:r w:rsidRPr="008236AF">
              <w:rPr>
                <w:rFonts w:ascii="Arial" w:hAnsi="Arial" w:cs="Arial"/>
                <w:sz w:val="20"/>
                <w:szCs w:val="20"/>
              </w:rPr>
              <w:t xml:space="preserve"> </w:t>
            </w:r>
            <w:r w:rsidR="005E6E38">
              <w:rPr>
                <w:rFonts w:ascii="Arial" w:hAnsi="Arial" w:cs="Arial"/>
                <w:sz w:val="20"/>
                <w:szCs w:val="20"/>
              </w:rPr>
              <w:t xml:space="preserve">that </w:t>
            </w:r>
            <w:r w:rsidRPr="008236AF">
              <w:rPr>
                <w:rFonts w:ascii="Arial" w:hAnsi="Arial" w:cs="Arial"/>
                <w:sz w:val="20"/>
                <w:szCs w:val="20"/>
              </w:rPr>
              <w:t>their alternative plan</w:t>
            </w:r>
            <w:r w:rsidR="005E6E38">
              <w:rPr>
                <w:rFonts w:ascii="Arial" w:hAnsi="Arial" w:cs="Arial"/>
                <w:sz w:val="20"/>
                <w:szCs w:val="20"/>
              </w:rPr>
              <w:t xml:space="preserve"> be adopted</w:t>
            </w:r>
            <w:r w:rsidR="00C61309">
              <w:rPr>
                <w:rFonts w:ascii="Arial" w:hAnsi="Arial" w:cs="Arial"/>
                <w:sz w:val="20"/>
                <w:szCs w:val="20"/>
              </w:rPr>
              <w:t>, and alleged:</w:t>
            </w:r>
          </w:p>
          <w:p w14:paraId="7CA65326" w14:textId="0E4BCD89" w:rsidR="00C61309" w:rsidRDefault="00C61309" w:rsidP="00C61309">
            <w:pPr>
              <w:pStyle w:val="Default"/>
              <w:numPr>
                <w:ilvl w:val="2"/>
                <w:numId w:val="1"/>
              </w:numPr>
              <w:rPr>
                <w:rFonts w:ascii="Arial" w:hAnsi="Arial" w:cs="Arial"/>
                <w:sz w:val="20"/>
                <w:szCs w:val="20"/>
              </w:rPr>
            </w:pPr>
            <w:r>
              <w:rPr>
                <w:rFonts w:ascii="Arial" w:hAnsi="Arial" w:cs="Arial"/>
                <w:sz w:val="20"/>
                <w:szCs w:val="20"/>
              </w:rPr>
              <w:t xml:space="preserve">(1) </w:t>
            </w:r>
            <w:r w:rsidR="00B90845" w:rsidRPr="00B90845">
              <w:rPr>
                <w:rFonts w:ascii="Arial" w:hAnsi="Arial" w:cs="Arial"/>
                <w:sz w:val="20"/>
                <w:szCs w:val="20"/>
              </w:rPr>
              <w:t>that SB 881 violates ORS 188.010(2)</w:t>
            </w:r>
            <w:r w:rsidR="00A46C79">
              <w:rPr>
                <w:rFonts w:ascii="Arial" w:hAnsi="Arial" w:cs="Arial"/>
                <w:sz w:val="20"/>
                <w:szCs w:val="20"/>
              </w:rPr>
              <w:t xml:space="preserve"> (</w:t>
            </w:r>
            <w:r w:rsidR="00A46C79" w:rsidRPr="00A46C79">
              <w:rPr>
                <w:rFonts w:ascii="Arial" w:hAnsi="Arial" w:cs="Arial"/>
                <w:sz w:val="20"/>
                <w:szCs w:val="20"/>
              </w:rPr>
              <w:t>“[n]o district shall be drawn for the purpose of favoring any political party, incumbent legislator or other person”</w:t>
            </w:r>
            <w:r w:rsidR="00A46C79">
              <w:rPr>
                <w:rFonts w:ascii="Arial" w:hAnsi="Arial" w:cs="Arial"/>
                <w:sz w:val="20"/>
                <w:szCs w:val="20"/>
              </w:rPr>
              <w:t>)</w:t>
            </w:r>
            <w:r w:rsidR="00B90845" w:rsidRPr="00B90845">
              <w:rPr>
                <w:rFonts w:ascii="Arial" w:hAnsi="Arial" w:cs="Arial"/>
                <w:sz w:val="20"/>
                <w:szCs w:val="20"/>
              </w:rPr>
              <w:t xml:space="preserve">, </w:t>
            </w:r>
            <w:r w:rsidR="000C1042">
              <w:rPr>
                <w:rFonts w:ascii="Arial" w:hAnsi="Arial" w:cs="Arial"/>
                <w:sz w:val="20"/>
                <w:szCs w:val="20"/>
              </w:rPr>
              <w:t>because</w:t>
            </w:r>
            <w:r w:rsidR="000C1042" w:rsidRPr="000C1042">
              <w:rPr>
                <w:rFonts w:ascii="Arial" w:hAnsi="Arial" w:cs="Arial"/>
                <w:sz w:val="20"/>
                <w:szCs w:val="20"/>
              </w:rPr>
              <w:t xml:space="preserve"> SB 881 was enacted for the purpose of favoring the Democratic Party, Democratic incumbent legislators, and “other person[s]” affiliated with the Democratic Party.</w:t>
            </w:r>
          </w:p>
          <w:p w14:paraId="31D4C063" w14:textId="2EFAB5AA" w:rsidR="00C61309" w:rsidRDefault="00C61309" w:rsidP="00C61309">
            <w:pPr>
              <w:pStyle w:val="Default"/>
              <w:numPr>
                <w:ilvl w:val="2"/>
                <w:numId w:val="1"/>
              </w:numPr>
              <w:rPr>
                <w:rFonts w:ascii="Arial" w:hAnsi="Arial" w:cs="Arial"/>
                <w:sz w:val="20"/>
                <w:szCs w:val="20"/>
              </w:rPr>
            </w:pPr>
            <w:r>
              <w:rPr>
                <w:rFonts w:ascii="Arial" w:hAnsi="Arial" w:cs="Arial"/>
                <w:sz w:val="20"/>
                <w:szCs w:val="20"/>
              </w:rPr>
              <w:t xml:space="preserve">(2) </w:t>
            </w:r>
            <w:r w:rsidR="004A22AF" w:rsidRPr="004A22AF">
              <w:rPr>
                <w:rFonts w:ascii="Arial" w:hAnsi="Arial" w:cs="Arial"/>
                <w:sz w:val="20"/>
                <w:szCs w:val="20"/>
              </w:rPr>
              <w:t>that SB 881 violates Article 1, sections 8 and 26 of the Oregon Constitution, which guarantee freedom of expression and assembly, respectively</w:t>
            </w:r>
            <w:r w:rsidR="004579AA">
              <w:rPr>
                <w:rFonts w:ascii="Arial" w:hAnsi="Arial" w:cs="Arial"/>
                <w:sz w:val="20"/>
                <w:szCs w:val="20"/>
              </w:rPr>
              <w:t xml:space="preserve">, which </w:t>
            </w:r>
            <w:r w:rsidR="004579AA" w:rsidRPr="004579AA">
              <w:rPr>
                <w:rFonts w:ascii="Arial" w:hAnsi="Arial" w:cs="Arial"/>
                <w:sz w:val="20"/>
                <w:szCs w:val="20"/>
              </w:rPr>
              <w:t>together prohibit partisan gerrymandering</w:t>
            </w:r>
            <w:r w:rsidR="00182CBB">
              <w:rPr>
                <w:rFonts w:ascii="Arial" w:hAnsi="Arial" w:cs="Arial"/>
                <w:sz w:val="20"/>
                <w:szCs w:val="20"/>
              </w:rPr>
              <w:t>.</w:t>
            </w:r>
          </w:p>
          <w:p w14:paraId="372FB044" w14:textId="06D2C78D" w:rsidR="008236AF" w:rsidRPr="00462995" w:rsidRDefault="00C61309" w:rsidP="00462995">
            <w:pPr>
              <w:pStyle w:val="Default"/>
              <w:numPr>
                <w:ilvl w:val="2"/>
                <w:numId w:val="1"/>
              </w:numPr>
              <w:rPr>
                <w:rFonts w:ascii="Arial" w:hAnsi="Arial" w:cs="Arial"/>
                <w:sz w:val="20"/>
                <w:szCs w:val="20"/>
              </w:rPr>
            </w:pPr>
            <w:r>
              <w:rPr>
                <w:rFonts w:ascii="Arial" w:hAnsi="Arial" w:cs="Arial"/>
                <w:sz w:val="20"/>
                <w:szCs w:val="20"/>
              </w:rPr>
              <w:t xml:space="preserve">(3) </w:t>
            </w:r>
            <w:r w:rsidR="00EF2FB2" w:rsidRPr="00EF2FB2">
              <w:rPr>
                <w:rFonts w:ascii="Arial" w:hAnsi="Arial" w:cs="Arial"/>
                <w:sz w:val="20"/>
                <w:szCs w:val="20"/>
              </w:rPr>
              <w:t>that SB 881 violates Article I, section 20, and Article II, section 1—the Privileges and Immunities Clause and the Free and Equal Elections Clause—of the Oregon Constitution</w:t>
            </w:r>
            <w:r w:rsidR="00462995">
              <w:rPr>
                <w:rFonts w:ascii="Arial" w:hAnsi="Arial" w:cs="Arial"/>
                <w:sz w:val="20"/>
                <w:szCs w:val="20"/>
              </w:rPr>
              <w:t>, which</w:t>
            </w:r>
            <w:r w:rsidR="00EF2FB2" w:rsidRPr="00462995">
              <w:rPr>
                <w:rFonts w:ascii="Arial" w:hAnsi="Arial" w:cs="Arial"/>
                <w:sz w:val="20"/>
                <w:szCs w:val="20"/>
              </w:rPr>
              <w:t xml:space="preserve"> “prohibit</w:t>
            </w:r>
            <w:r w:rsidR="00462995">
              <w:rPr>
                <w:rFonts w:ascii="Arial" w:hAnsi="Arial" w:cs="Arial"/>
                <w:sz w:val="20"/>
                <w:szCs w:val="20"/>
              </w:rPr>
              <w:t>[s]</w:t>
            </w:r>
            <w:r w:rsidR="00EF2FB2" w:rsidRPr="00462995">
              <w:rPr>
                <w:rFonts w:ascii="Arial" w:hAnsi="Arial" w:cs="Arial"/>
                <w:sz w:val="20"/>
                <w:szCs w:val="20"/>
              </w:rPr>
              <w:t xml:space="preserve"> the Oregon State Legislature from drawing and adopting a partisan gerrymandered redistricting map.</w:t>
            </w:r>
            <w:r w:rsidR="00C274E8">
              <w:rPr>
                <w:rFonts w:ascii="Arial" w:hAnsi="Arial" w:cs="Arial"/>
                <w:sz w:val="20"/>
                <w:szCs w:val="20"/>
              </w:rPr>
              <w:t>”</w:t>
            </w:r>
          </w:p>
          <w:p w14:paraId="65BD5768" w14:textId="3E78F9AF" w:rsidR="00BE4CC4" w:rsidRPr="00BE4CC4" w:rsidRDefault="00C61309" w:rsidP="00BE4CC4">
            <w:pPr>
              <w:pStyle w:val="Default"/>
              <w:numPr>
                <w:ilvl w:val="2"/>
                <w:numId w:val="1"/>
              </w:numPr>
              <w:rPr>
                <w:rFonts w:ascii="Arial" w:hAnsi="Arial" w:cs="Arial"/>
                <w:sz w:val="20"/>
                <w:szCs w:val="20"/>
              </w:rPr>
            </w:pPr>
            <w:r>
              <w:rPr>
                <w:rFonts w:ascii="Arial" w:hAnsi="Arial" w:cs="Arial"/>
                <w:sz w:val="20"/>
                <w:szCs w:val="20"/>
              </w:rPr>
              <w:t xml:space="preserve">(4) </w:t>
            </w:r>
            <w:r w:rsidR="005A26BC" w:rsidRPr="005A26BC">
              <w:rPr>
                <w:rFonts w:ascii="Arial" w:hAnsi="Arial" w:cs="Arial"/>
                <w:sz w:val="20"/>
                <w:szCs w:val="20"/>
              </w:rPr>
              <w:t>that SB 881 violates ORS 188.010(1) (requiring consideration of five criteria: contiguity, equal population, existing geographic or political boundaries, communities of common interest, and transportation links).</w:t>
            </w:r>
          </w:p>
          <w:p w14:paraId="4EF2A797" w14:textId="528529E0" w:rsidR="00ED671F" w:rsidRDefault="00A23112" w:rsidP="00806BF9">
            <w:pPr>
              <w:pStyle w:val="Default"/>
              <w:numPr>
                <w:ilvl w:val="0"/>
                <w:numId w:val="1"/>
              </w:numPr>
              <w:rPr>
                <w:rFonts w:ascii="Arial" w:hAnsi="Arial" w:cs="Arial"/>
                <w:sz w:val="20"/>
                <w:szCs w:val="20"/>
              </w:rPr>
            </w:pPr>
            <w:r w:rsidRPr="00A23112">
              <w:rPr>
                <w:rFonts w:ascii="Arial" w:hAnsi="Arial" w:cs="Arial"/>
                <w:sz w:val="20"/>
                <w:szCs w:val="20"/>
              </w:rPr>
              <w:t xml:space="preserve">Pursuant to 2021 Oregon Laws, Chapter 419 (SB 259), § 1(6), the Chief Justice of the Oregon Supreme Court appointed a </w:t>
            </w:r>
            <w:r w:rsidR="002A57C4">
              <w:rPr>
                <w:rFonts w:ascii="Arial" w:hAnsi="Arial" w:cs="Arial"/>
                <w:sz w:val="20"/>
                <w:szCs w:val="20"/>
              </w:rPr>
              <w:t xml:space="preserve">SJP </w:t>
            </w:r>
            <w:r w:rsidRPr="00A23112">
              <w:rPr>
                <w:rFonts w:ascii="Arial" w:hAnsi="Arial" w:cs="Arial"/>
                <w:sz w:val="20"/>
                <w:szCs w:val="20"/>
              </w:rPr>
              <w:t>to hear the petition</w:t>
            </w:r>
            <w:r>
              <w:rPr>
                <w:rFonts w:ascii="Arial" w:hAnsi="Arial" w:cs="Arial"/>
                <w:sz w:val="20"/>
                <w:szCs w:val="20"/>
              </w:rPr>
              <w:t>.</w:t>
            </w:r>
          </w:p>
          <w:p w14:paraId="5662402F" w14:textId="77777777" w:rsidR="00316A02" w:rsidRDefault="00316A02" w:rsidP="00EF2F40">
            <w:pPr>
              <w:pStyle w:val="Default"/>
              <w:numPr>
                <w:ilvl w:val="1"/>
                <w:numId w:val="1"/>
              </w:numPr>
              <w:rPr>
                <w:rFonts w:ascii="Arial" w:hAnsi="Arial" w:cs="Arial"/>
                <w:sz w:val="20"/>
                <w:szCs w:val="20"/>
              </w:rPr>
            </w:pPr>
            <w:r w:rsidRPr="00316A02">
              <w:rPr>
                <w:rFonts w:ascii="Arial" w:hAnsi="Arial" w:cs="Arial"/>
                <w:sz w:val="20"/>
                <w:szCs w:val="20"/>
              </w:rPr>
              <w:t xml:space="preserve">The SJP, in turn and pursuant to SB 259 § 1(7)(c), requested appointment of a Special Master, Senior Judge Henry C. Breithaupt, to receive evidence and to prepare recommended findings of fact in 21CV40180. </w:t>
            </w:r>
          </w:p>
          <w:p w14:paraId="19B820D9" w14:textId="77777777" w:rsidR="00B13627" w:rsidRDefault="00316A02" w:rsidP="00006B54">
            <w:pPr>
              <w:pStyle w:val="Default"/>
              <w:numPr>
                <w:ilvl w:val="0"/>
                <w:numId w:val="1"/>
              </w:numPr>
              <w:rPr>
                <w:rFonts w:ascii="Arial" w:hAnsi="Arial" w:cs="Arial"/>
                <w:sz w:val="20"/>
                <w:szCs w:val="20"/>
              </w:rPr>
            </w:pPr>
            <w:r w:rsidRPr="00316A02">
              <w:rPr>
                <w:rFonts w:ascii="Arial" w:hAnsi="Arial" w:cs="Arial"/>
                <w:sz w:val="20"/>
                <w:szCs w:val="20"/>
              </w:rPr>
              <w:t xml:space="preserve">The Presiding Judge adopted the Special Master’s Recommended Findings of Fact as more fully set out in her Order on Evidentiary and Procedural Matters dated November 15, 2021. </w:t>
            </w:r>
          </w:p>
          <w:p w14:paraId="72F0A76C" w14:textId="1566ACC9" w:rsidR="00006B54" w:rsidRPr="009B1A73" w:rsidRDefault="00316A02" w:rsidP="00006B54">
            <w:pPr>
              <w:pStyle w:val="Default"/>
              <w:numPr>
                <w:ilvl w:val="0"/>
                <w:numId w:val="1"/>
              </w:numPr>
              <w:rPr>
                <w:rFonts w:ascii="Arial" w:hAnsi="Arial" w:cs="Arial"/>
                <w:sz w:val="20"/>
                <w:szCs w:val="20"/>
              </w:rPr>
            </w:pPr>
            <w:r w:rsidRPr="00316A02">
              <w:rPr>
                <w:rFonts w:ascii="Arial" w:hAnsi="Arial" w:cs="Arial"/>
                <w:sz w:val="20"/>
                <w:szCs w:val="20"/>
              </w:rPr>
              <w:t>The SJP adopt</w:t>
            </w:r>
            <w:r w:rsidR="007442D9">
              <w:rPr>
                <w:rFonts w:ascii="Arial" w:hAnsi="Arial" w:cs="Arial"/>
                <w:sz w:val="20"/>
                <w:szCs w:val="20"/>
              </w:rPr>
              <w:t>ed</w:t>
            </w:r>
            <w:r w:rsidRPr="00316A02">
              <w:rPr>
                <w:rFonts w:ascii="Arial" w:hAnsi="Arial" w:cs="Arial"/>
                <w:sz w:val="20"/>
                <w:szCs w:val="20"/>
              </w:rPr>
              <w:t xml:space="preserve"> the Special Master’s Recommended Findings of Fact and incorporate</w:t>
            </w:r>
            <w:r w:rsidR="00E42309">
              <w:rPr>
                <w:rFonts w:ascii="Arial" w:hAnsi="Arial" w:cs="Arial"/>
                <w:sz w:val="20"/>
                <w:szCs w:val="20"/>
              </w:rPr>
              <w:t>d</w:t>
            </w:r>
            <w:r w:rsidRPr="00316A02">
              <w:rPr>
                <w:rFonts w:ascii="Arial" w:hAnsi="Arial" w:cs="Arial"/>
                <w:sz w:val="20"/>
                <w:szCs w:val="20"/>
              </w:rPr>
              <w:t xml:space="preserve"> them by reference into this Opinion</w:t>
            </w:r>
            <w:r w:rsidR="00361A94">
              <w:rPr>
                <w:rFonts w:ascii="Arial" w:hAnsi="Arial" w:cs="Arial"/>
                <w:sz w:val="20"/>
                <w:szCs w:val="20"/>
              </w:rPr>
              <w:t>.</w:t>
            </w:r>
          </w:p>
        </w:tc>
      </w:tr>
      <w:tr w:rsidR="00ED671F" w:rsidRPr="00D73B91" w14:paraId="37413AE7" w14:textId="77777777" w:rsidTr="00372F65">
        <w:trPr>
          <w:trHeight w:val="513"/>
        </w:trPr>
        <w:tc>
          <w:tcPr>
            <w:tcW w:w="1998" w:type="dxa"/>
          </w:tcPr>
          <w:p w14:paraId="4AEA63B6" w14:textId="77777777" w:rsidR="00ED671F" w:rsidRDefault="00ED671F" w:rsidP="00ED671F">
            <w:pPr>
              <w:pStyle w:val="Default"/>
              <w:rPr>
                <w:rFonts w:ascii="Arial" w:hAnsi="Arial" w:cs="Arial"/>
                <w:b/>
                <w:bCs/>
                <w:sz w:val="20"/>
                <w:szCs w:val="20"/>
              </w:rPr>
            </w:pPr>
          </w:p>
          <w:p w14:paraId="1D002A5D" w14:textId="77777777" w:rsidR="00ED671F" w:rsidRPr="00D73B91" w:rsidRDefault="00ED671F" w:rsidP="00ED671F">
            <w:pPr>
              <w:pStyle w:val="Default"/>
              <w:rPr>
                <w:rFonts w:ascii="Arial" w:hAnsi="Arial" w:cs="Arial"/>
                <w:sz w:val="20"/>
                <w:szCs w:val="20"/>
              </w:rPr>
            </w:pPr>
            <w:r w:rsidRPr="00D73B91">
              <w:rPr>
                <w:rFonts w:ascii="Arial" w:hAnsi="Arial" w:cs="Arial"/>
                <w:b/>
                <w:bCs/>
                <w:sz w:val="20"/>
                <w:szCs w:val="20"/>
              </w:rPr>
              <w:t xml:space="preserve">Disposition </w:t>
            </w:r>
          </w:p>
        </w:tc>
        <w:tc>
          <w:tcPr>
            <w:tcW w:w="7470" w:type="dxa"/>
          </w:tcPr>
          <w:p w14:paraId="2A66052F" w14:textId="77777777" w:rsidR="00ED671F" w:rsidRDefault="00ED671F" w:rsidP="00ED671F">
            <w:pPr>
              <w:pStyle w:val="Default"/>
              <w:rPr>
                <w:rFonts w:ascii="Arial" w:hAnsi="Arial" w:cs="Arial"/>
                <w:sz w:val="20"/>
                <w:szCs w:val="20"/>
              </w:rPr>
            </w:pPr>
          </w:p>
          <w:p w14:paraId="26E195EC" w14:textId="16623939" w:rsidR="00ED671F" w:rsidRPr="003C2D60" w:rsidRDefault="00F2798C" w:rsidP="00ED671F">
            <w:pPr>
              <w:pStyle w:val="Default"/>
              <w:numPr>
                <w:ilvl w:val="0"/>
                <w:numId w:val="1"/>
              </w:numPr>
              <w:rPr>
                <w:rFonts w:ascii="Arial" w:hAnsi="Arial" w:cs="Arial"/>
                <w:sz w:val="20"/>
                <w:szCs w:val="20"/>
              </w:rPr>
            </w:pPr>
            <w:r>
              <w:rPr>
                <w:rFonts w:ascii="Arial" w:hAnsi="Arial" w:cs="Arial"/>
                <w:sz w:val="20"/>
                <w:szCs w:val="20"/>
              </w:rPr>
              <w:t>Plaintiffs’ petition is dismissed.</w:t>
            </w:r>
          </w:p>
        </w:tc>
      </w:tr>
      <w:tr w:rsidR="00ED671F" w:rsidRPr="00D73B91" w14:paraId="0AA16A26" w14:textId="77777777" w:rsidTr="000C7E55">
        <w:trPr>
          <w:trHeight w:val="71"/>
        </w:trPr>
        <w:tc>
          <w:tcPr>
            <w:tcW w:w="1998" w:type="dxa"/>
          </w:tcPr>
          <w:p w14:paraId="5C7D8449" w14:textId="77777777" w:rsidR="00ED671F" w:rsidRDefault="00ED671F" w:rsidP="00ED671F">
            <w:pPr>
              <w:pStyle w:val="Default"/>
              <w:rPr>
                <w:rFonts w:ascii="Arial" w:hAnsi="Arial" w:cs="Arial"/>
                <w:b/>
                <w:bCs/>
                <w:sz w:val="20"/>
                <w:szCs w:val="20"/>
              </w:rPr>
            </w:pPr>
          </w:p>
          <w:p w14:paraId="5648D297" w14:textId="77777777" w:rsidR="00ED671F" w:rsidRPr="00D73B91" w:rsidRDefault="00ED671F" w:rsidP="00ED671F">
            <w:pPr>
              <w:pStyle w:val="Default"/>
              <w:rPr>
                <w:rFonts w:ascii="Arial" w:hAnsi="Arial" w:cs="Arial"/>
                <w:sz w:val="20"/>
                <w:szCs w:val="20"/>
              </w:rPr>
            </w:pPr>
            <w:r w:rsidRPr="00D73B91">
              <w:rPr>
                <w:rFonts w:ascii="Arial" w:hAnsi="Arial" w:cs="Arial"/>
                <w:b/>
                <w:bCs/>
                <w:sz w:val="20"/>
                <w:szCs w:val="20"/>
              </w:rPr>
              <w:t xml:space="preserve">Facts </w:t>
            </w:r>
          </w:p>
        </w:tc>
        <w:tc>
          <w:tcPr>
            <w:tcW w:w="7470" w:type="dxa"/>
          </w:tcPr>
          <w:p w14:paraId="42C3BE2D" w14:textId="77777777" w:rsidR="00ED671F" w:rsidRDefault="00ED671F" w:rsidP="00ED671F">
            <w:pPr>
              <w:pStyle w:val="Default"/>
              <w:rPr>
                <w:rFonts w:ascii="Arial" w:hAnsi="Arial" w:cs="Arial"/>
                <w:sz w:val="20"/>
                <w:szCs w:val="20"/>
              </w:rPr>
            </w:pPr>
          </w:p>
          <w:p w14:paraId="7704ED95" w14:textId="77777777" w:rsidR="00ED671F" w:rsidRDefault="003C0830" w:rsidP="00ED671F">
            <w:pPr>
              <w:pStyle w:val="Default"/>
              <w:numPr>
                <w:ilvl w:val="0"/>
                <w:numId w:val="1"/>
              </w:numPr>
              <w:rPr>
                <w:rFonts w:ascii="Arial" w:hAnsi="Arial" w:cs="Arial"/>
                <w:sz w:val="20"/>
                <w:szCs w:val="20"/>
              </w:rPr>
            </w:pPr>
            <w:r>
              <w:rPr>
                <w:rFonts w:ascii="Arial" w:hAnsi="Arial" w:cs="Arial"/>
                <w:sz w:val="20"/>
                <w:szCs w:val="20"/>
              </w:rPr>
              <w:t>N/a.</w:t>
            </w:r>
          </w:p>
          <w:p w14:paraId="6A639D96" w14:textId="1E031337" w:rsidR="000C7E55" w:rsidRPr="008775BD" w:rsidRDefault="000C7E55" w:rsidP="000C7E55">
            <w:pPr>
              <w:pStyle w:val="Default"/>
              <w:rPr>
                <w:rFonts w:ascii="Arial" w:hAnsi="Arial" w:cs="Arial"/>
                <w:sz w:val="20"/>
                <w:szCs w:val="20"/>
              </w:rPr>
            </w:pPr>
          </w:p>
        </w:tc>
      </w:tr>
      <w:tr w:rsidR="00ED671F" w:rsidRPr="008D467C" w14:paraId="165E79B3" w14:textId="77777777" w:rsidTr="009A6F30">
        <w:trPr>
          <w:trHeight w:val="891"/>
        </w:trPr>
        <w:tc>
          <w:tcPr>
            <w:tcW w:w="1998" w:type="dxa"/>
            <w:tcBorders>
              <w:left w:val="nil"/>
            </w:tcBorders>
          </w:tcPr>
          <w:p w14:paraId="6D71E16F" w14:textId="77777777" w:rsidR="00ED671F" w:rsidRPr="00B81F34" w:rsidRDefault="00ED671F" w:rsidP="00ED671F">
            <w:pPr>
              <w:pStyle w:val="Default"/>
              <w:rPr>
                <w:rFonts w:ascii="Arial" w:hAnsi="Arial" w:cs="Arial"/>
                <w:b/>
                <w:bCs/>
                <w:sz w:val="20"/>
                <w:szCs w:val="20"/>
              </w:rPr>
            </w:pPr>
            <w:r w:rsidRPr="00B81F34">
              <w:rPr>
                <w:rFonts w:ascii="Arial" w:hAnsi="Arial" w:cs="Arial"/>
                <w:b/>
                <w:bCs/>
                <w:sz w:val="20"/>
                <w:szCs w:val="20"/>
              </w:rPr>
              <w:t xml:space="preserve">Issue(s) or </w:t>
            </w:r>
          </w:p>
          <w:p w14:paraId="44E250EA" w14:textId="77777777" w:rsidR="00ED671F" w:rsidRPr="00B81F34" w:rsidRDefault="00ED671F" w:rsidP="00ED671F">
            <w:pPr>
              <w:pStyle w:val="Default"/>
              <w:rPr>
                <w:rFonts w:ascii="Arial" w:hAnsi="Arial" w:cs="Arial"/>
                <w:b/>
                <w:bCs/>
                <w:sz w:val="20"/>
                <w:szCs w:val="20"/>
              </w:rPr>
            </w:pPr>
            <w:r w:rsidRPr="00B81F34">
              <w:rPr>
                <w:rFonts w:ascii="Arial" w:hAnsi="Arial" w:cs="Arial"/>
                <w:b/>
                <w:bCs/>
                <w:sz w:val="20"/>
                <w:szCs w:val="20"/>
              </w:rPr>
              <w:t xml:space="preserve">Question(s) </w:t>
            </w:r>
          </w:p>
          <w:p w14:paraId="394708EF" w14:textId="77777777" w:rsidR="00ED671F" w:rsidRPr="00B81F34" w:rsidRDefault="00ED671F" w:rsidP="00ED671F">
            <w:pPr>
              <w:pStyle w:val="Default"/>
              <w:rPr>
                <w:rFonts w:ascii="Arial" w:hAnsi="Arial" w:cs="Arial"/>
                <w:b/>
                <w:bCs/>
                <w:sz w:val="20"/>
                <w:szCs w:val="20"/>
              </w:rPr>
            </w:pPr>
            <w:r w:rsidRPr="00B81F34">
              <w:rPr>
                <w:rFonts w:ascii="Arial" w:hAnsi="Arial" w:cs="Arial"/>
                <w:b/>
                <w:bCs/>
                <w:sz w:val="20"/>
                <w:szCs w:val="20"/>
              </w:rPr>
              <w:t xml:space="preserve">Presented </w:t>
            </w:r>
          </w:p>
        </w:tc>
        <w:tc>
          <w:tcPr>
            <w:tcW w:w="7470" w:type="dxa"/>
            <w:tcBorders>
              <w:right w:val="nil"/>
            </w:tcBorders>
          </w:tcPr>
          <w:p w14:paraId="42975E9A" w14:textId="77777777" w:rsidR="00ED671F" w:rsidRDefault="00161AFE" w:rsidP="00ED671F">
            <w:pPr>
              <w:pStyle w:val="Default"/>
              <w:numPr>
                <w:ilvl w:val="0"/>
                <w:numId w:val="1"/>
              </w:numPr>
              <w:rPr>
                <w:rFonts w:ascii="Arial" w:hAnsi="Arial" w:cs="Arial"/>
                <w:sz w:val="20"/>
                <w:szCs w:val="20"/>
              </w:rPr>
            </w:pPr>
            <w:r>
              <w:rPr>
                <w:rFonts w:ascii="Arial" w:hAnsi="Arial" w:cs="Arial"/>
                <w:sz w:val="20"/>
                <w:szCs w:val="20"/>
              </w:rPr>
              <w:t xml:space="preserve">Whether </w:t>
            </w:r>
            <w:r w:rsidRPr="00BE21FD">
              <w:rPr>
                <w:rFonts w:ascii="Arial" w:hAnsi="Arial" w:cs="Arial"/>
                <w:sz w:val="20"/>
                <w:szCs w:val="20"/>
              </w:rPr>
              <w:t>the Petitioners failed to demonstrate that the legislatively adopted congressional reapportionment plan, SB 881, does not comply with all applicable statutes and the United States and Oregon Constitutions in any of the ways they have asserted.</w:t>
            </w:r>
          </w:p>
          <w:p w14:paraId="752E9030" w14:textId="7676B1FE" w:rsidR="00161AFE" w:rsidRPr="00B81F34" w:rsidRDefault="00161AFE" w:rsidP="00161AFE">
            <w:pPr>
              <w:pStyle w:val="Default"/>
              <w:rPr>
                <w:rFonts w:ascii="Arial" w:hAnsi="Arial" w:cs="Arial"/>
                <w:sz w:val="20"/>
                <w:szCs w:val="20"/>
              </w:rPr>
            </w:pPr>
          </w:p>
        </w:tc>
      </w:tr>
      <w:tr w:rsidR="00ED671F" w:rsidRPr="008D467C" w14:paraId="36271834" w14:textId="77777777" w:rsidTr="00A10326">
        <w:trPr>
          <w:trHeight w:val="2070"/>
        </w:trPr>
        <w:tc>
          <w:tcPr>
            <w:tcW w:w="1998" w:type="dxa"/>
            <w:tcBorders>
              <w:left w:val="nil"/>
            </w:tcBorders>
          </w:tcPr>
          <w:p w14:paraId="416F9009" w14:textId="77777777" w:rsidR="00ED671F" w:rsidRPr="00B81F34" w:rsidRDefault="00ED671F" w:rsidP="00ED671F">
            <w:pPr>
              <w:pStyle w:val="Default"/>
              <w:rPr>
                <w:rFonts w:ascii="Arial" w:hAnsi="Arial" w:cs="Arial"/>
                <w:b/>
                <w:bCs/>
                <w:sz w:val="20"/>
                <w:szCs w:val="20"/>
              </w:rPr>
            </w:pPr>
            <w:r w:rsidRPr="00B81F34">
              <w:rPr>
                <w:rFonts w:ascii="Arial" w:hAnsi="Arial" w:cs="Arial"/>
                <w:b/>
                <w:bCs/>
                <w:sz w:val="20"/>
                <w:szCs w:val="20"/>
              </w:rPr>
              <w:lastRenderedPageBreak/>
              <w:t xml:space="preserve">The Rule(s) </w:t>
            </w:r>
          </w:p>
        </w:tc>
        <w:tc>
          <w:tcPr>
            <w:tcW w:w="7470" w:type="dxa"/>
            <w:tcBorders>
              <w:right w:val="nil"/>
            </w:tcBorders>
          </w:tcPr>
          <w:p w14:paraId="01CDF2CB" w14:textId="7844E9E7" w:rsidR="00ED671F" w:rsidRPr="00BA58CB" w:rsidRDefault="00CC14FB" w:rsidP="00ED671F">
            <w:pPr>
              <w:pStyle w:val="Default"/>
              <w:numPr>
                <w:ilvl w:val="0"/>
                <w:numId w:val="1"/>
              </w:numPr>
              <w:rPr>
                <w:rFonts w:ascii="Arial" w:hAnsi="Arial" w:cs="Arial"/>
                <w:sz w:val="20"/>
                <w:szCs w:val="20"/>
              </w:rPr>
            </w:pPr>
            <w:r w:rsidRPr="00BA58CB">
              <w:rPr>
                <w:rFonts w:ascii="Arial" w:hAnsi="Arial" w:cs="Arial"/>
                <w:sz w:val="20"/>
                <w:szCs w:val="20"/>
              </w:rPr>
              <w:t>ORS 188.010</w:t>
            </w:r>
          </w:p>
          <w:p w14:paraId="4A178031" w14:textId="77777777" w:rsidR="00F612E5" w:rsidRPr="00BA58CB" w:rsidRDefault="00F612E5" w:rsidP="00F612E5">
            <w:pPr>
              <w:pStyle w:val="Default"/>
              <w:numPr>
                <w:ilvl w:val="1"/>
                <w:numId w:val="1"/>
              </w:numPr>
              <w:rPr>
                <w:rFonts w:ascii="Arial" w:hAnsi="Arial" w:cs="Arial"/>
                <w:sz w:val="20"/>
                <w:szCs w:val="20"/>
              </w:rPr>
            </w:pPr>
            <w:r w:rsidRPr="00BA58CB">
              <w:rPr>
                <w:rFonts w:ascii="Arial" w:hAnsi="Arial" w:cs="Arial"/>
                <w:sz w:val="20"/>
                <w:szCs w:val="20"/>
              </w:rPr>
              <w:t>(1) Each district, as nearly as practicable, shall:</w:t>
            </w:r>
          </w:p>
          <w:p w14:paraId="029DC6B3" w14:textId="77777777" w:rsidR="00F612E5" w:rsidRPr="00BA58CB" w:rsidRDefault="00F612E5" w:rsidP="00F612E5">
            <w:pPr>
              <w:pStyle w:val="Default"/>
              <w:numPr>
                <w:ilvl w:val="2"/>
                <w:numId w:val="1"/>
              </w:numPr>
              <w:rPr>
                <w:rFonts w:ascii="Arial" w:hAnsi="Arial" w:cs="Arial"/>
                <w:sz w:val="20"/>
                <w:szCs w:val="20"/>
              </w:rPr>
            </w:pPr>
            <w:r w:rsidRPr="00BA58CB">
              <w:rPr>
                <w:rFonts w:ascii="Arial" w:hAnsi="Arial" w:cs="Arial"/>
                <w:sz w:val="20"/>
                <w:szCs w:val="20"/>
              </w:rPr>
              <w:t xml:space="preserve">(a) Be </w:t>
            </w:r>
            <w:proofErr w:type="gramStart"/>
            <w:r w:rsidRPr="00BA58CB">
              <w:rPr>
                <w:rFonts w:ascii="Arial" w:hAnsi="Arial" w:cs="Arial"/>
                <w:sz w:val="20"/>
                <w:szCs w:val="20"/>
              </w:rPr>
              <w:t>contiguous;</w:t>
            </w:r>
            <w:proofErr w:type="gramEnd"/>
          </w:p>
          <w:p w14:paraId="79DC6DE8" w14:textId="77777777" w:rsidR="00F612E5" w:rsidRPr="00BA58CB" w:rsidRDefault="00F612E5" w:rsidP="00F612E5">
            <w:pPr>
              <w:pStyle w:val="Default"/>
              <w:numPr>
                <w:ilvl w:val="2"/>
                <w:numId w:val="1"/>
              </w:numPr>
              <w:rPr>
                <w:rFonts w:ascii="Arial" w:hAnsi="Arial" w:cs="Arial"/>
                <w:sz w:val="20"/>
                <w:szCs w:val="20"/>
              </w:rPr>
            </w:pPr>
            <w:r w:rsidRPr="00BA58CB">
              <w:rPr>
                <w:rFonts w:ascii="Arial" w:hAnsi="Arial" w:cs="Arial"/>
                <w:sz w:val="20"/>
                <w:szCs w:val="20"/>
              </w:rPr>
              <w:t xml:space="preserve">(b) Be of equal </w:t>
            </w:r>
            <w:proofErr w:type="gramStart"/>
            <w:r w:rsidRPr="00BA58CB">
              <w:rPr>
                <w:rFonts w:ascii="Arial" w:hAnsi="Arial" w:cs="Arial"/>
                <w:sz w:val="20"/>
                <w:szCs w:val="20"/>
              </w:rPr>
              <w:t>population;</w:t>
            </w:r>
            <w:proofErr w:type="gramEnd"/>
          </w:p>
          <w:p w14:paraId="187155EC" w14:textId="77777777" w:rsidR="00F612E5" w:rsidRPr="00B81F34" w:rsidRDefault="00F612E5" w:rsidP="00F612E5">
            <w:pPr>
              <w:pStyle w:val="Default"/>
              <w:numPr>
                <w:ilvl w:val="2"/>
                <w:numId w:val="1"/>
              </w:numPr>
              <w:rPr>
                <w:rFonts w:ascii="Arial" w:hAnsi="Arial" w:cs="Arial"/>
                <w:sz w:val="20"/>
                <w:szCs w:val="20"/>
              </w:rPr>
            </w:pPr>
            <w:r w:rsidRPr="00B81F34">
              <w:rPr>
                <w:rFonts w:ascii="Arial" w:hAnsi="Arial" w:cs="Arial"/>
                <w:sz w:val="20"/>
                <w:szCs w:val="20"/>
              </w:rPr>
              <w:t xml:space="preserve">(c) Utilize existing geographic or political </w:t>
            </w:r>
            <w:proofErr w:type="gramStart"/>
            <w:r w:rsidRPr="00B81F34">
              <w:rPr>
                <w:rFonts w:ascii="Arial" w:hAnsi="Arial" w:cs="Arial"/>
                <w:sz w:val="20"/>
                <w:szCs w:val="20"/>
              </w:rPr>
              <w:t>boundaries;</w:t>
            </w:r>
            <w:proofErr w:type="gramEnd"/>
          </w:p>
          <w:p w14:paraId="4EF9F3DC" w14:textId="77777777" w:rsidR="00F612E5" w:rsidRPr="00B81F34" w:rsidRDefault="00F612E5" w:rsidP="00F612E5">
            <w:pPr>
              <w:pStyle w:val="Default"/>
              <w:numPr>
                <w:ilvl w:val="2"/>
                <w:numId w:val="1"/>
              </w:numPr>
              <w:rPr>
                <w:rFonts w:ascii="Arial" w:hAnsi="Arial" w:cs="Arial"/>
                <w:sz w:val="20"/>
                <w:szCs w:val="20"/>
              </w:rPr>
            </w:pPr>
            <w:r w:rsidRPr="00B81F34">
              <w:rPr>
                <w:rFonts w:ascii="Arial" w:hAnsi="Arial" w:cs="Arial"/>
                <w:sz w:val="20"/>
                <w:szCs w:val="20"/>
              </w:rPr>
              <w:t>(d) Not divide communities of common interest; and</w:t>
            </w:r>
          </w:p>
          <w:p w14:paraId="660D1071" w14:textId="77777777" w:rsidR="00F612E5" w:rsidRPr="00B81F34" w:rsidRDefault="00F612E5" w:rsidP="00F612E5">
            <w:pPr>
              <w:pStyle w:val="Default"/>
              <w:numPr>
                <w:ilvl w:val="2"/>
                <w:numId w:val="1"/>
              </w:numPr>
              <w:rPr>
                <w:rFonts w:ascii="Arial" w:hAnsi="Arial" w:cs="Arial"/>
                <w:sz w:val="20"/>
                <w:szCs w:val="20"/>
              </w:rPr>
            </w:pPr>
            <w:r w:rsidRPr="00B81F34">
              <w:rPr>
                <w:rFonts w:ascii="Arial" w:hAnsi="Arial" w:cs="Arial"/>
                <w:sz w:val="20"/>
                <w:szCs w:val="20"/>
              </w:rPr>
              <w:t>(e) Be connected by transportation links.</w:t>
            </w:r>
          </w:p>
          <w:p w14:paraId="1E3CB0DF" w14:textId="77777777" w:rsidR="00F612E5" w:rsidRPr="00B81F34" w:rsidRDefault="00F612E5" w:rsidP="00F612E5">
            <w:pPr>
              <w:pStyle w:val="Default"/>
              <w:numPr>
                <w:ilvl w:val="1"/>
                <w:numId w:val="1"/>
              </w:numPr>
              <w:rPr>
                <w:rFonts w:ascii="Arial" w:hAnsi="Arial" w:cs="Arial"/>
                <w:sz w:val="20"/>
                <w:szCs w:val="20"/>
              </w:rPr>
            </w:pPr>
            <w:r w:rsidRPr="00B81F34">
              <w:rPr>
                <w:rFonts w:ascii="Arial" w:hAnsi="Arial" w:cs="Arial"/>
                <w:sz w:val="20"/>
                <w:szCs w:val="20"/>
              </w:rPr>
              <w:t xml:space="preserve">(2) No district shall be drawn for the purpose of favoring any political party, incumbent </w:t>
            </w:r>
            <w:proofErr w:type="gramStart"/>
            <w:r w:rsidRPr="00B81F34">
              <w:rPr>
                <w:rFonts w:ascii="Arial" w:hAnsi="Arial" w:cs="Arial"/>
                <w:sz w:val="20"/>
                <w:szCs w:val="20"/>
              </w:rPr>
              <w:t>legislator</w:t>
            </w:r>
            <w:proofErr w:type="gramEnd"/>
            <w:r w:rsidRPr="00B81F34">
              <w:rPr>
                <w:rFonts w:ascii="Arial" w:hAnsi="Arial" w:cs="Arial"/>
                <w:sz w:val="20"/>
                <w:szCs w:val="20"/>
              </w:rPr>
              <w:t xml:space="preserve"> or other person.</w:t>
            </w:r>
          </w:p>
          <w:p w14:paraId="195A0B1E" w14:textId="77777777" w:rsidR="00F612E5" w:rsidRPr="00B81F34" w:rsidRDefault="00F612E5" w:rsidP="00F612E5">
            <w:pPr>
              <w:pStyle w:val="Default"/>
              <w:numPr>
                <w:ilvl w:val="1"/>
                <w:numId w:val="1"/>
              </w:numPr>
              <w:rPr>
                <w:rFonts w:ascii="Arial" w:hAnsi="Arial" w:cs="Arial"/>
                <w:sz w:val="20"/>
                <w:szCs w:val="20"/>
              </w:rPr>
            </w:pPr>
            <w:r w:rsidRPr="00B81F34">
              <w:rPr>
                <w:rFonts w:ascii="Arial" w:hAnsi="Arial" w:cs="Arial"/>
                <w:sz w:val="20"/>
                <w:szCs w:val="20"/>
              </w:rPr>
              <w:t>(3) No district shall be drawn for the purpose of diluting the voting strength of any language or ethnic minority group.</w:t>
            </w:r>
          </w:p>
          <w:p w14:paraId="5B8B2B23" w14:textId="7F953672" w:rsidR="00CC14FB" w:rsidRDefault="00F612E5" w:rsidP="00F612E5">
            <w:pPr>
              <w:pStyle w:val="Default"/>
              <w:numPr>
                <w:ilvl w:val="1"/>
                <w:numId w:val="1"/>
              </w:numPr>
              <w:rPr>
                <w:rFonts w:ascii="Arial" w:hAnsi="Arial" w:cs="Arial"/>
                <w:sz w:val="20"/>
                <w:szCs w:val="20"/>
              </w:rPr>
            </w:pPr>
            <w:r w:rsidRPr="00B81F34">
              <w:rPr>
                <w:rFonts w:ascii="Arial" w:hAnsi="Arial" w:cs="Arial"/>
                <w:sz w:val="20"/>
                <w:szCs w:val="20"/>
              </w:rPr>
              <w:t>(4) Two state House of Representative districts shall be wholly included within a single state senatorial district.</w:t>
            </w:r>
          </w:p>
          <w:p w14:paraId="1A56A7DB" w14:textId="1E8B4FEA" w:rsidR="008A4FB1" w:rsidRDefault="008A4FB1" w:rsidP="008A4FB1">
            <w:pPr>
              <w:pStyle w:val="Default"/>
              <w:numPr>
                <w:ilvl w:val="0"/>
                <w:numId w:val="1"/>
              </w:numPr>
              <w:rPr>
                <w:rFonts w:ascii="Arial" w:hAnsi="Arial" w:cs="Arial"/>
                <w:sz w:val="20"/>
                <w:szCs w:val="20"/>
              </w:rPr>
            </w:pPr>
            <w:r>
              <w:rPr>
                <w:rFonts w:ascii="Arial" w:hAnsi="Arial" w:cs="Arial"/>
                <w:sz w:val="20"/>
                <w:szCs w:val="20"/>
              </w:rPr>
              <w:t>F</w:t>
            </w:r>
            <w:r w:rsidRPr="008A4FB1">
              <w:rPr>
                <w:rFonts w:ascii="Arial" w:hAnsi="Arial" w:cs="Arial"/>
                <w:sz w:val="20"/>
                <w:szCs w:val="20"/>
              </w:rPr>
              <w:t xml:space="preserve">reedom of </w:t>
            </w:r>
            <w:r>
              <w:rPr>
                <w:rFonts w:ascii="Arial" w:hAnsi="Arial" w:cs="Arial"/>
                <w:sz w:val="20"/>
                <w:szCs w:val="20"/>
              </w:rPr>
              <w:t>E</w:t>
            </w:r>
            <w:r w:rsidRPr="008A4FB1">
              <w:rPr>
                <w:rFonts w:ascii="Arial" w:hAnsi="Arial" w:cs="Arial"/>
                <w:sz w:val="20"/>
                <w:szCs w:val="20"/>
              </w:rPr>
              <w:t xml:space="preserve">xpression </w:t>
            </w:r>
            <w:r>
              <w:rPr>
                <w:rFonts w:ascii="Arial" w:hAnsi="Arial" w:cs="Arial"/>
                <w:sz w:val="20"/>
                <w:szCs w:val="20"/>
              </w:rPr>
              <w:t xml:space="preserve">Clause, </w:t>
            </w:r>
            <w:r w:rsidRPr="005E605D">
              <w:rPr>
                <w:rFonts w:ascii="Arial" w:hAnsi="Arial" w:cs="Arial"/>
                <w:smallCaps/>
                <w:sz w:val="20"/>
                <w:szCs w:val="20"/>
              </w:rPr>
              <w:t>Or. Const.</w:t>
            </w:r>
            <w:r>
              <w:rPr>
                <w:rFonts w:ascii="Arial" w:hAnsi="Arial" w:cs="Arial"/>
                <w:sz w:val="20"/>
                <w:szCs w:val="20"/>
              </w:rPr>
              <w:t xml:space="preserve"> art. I, § 8.</w:t>
            </w:r>
          </w:p>
          <w:p w14:paraId="2D0F866A" w14:textId="2D036A9A" w:rsidR="008A4FB1" w:rsidRDefault="008A4FB1" w:rsidP="00DB2C42">
            <w:pPr>
              <w:pStyle w:val="Default"/>
              <w:numPr>
                <w:ilvl w:val="0"/>
                <w:numId w:val="1"/>
              </w:numPr>
              <w:rPr>
                <w:rFonts w:ascii="Arial" w:hAnsi="Arial" w:cs="Arial"/>
                <w:sz w:val="20"/>
                <w:szCs w:val="20"/>
              </w:rPr>
            </w:pPr>
            <w:r>
              <w:rPr>
                <w:rFonts w:ascii="Arial" w:hAnsi="Arial" w:cs="Arial"/>
                <w:sz w:val="20"/>
                <w:szCs w:val="20"/>
              </w:rPr>
              <w:t xml:space="preserve">Freedom of Assembly Clause, </w:t>
            </w:r>
            <w:r w:rsidR="005E605D" w:rsidRPr="005E605D">
              <w:rPr>
                <w:rFonts w:ascii="Arial" w:hAnsi="Arial" w:cs="Arial"/>
                <w:smallCaps/>
                <w:sz w:val="20"/>
                <w:szCs w:val="20"/>
              </w:rPr>
              <w:t>Or. Const.</w:t>
            </w:r>
            <w:r w:rsidR="005E605D">
              <w:rPr>
                <w:rFonts w:ascii="Arial" w:hAnsi="Arial" w:cs="Arial"/>
                <w:sz w:val="20"/>
                <w:szCs w:val="20"/>
              </w:rPr>
              <w:t xml:space="preserve"> </w:t>
            </w:r>
            <w:r>
              <w:rPr>
                <w:rFonts w:ascii="Arial" w:hAnsi="Arial" w:cs="Arial"/>
                <w:sz w:val="20"/>
                <w:szCs w:val="20"/>
              </w:rPr>
              <w:t>art. I, § 26.</w:t>
            </w:r>
          </w:p>
          <w:p w14:paraId="7BD90FCF" w14:textId="3F0E66ED" w:rsidR="00B2714B" w:rsidRDefault="00B2714B" w:rsidP="00DB2C42">
            <w:pPr>
              <w:pStyle w:val="Default"/>
              <w:numPr>
                <w:ilvl w:val="0"/>
                <w:numId w:val="1"/>
              </w:numPr>
              <w:rPr>
                <w:rFonts w:ascii="Arial" w:hAnsi="Arial" w:cs="Arial"/>
                <w:sz w:val="20"/>
                <w:szCs w:val="20"/>
              </w:rPr>
            </w:pPr>
            <w:r>
              <w:rPr>
                <w:rFonts w:ascii="Arial" w:hAnsi="Arial" w:cs="Arial"/>
                <w:sz w:val="20"/>
                <w:szCs w:val="20"/>
              </w:rPr>
              <w:t xml:space="preserve">Privileges and Immunities Clause, </w:t>
            </w:r>
            <w:r w:rsidR="005E605D" w:rsidRPr="005E605D">
              <w:rPr>
                <w:rFonts w:ascii="Arial" w:hAnsi="Arial" w:cs="Arial"/>
                <w:smallCaps/>
                <w:sz w:val="20"/>
                <w:szCs w:val="20"/>
              </w:rPr>
              <w:t>Or. Const.</w:t>
            </w:r>
            <w:r w:rsidR="005E605D">
              <w:rPr>
                <w:rFonts w:ascii="Arial" w:hAnsi="Arial" w:cs="Arial"/>
                <w:sz w:val="20"/>
                <w:szCs w:val="20"/>
              </w:rPr>
              <w:t xml:space="preserve"> </w:t>
            </w:r>
            <w:r>
              <w:rPr>
                <w:rFonts w:ascii="Arial" w:hAnsi="Arial" w:cs="Arial"/>
                <w:sz w:val="20"/>
                <w:szCs w:val="20"/>
              </w:rPr>
              <w:t>art. I, § 20.</w:t>
            </w:r>
          </w:p>
          <w:p w14:paraId="03A79490" w14:textId="1A372804" w:rsidR="00B2714B" w:rsidRDefault="00B2714B" w:rsidP="00DB2C42">
            <w:pPr>
              <w:pStyle w:val="Default"/>
              <w:numPr>
                <w:ilvl w:val="0"/>
                <w:numId w:val="1"/>
              </w:numPr>
              <w:rPr>
                <w:rFonts w:ascii="Arial" w:hAnsi="Arial" w:cs="Arial"/>
                <w:sz w:val="20"/>
                <w:szCs w:val="20"/>
              </w:rPr>
            </w:pPr>
            <w:r>
              <w:rPr>
                <w:rFonts w:ascii="Arial" w:hAnsi="Arial" w:cs="Arial"/>
                <w:sz w:val="20"/>
                <w:szCs w:val="20"/>
              </w:rPr>
              <w:t xml:space="preserve">Free and Equal Elections Clause, </w:t>
            </w:r>
            <w:r w:rsidR="005E605D" w:rsidRPr="005E605D">
              <w:rPr>
                <w:rFonts w:ascii="Arial" w:hAnsi="Arial" w:cs="Arial"/>
                <w:smallCaps/>
                <w:sz w:val="20"/>
                <w:szCs w:val="20"/>
              </w:rPr>
              <w:t>Or. Const.</w:t>
            </w:r>
            <w:r w:rsidR="005E605D">
              <w:rPr>
                <w:rFonts w:ascii="Arial" w:hAnsi="Arial" w:cs="Arial"/>
                <w:sz w:val="20"/>
                <w:szCs w:val="20"/>
              </w:rPr>
              <w:t xml:space="preserve"> </w:t>
            </w:r>
            <w:r>
              <w:rPr>
                <w:rFonts w:ascii="Arial" w:hAnsi="Arial" w:cs="Arial"/>
                <w:sz w:val="20"/>
                <w:szCs w:val="20"/>
              </w:rPr>
              <w:t>art. II, § 1.</w:t>
            </w:r>
          </w:p>
          <w:p w14:paraId="0E659D29" w14:textId="77777777" w:rsidR="00A57FF4" w:rsidRPr="00B81F34" w:rsidRDefault="00A57FF4" w:rsidP="00A57FF4">
            <w:pPr>
              <w:pStyle w:val="Default"/>
              <w:numPr>
                <w:ilvl w:val="0"/>
                <w:numId w:val="1"/>
              </w:numPr>
              <w:rPr>
                <w:rFonts w:ascii="Arial" w:hAnsi="Arial" w:cs="Arial"/>
                <w:sz w:val="20"/>
                <w:szCs w:val="20"/>
              </w:rPr>
            </w:pPr>
            <w:r w:rsidRPr="00B81F34">
              <w:rPr>
                <w:rFonts w:ascii="Arial" w:hAnsi="Arial" w:cs="Arial"/>
                <w:sz w:val="20"/>
                <w:szCs w:val="20"/>
              </w:rPr>
              <w:t xml:space="preserve">SB 259 Standard </w:t>
            </w:r>
          </w:p>
          <w:p w14:paraId="6B4AF539" w14:textId="77777777" w:rsidR="00A57FF4" w:rsidRPr="00B81F34" w:rsidRDefault="00A57FF4" w:rsidP="00A57FF4">
            <w:pPr>
              <w:pStyle w:val="Default"/>
              <w:numPr>
                <w:ilvl w:val="1"/>
                <w:numId w:val="1"/>
              </w:numPr>
              <w:rPr>
                <w:rFonts w:ascii="Arial" w:hAnsi="Arial" w:cs="Arial"/>
                <w:sz w:val="20"/>
                <w:szCs w:val="20"/>
              </w:rPr>
            </w:pPr>
            <w:r w:rsidRPr="00B81F34">
              <w:rPr>
                <w:rFonts w:ascii="Arial" w:hAnsi="Arial" w:cs="Arial"/>
                <w:sz w:val="20"/>
                <w:szCs w:val="20"/>
              </w:rPr>
              <w:t xml:space="preserve">SB 259 does not allow the SJP to substitute its own will for the will of the legislature, nor does it direct the SJP to adopt the best or most fair redistricting plan. </w:t>
            </w:r>
          </w:p>
          <w:p w14:paraId="35AE88EA" w14:textId="77777777" w:rsidR="00A57FF4" w:rsidRPr="00B81F34" w:rsidRDefault="00A57FF4" w:rsidP="00A57FF4">
            <w:pPr>
              <w:pStyle w:val="Default"/>
              <w:numPr>
                <w:ilvl w:val="1"/>
                <w:numId w:val="1"/>
              </w:numPr>
              <w:rPr>
                <w:rFonts w:ascii="Arial" w:hAnsi="Arial" w:cs="Arial"/>
                <w:sz w:val="20"/>
                <w:szCs w:val="20"/>
              </w:rPr>
            </w:pPr>
            <w:r w:rsidRPr="00B81F34">
              <w:rPr>
                <w:rFonts w:ascii="Arial" w:hAnsi="Arial" w:cs="Arial"/>
                <w:sz w:val="20"/>
                <w:szCs w:val="20"/>
              </w:rPr>
              <w:t>The SJP must affirm a legislatively adopted redistricting plan “if the plan complies with all applicable statutes and the United States and Oregon Constitutions.”</w:t>
            </w:r>
          </w:p>
          <w:p w14:paraId="03C74091" w14:textId="77777777" w:rsidR="00A57FF4" w:rsidRDefault="00A57FF4" w:rsidP="00A57FF4">
            <w:pPr>
              <w:pStyle w:val="Default"/>
              <w:numPr>
                <w:ilvl w:val="1"/>
                <w:numId w:val="1"/>
              </w:numPr>
              <w:rPr>
                <w:rFonts w:ascii="Arial" w:hAnsi="Arial" w:cs="Arial"/>
                <w:sz w:val="20"/>
                <w:szCs w:val="20"/>
              </w:rPr>
            </w:pPr>
            <w:r w:rsidRPr="00B81F34">
              <w:rPr>
                <w:rFonts w:ascii="Arial" w:hAnsi="Arial" w:cs="Arial"/>
                <w:sz w:val="20"/>
                <w:szCs w:val="20"/>
              </w:rPr>
              <w:t xml:space="preserve">The SJP may create its own reapportionment plan only if the </w:t>
            </w:r>
            <w:r w:rsidRPr="00BA58CB">
              <w:rPr>
                <w:rFonts w:ascii="Arial" w:hAnsi="Arial" w:cs="Arial"/>
                <w:sz w:val="20"/>
                <w:szCs w:val="20"/>
              </w:rPr>
              <w:t>legislatively adopted reapportionment plan fails in one of those respects.</w:t>
            </w:r>
          </w:p>
          <w:p w14:paraId="0E04C010" w14:textId="77777777" w:rsidR="00A57FF4" w:rsidRPr="002004BD" w:rsidRDefault="00A57FF4" w:rsidP="00A57FF4">
            <w:pPr>
              <w:pStyle w:val="Default"/>
              <w:numPr>
                <w:ilvl w:val="0"/>
                <w:numId w:val="1"/>
              </w:numPr>
              <w:rPr>
                <w:rFonts w:ascii="Arial" w:hAnsi="Arial" w:cs="Arial"/>
                <w:b/>
                <w:bCs/>
                <w:sz w:val="20"/>
                <w:szCs w:val="20"/>
              </w:rPr>
            </w:pPr>
            <w:r w:rsidRPr="002004BD">
              <w:rPr>
                <w:rFonts w:ascii="Arial" w:hAnsi="Arial" w:cs="Arial"/>
                <w:b/>
                <w:bCs/>
                <w:i/>
                <w:iCs/>
                <w:sz w:val="20"/>
                <w:szCs w:val="20"/>
              </w:rPr>
              <w:t xml:space="preserve">Hartung </w:t>
            </w:r>
            <w:r w:rsidRPr="002004BD">
              <w:rPr>
                <w:rFonts w:ascii="Arial" w:hAnsi="Arial" w:cs="Arial"/>
                <w:b/>
                <w:bCs/>
                <w:sz w:val="20"/>
                <w:szCs w:val="20"/>
              </w:rPr>
              <w:t>Standard of Review</w:t>
            </w:r>
          </w:p>
          <w:p w14:paraId="3CA1C0A9" w14:textId="77777777" w:rsidR="00CA20CE" w:rsidRDefault="00A57FF4" w:rsidP="00A57FF4">
            <w:pPr>
              <w:pStyle w:val="Default"/>
              <w:numPr>
                <w:ilvl w:val="1"/>
                <w:numId w:val="1"/>
              </w:numPr>
              <w:rPr>
                <w:rFonts w:ascii="Arial" w:hAnsi="Arial" w:cs="Arial"/>
                <w:sz w:val="20"/>
                <w:szCs w:val="20"/>
              </w:rPr>
            </w:pPr>
            <w:r w:rsidRPr="007D70F6">
              <w:rPr>
                <w:rFonts w:ascii="Arial" w:hAnsi="Arial" w:cs="Arial"/>
                <w:sz w:val="20"/>
                <w:szCs w:val="20"/>
              </w:rPr>
              <w:t xml:space="preserve">The SJP will void the Legislative Assembly’s plan only if we can say, based on the record, that </w:t>
            </w:r>
          </w:p>
          <w:p w14:paraId="6864C856" w14:textId="41C2F9EC" w:rsidR="00CA20CE" w:rsidRDefault="00CD0AFD" w:rsidP="00CA20CE">
            <w:pPr>
              <w:pStyle w:val="Default"/>
              <w:numPr>
                <w:ilvl w:val="2"/>
                <w:numId w:val="1"/>
              </w:numPr>
              <w:rPr>
                <w:rFonts w:ascii="Arial" w:hAnsi="Arial" w:cs="Arial"/>
                <w:sz w:val="20"/>
                <w:szCs w:val="20"/>
              </w:rPr>
            </w:pPr>
            <w:r w:rsidRPr="001D6787">
              <w:rPr>
                <w:rFonts w:ascii="Arial" w:hAnsi="Arial" w:cs="Arial"/>
                <w:sz w:val="20"/>
                <w:szCs w:val="20"/>
                <w:u w:val="single"/>
              </w:rPr>
              <w:t>Prong 1</w:t>
            </w:r>
            <w:r>
              <w:rPr>
                <w:rFonts w:ascii="Arial" w:hAnsi="Arial" w:cs="Arial"/>
                <w:sz w:val="20"/>
                <w:szCs w:val="20"/>
              </w:rPr>
              <w:t xml:space="preserve">: </w:t>
            </w:r>
            <w:r w:rsidR="00A57FF4" w:rsidRPr="007D70F6">
              <w:rPr>
                <w:rFonts w:ascii="Arial" w:hAnsi="Arial" w:cs="Arial"/>
                <w:sz w:val="20"/>
                <w:szCs w:val="20"/>
              </w:rPr>
              <w:t xml:space="preserve">that body either did not consider one or more of the ORS 188.010 criteria set out in ORS 188.010, or, </w:t>
            </w:r>
          </w:p>
          <w:p w14:paraId="6748E0EE" w14:textId="360ECB3F" w:rsidR="00A57FF4" w:rsidRDefault="00CD0AFD" w:rsidP="00CA20CE">
            <w:pPr>
              <w:pStyle w:val="Default"/>
              <w:numPr>
                <w:ilvl w:val="2"/>
                <w:numId w:val="1"/>
              </w:numPr>
              <w:rPr>
                <w:rFonts w:ascii="Arial" w:hAnsi="Arial" w:cs="Arial"/>
                <w:sz w:val="20"/>
                <w:szCs w:val="20"/>
              </w:rPr>
            </w:pPr>
            <w:r w:rsidRPr="001D6787">
              <w:rPr>
                <w:rFonts w:ascii="Arial" w:hAnsi="Arial" w:cs="Arial"/>
                <w:sz w:val="20"/>
                <w:szCs w:val="20"/>
                <w:u w:val="single"/>
              </w:rPr>
              <w:t>Prong 2</w:t>
            </w:r>
            <w:r>
              <w:rPr>
                <w:rFonts w:ascii="Arial" w:hAnsi="Arial" w:cs="Arial"/>
                <w:sz w:val="20"/>
                <w:szCs w:val="20"/>
              </w:rPr>
              <w:t xml:space="preserve">: </w:t>
            </w:r>
            <w:r w:rsidR="00A57FF4" w:rsidRPr="007D70F6">
              <w:rPr>
                <w:rFonts w:ascii="Arial" w:hAnsi="Arial" w:cs="Arial"/>
                <w:sz w:val="20"/>
                <w:szCs w:val="20"/>
              </w:rPr>
              <w:t>having considered them all, made a choice or choices that no reasonable legislature would have made.</w:t>
            </w:r>
          </w:p>
          <w:p w14:paraId="5106D6A7" w14:textId="3BD79401" w:rsidR="00A57FF4" w:rsidRPr="00A57FF4" w:rsidRDefault="00A57FF4" w:rsidP="00A57FF4">
            <w:pPr>
              <w:pStyle w:val="Default"/>
              <w:numPr>
                <w:ilvl w:val="1"/>
                <w:numId w:val="1"/>
              </w:numPr>
              <w:rPr>
                <w:rFonts w:ascii="Arial" w:hAnsi="Arial" w:cs="Arial"/>
                <w:sz w:val="20"/>
                <w:szCs w:val="20"/>
              </w:rPr>
            </w:pPr>
            <w:r>
              <w:rPr>
                <w:rFonts w:ascii="Arial" w:hAnsi="Arial" w:cs="Arial"/>
                <w:sz w:val="20"/>
                <w:szCs w:val="20"/>
              </w:rPr>
              <w:t>T</w:t>
            </w:r>
            <w:r w:rsidRPr="007D70F6">
              <w:rPr>
                <w:rFonts w:ascii="Arial" w:hAnsi="Arial" w:cs="Arial"/>
                <w:sz w:val="20"/>
                <w:szCs w:val="20"/>
              </w:rPr>
              <w:t>he party challenging a reapportionment plan has the burden to show that one of those circumstances is present</w:t>
            </w:r>
            <w:r>
              <w:rPr>
                <w:rFonts w:ascii="Arial" w:hAnsi="Arial" w:cs="Arial"/>
                <w:sz w:val="20"/>
                <w:szCs w:val="20"/>
              </w:rPr>
              <w:t>.</w:t>
            </w:r>
          </w:p>
          <w:p w14:paraId="6FF57219" w14:textId="19408717" w:rsidR="00837AA0" w:rsidRPr="00B81F34" w:rsidRDefault="00837AA0" w:rsidP="00B2714B">
            <w:pPr>
              <w:pStyle w:val="Default"/>
              <w:rPr>
                <w:rFonts w:ascii="Arial" w:hAnsi="Arial" w:cs="Arial"/>
                <w:sz w:val="20"/>
                <w:szCs w:val="20"/>
              </w:rPr>
            </w:pPr>
          </w:p>
        </w:tc>
      </w:tr>
      <w:tr w:rsidR="00ED671F" w:rsidRPr="008D467C" w14:paraId="6EAC0DAF" w14:textId="77777777" w:rsidTr="000011E4">
        <w:trPr>
          <w:trHeight w:val="450"/>
        </w:trPr>
        <w:tc>
          <w:tcPr>
            <w:tcW w:w="1998" w:type="dxa"/>
            <w:tcBorders>
              <w:left w:val="nil"/>
            </w:tcBorders>
          </w:tcPr>
          <w:p w14:paraId="14D844C1" w14:textId="77777777" w:rsidR="00ED671F" w:rsidRPr="008D467C" w:rsidRDefault="00ED671F" w:rsidP="00ED671F">
            <w:pPr>
              <w:pStyle w:val="Default"/>
              <w:rPr>
                <w:rFonts w:ascii="Arial" w:hAnsi="Arial" w:cs="Arial"/>
                <w:b/>
                <w:bCs/>
                <w:sz w:val="20"/>
                <w:szCs w:val="20"/>
              </w:rPr>
            </w:pPr>
            <w:r w:rsidRPr="008D467C">
              <w:rPr>
                <w:rFonts w:ascii="Arial" w:hAnsi="Arial" w:cs="Arial"/>
                <w:b/>
                <w:bCs/>
                <w:sz w:val="20"/>
                <w:szCs w:val="20"/>
              </w:rPr>
              <w:t xml:space="preserve">Holding(s) </w:t>
            </w:r>
          </w:p>
        </w:tc>
        <w:tc>
          <w:tcPr>
            <w:tcW w:w="7470" w:type="dxa"/>
            <w:tcBorders>
              <w:right w:val="nil"/>
            </w:tcBorders>
          </w:tcPr>
          <w:p w14:paraId="47D26CFD" w14:textId="42248D90" w:rsidR="00ED671F" w:rsidRPr="002E0856" w:rsidRDefault="003C0830" w:rsidP="00ED671F">
            <w:pPr>
              <w:pStyle w:val="Default"/>
              <w:numPr>
                <w:ilvl w:val="0"/>
                <w:numId w:val="1"/>
              </w:numPr>
              <w:rPr>
                <w:rFonts w:ascii="Arial" w:hAnsi="Arial" w:cs="Arial"/>
                <w:sz w:val="20"/>
                <w:szCs w:val="20"/>
              </w:rPr>
            </w:pPr>
            <w:r>
              <w:rPr>
                <w:rFonts w:ascii="Arial" w:hAnsi="Arial" w:cs="Arial"/>
                <w:sz w:val="20"/>
                <w:szCs w:val="20"/>
              </w:rPr>
              <w:t xml:space="preserve">The </w:t>
            </w:r>
            <w:r w:rsidR="00BE21FD">
              <w:rPr>
                <w:rFonts w:ascii="Arial" w:hAnsi="Arial" w:cs="Arial"/>
                <w:sz w:val="20"/>
                <w:szCs w:val="20"/>
              </w:rPr>
              <w:t xml:space="preserve">Circuit Court held that </w:t>
            </w:r>
            <w:r w:rsidR="00BE21FD" w:rsidRPr="00BE21FD">
              <w:rPr>
                <w:rFonts w:ascii="Arial" w:hAnsi="Arial" w:cs="Arial"/>
                <w:sz w:val="20"/>
                <w:szCs w:val="20"/>
              </w:rPr>
              <w:t>the Petitioners failed to demonstrate that the legislatively adopted congressional reapportionment plan, SB 881, does not comply with all applicable statutes and the United States and Oregon Constitutions in any of the ways they have asserted.</w:t>
            </w:r>
          </w:p>
        </w:tc>
      </w:tr>
      <w:tr w:rsidR="00ED671F" w:rsidRPr="008D467C" w14:paraId="5135565A" w14:textId="77777777" w:rsidTr="00163DA4">
        <w:trPr>
          <w:trHeight w:val="207"/>
        </w:trPr>
        <w:tc>
          <w:tcPr>
            <w:tcW w:w="1998" w:type="dxa"/>
            <w:tcBorders>
              <w:left w:val="nil"/>
            </w:tcBorders>
          </w:tcPr>
          <w:p w14:paraId="5995E25E" w14:textId="77777777" w:rsidR="00ED671F" w:rsidRDefault="00ED671F" w:rsidP="00ED671F">
            <w:pPr>
              <w:pStyle w:val="Default"/>
              <w:rPr>
                <w:rFonts w:ascii="Arial" w:hAnsi="Arial" w:cs="Arial"/>
                <w:b/>
                <w:bCs/>
                <w:sz w:val="20"/>
                <w:szCs w:val="20"/>
              </w:rPr>
            </w:pPr>
          </w:p>
          <w:p w14:paraId="661A0A49" w14:textId="77777777" w:rsidR="00ED671F" w:rsidRPr="008D467C" w:rsidRDefault="00ED671F" w:rsidP="00ED671F">
            <w:pPr>
              <w:pStyle w:val="Default"/>
              <w:rPr>
                <w:rFonts w:ascii="Arial" w:hAnsi="Arial" w:cs="Arial"/>
                <w:b/>
                <w:bCs/>
                <w:sz w:val="20"/>
                <w:szCs w:val="20"/>
              </w:rPr>
            </w:pPr>
            <w:r w:rsidRPr="008D467C">
              <w:rPr>
                <w:rFonts w:ascii="Arial" w:hAnsi="Arial" w:cs="Arial"/>
                <w:b/>
                <w:bCs/>
                <w:sz w:val="20"/>
                <w:szCs w:val="20"/>
              </w:rPr>
              <w:t xml:space="preserve">Rationale </w:t>
            </w:r>
          </w:p>
        </w:tc>
        <w:tc>
          <w:tcPr>
            <w:tcW w:w="7470" w:type="dxa"/>
            <w:tcBorders>
              <w:right w:val="nil"/>
            </w:tcBorders>
          </w:tcPr>
          <w:p w14:paraId="10098011" w14:textId="77777777" w:rsidR="00ED671F" w:rsidRDefault="00ED671F" w:rsidP="00ED671F">
            <w:pPr>
              <w:pStyle w:val="Default"/>
              <w:rPr>
                <w:rFonts w:ascii="Arial" w:hAnsi="Arial" w:cs="Arial"/>
                <w:sz w:val="20"/>
                <w:szCs w:val="20"/>
              </w:rPr>
            </w:pPr>
          </w:p>
          <w:p w14:paraId="0EB51D84" w14:textId="3DDFB8FD" w:rsidR="00ED671F" w:rsidRPr="001D00F1" w:rsidRDefault="000B1D21" w:rsidP="00ED671F">
            <w:pPr>
              <w:pStyle w:val="Default"/>
              <w:numPr>
                <w:ilvl w:val="0"/>
                <w:numId w:val="1"/>
              </w:numPr>
              <w:rPr>
                <w:rFonts w:ascii="Arial" w:hAnsi="Arial" w:cs="Arial"/>
                <w:b/>
                <w:bCs/>
                <w:sz w:val="20"/>
                <w:szCs w:val="20"/>
              </w:rPr>
            </w:pPr>
            <w:r>
              <w:rPr>
                <w:rFonts w:ascii="Arial" w:hAnsi="Arial" w:cs="Arial"/>
                <w:b/>
                <w:bCs/>
                <w:sz w:val="20"/>
                <w:szCs w:val="20"/>
              </w:rPr>
              <w:t xml:space="preserve">The plan satisfies the first prong of the </w:t>
            </w:r>
            <w:r w:rsidR="00D3729D" w:rsidRPr="001D00F1">
              <w:rPr>
                <w:rFonts w:ascii="Arial" w:hAnsi="Arial" w:cs="Arial"/>
                <w:b/>
                <w:bCs/>
                <w:i/>
                <w:iCs/>
                <w:sz w:val="20"/>
                <w:szCs w:val="20"/>
              </w:rPr>
              <w:t xml:space="preserve">Hartung </w:t>
            </w:r>
            <w:r>
              <w:rPr>
                <w:rFonts w:ascii="Arial" w:hAnsi="Arial" w:cs="Arial"/>
                <w:b/>
                <w:bCs/>
                <w:sz w:val="20"/>
                <w:szCs w:val="20"/>
              </w:rPr>
              <w:t>test</w:t>
            </w:r>
          </w:p>
          <w:p w14:paraId="44E268CB" w14:textId="208B2A66" w:rsidR="00D559FC" w:rsidRDefault="00D559FC" w:rsidP="00D3729D">
            <w:pPr>
              <w:pStyle w:val="Default"/>
              <w:numPr>
                <w:ilvl w:val="1"/>
                <w:numId w:val="1"/>
              </w:numPr>
              <w:rPr>
                <w:rFonts w:ascii="Arial" w:hAnsi="Arial" w:cs="Arial"/>
                <w:sz w:val="20"/>
                <w:szCs w:val="20"/>
              </w:rPr>
            </w:pPr>
            <w:r>
              <w:rPr>
                <w:rFonts w:ascii="Arial" w:hAnsi="Arial" w:cs="Arial"/>
                <w:sz w:val="20"/>
                <w:szCs w:val="20"/>
              </w:rPr>
              <w:t xml:space="preserve">The fact </w:t>
            </w:r>
            <w:r w:rsidRPr="00D559FC">
              <w:rPr>
                <w:rFonts w:ascii="Arial" w:hAnsi="Arial" w:cs="Arial"/>
                <w:sz w:val="20"/>
                <w:szCs w:val="20"/>
              </w:rPr>
              <w:t>that some Service Employees International Union Local 503 (SEIU) members were aware that publicly available modeling tools rating various proposed maps were discussed with some members of the Legislative Assembly</w:t>
            </w:r>
            <w:r>
              <w:rPr>
                <w:rFonts w:ascii="Arial" w:hAnsi="Arial" w:cs="Arial"/>
                <w:sz w:val="20"/>
                <w:szCs w:val="20"/>
              </w:rPr>
              <w:t xml:space="preserve">, </w:t>
            </w:r>
            <w:r w:rsidR="007900FF">
              <w:rPr>
                <w:rFonts w:ascii="Arial" w:hAnsi="Arial" w:cs="Arial"/>
                <w:sz w:val="20"/>
                <w:szCs w:val="20"/>
              </w:rPr>
              <w:t>was</w:t>
            </w:r>
            <w:r w:rsidR="007900FF" w:rsidRPr="007900FF">
              <w:rPr>
                <w:rFonts w:ascii="Arial" w:hAnsi="Arial" w:cs="Arial"/>
                <w:sz w:val="20"/>
                <w:szCs w:val="20"/>
              </w:rPr>
              <w:t xml:space="preserve"> insufficient to show the Legislative Assembly failed to consider any statutory criteria.</w:t>
            </w:r>
          </w:p>
          <w:p w14:paraId="08A0CA84" w14:textId="4B2348A1" w:rsidR="00D3729D" w:rsidRDefault="00687CF1" w:rsidP="00D3729D">
            <w:pPr>
              <w:pStyle w:val="Default"/>
              <w:numPr>
                <w:ilvl w:val="1"/>
                <w:numId w:val="1"/>
              </w:numPr>
              <w:rPr>
                <w:rFonts w:ascii="Arial" w:hAnsi="Arial" w:cs="Arial"/>
                <w:sz w:val="20"/>
                <w:szCs w:val="20"/>
              </w:rPr>
            </w:pPr>
            <w:r w:rsidRPr="00687CF1">
              <w:rPr>
                <w:rFonts w:ascii="Arial" w:hAnsi="Arial" w:cs="Arial"/>
                <w:sz w:val="20"/>
                <w:szCs w:val="20"/>
              </w:rPr>
              <w:t xml:space="preserve">When considered in the light of the facts related to ORS 188.010(1), </w:t>
            </w:r>
            <w:proofErr w:type="gramStart"/>
            <w:r w:rsidRPr="00687CF1">
              <w:rPr>
                <w:rFonts w:ascii="Arial" w:hAnsi="Arial" w:cs="Arial"/>
                <w:sz w:val="20"/>
                <w:szCs w:val="20"/>
              </w:rPr>
              <w:t>it is clear that there</w:t>
            </w:r>
            <w:proofErr w:type="gramEnd"/>
            <w:r w:rsidRPr="00687CF1">
              <w:rPr>
                <w:rFonts w:ascii="Arial" w:hAnsi="Arial" w:cs="Arial"/>
                <w:sz w:val="20"/>
                <w:szCs w:val="20"/>
              </w:rPr>
              <w:t xml:space="preserve"> </w:t>
            </w:r>
            <w:r w:rsidR="00E47372">
              <w:rPr>
                <w:rFonts w:ascii="Arial" w:hAnsi="Arial" w:cs="Arial"/>
                <w:sz w:val="20"/>
                <w:szCs w:val="20"/>
              </w:rPr>
              <w:t>were</w:t>
            </w:r>
            <w:r w:rsidRPr="00687CF1">
              <w:rPr>
                <w:rFonts w:ascii="Arial" w:hAnsi="Arial" w:cs="Arial"/>
                <w:sz w:val="20"/>
                <w:szCs w:val="20"/>
              </w:rPr>
              <w:t xml:space="preserve"> logical reasons for drawing district lines in the manner that SB 881 did.</w:t>
            </w:r>
          </w:p>
          <w:p w14:paraId="36D05E5F" w14:textId="58191CEE" w:rsidR="00687CF1" w:rsidRDefault="00687CF1" w:rsidP="00687CF1">
            <w:pPr>
              <w:pStyle w:val="Default"/>
              <w:numPr>
                <w:ilvl w:val="2"/>
                <w:numId w:val="1"/>
              </w:numPr>
              <w:rPr>
                <w:rFonts w:ascii="Arial" w:hAnsi="Arial" w:cs="Arial"/>
                <w:sz w:val="20"/>
                <w:szCs w:val="20"/>
              </w:rPr>
            </w:pPr>
            <w:r w:rsidRPr="00687CF1">
              <w:rPr>
                <w:rFonts w:ascii="Arial" w:hAnsi="Arial" w:cs="Arial"/>
                <w:sz w:val="20"/>
                <w:szCs w:val="20"/>
              </w:rPr>
              <w:lastRenderedPageBreak/>
              <w:t>Evidence that the Legislative Assembly drew district lines to keep specific communities of interest together rebuts claims that the Legislative Assembly had a partisan purpose.</w:t>
            </w:r>
          </w:p>
          <w:p w14:paraId="5677C654" w14:textId="1F6CC01B" w:rsidR="003B49E3" w:rsidRDefault="00A61507" w:rsidP="00A61507">
            <w:pPr>
              <w:pStyle w:val="Default"/>
              <w:numPr>
                <w:ilvl w:val="3"/>
                <w:numId w:val="1"/>
              </w:numPr>
              <w:rPr>
                <w:rFonts w:ascii="Arial" w:hAnsi="Arial" w:cs="Arial"/>
                <w:sz w:val="20"/>
                <w:szCs w:val="20"/>
              </w:rPr>
            </w:pPr>
            <w:r>
              <w:rPr>
                <w:rFonts w:ascii="Arial" w:hAnsi="Arial" w:cs="Arial"/>
                <w:sz w:val="20"/>
                <w:szCs w:val="20"/>
              </w:rPr>
              <w:t>T</w:t>
            </w:r>
            <w:r w:rsidRPr="00A61507">
              <w:rPr>
                <w:rFonts w:ascii="Arial" w:hAnsi="Arial" w:cs="Arial"/>
                <w:sz w:val="20"/>
                <w:szCs w:val="20"/>
              </w:rPr>
              <w:t xml:space="preserve">he Legislative Assembly heard and received a remarkable volume of evidence from Oregon citizens, considered it, and </w:t>
            </w:r>
            <w:proofErr w:type="gramStart"/>
            <w:r w:rsidRPr="00A61507">
              <w:rPr>
                <w:rFonts w:ascii="Arial" w:hAnsi="Arial" w:cs="Arial"/>
                <w:sz w:val="20"/>
                <w:szCs w:val="20"/>
              </w:rPr>
              <w:t>made adjustments to</w:t>
            </w:r>
            <w:proofErr w:type="gramEnd"/>
            <w:r w:rsidRPr="00A61507">
              <w:rPr>
                <w:rFonts w:ascii="Arial" w:hAnsi="Arial" w:cs="Arial"/>
                <w:sz w:val="20"/>
                <w:szCs w:val="20"/>
              </w:rPr>
              <w:t xml:space="preserve"> the draft maps in response to public testimon</w:t>
            </w:r>
            <w:r>
              <w:rPr>
                <w:rFonts w:ascii="Arial" w:hAnsi="Arial" w:cs="Arial"/>
                <w:sz w:val="20"/>
                <w:szCs w:val="20"/>
              </w:rPr>
              <w:t>y.</w:t>
            </w:r>
          </w:p>
          <w:p w14:paraId="2A128069" w14:textId="6340943D" w:rsidR="00A61507" w:rsidRDefault="003117AB" w:rsidP="00A61507">
            <w:pPr>
              <w:pStyle w:val="Default"/>
              <w:numPr>
                <w:ilvl w:val="1"/>
                <w:numId w:val="1"/>
              </w:numPr>
              <w:rPr>
                <w:rFonts w:ascii="Arial" w:hAnsi="Arial" w:cs="Arial"/>
                <w:sz w:val="20"/>
                <w:szCs w:val="20"/>
              </w:rPr>
            </w:pPr>
            <w:r w:rsidRPr="003117AB">
              <w:rPr>
                <w:rFonts w:ascii="Arial" w:hAnsi="Arial" w:cs="Arial"/>
                <w:sz w:val="20"/>
                <w:szCs w:val="20"/>
              </w:rPr>
              <w:t xml:space="preserve">The metrics for the enacted map demonstrate that </w:t>
            </w:r>
            <w:r w:rsidR="0076224C">
              <w:rPr>
                <w:rFonts w:ascii="Arial" w:hAnsi="Arial" w:cs="Arial"/>
                <w:sz w:val="20"/>
                <w:szCs w:val="20"/>
              </w:rPr>
              <w:t>the</w:t>
            </w:r>
            <w:r w:rsidRPr="003117AB">
              <w:rPr>
                <w:rFonts w:ascii="Arial" w:hAnsi="Arial" w:cs="Arial"/>
                <w:sz w:val="20"/>
                <w:szCs w:val="20"/>
              </w:rPr>
              <w:t xml:space="preserve"> map is well within the range of historic maps that have been adopted by prior legislative assemblies or courts.</w:t>
            </w:r>
          </w:p>
          <w:p w14:paraId="036ED035" w14:textId="2300E35C" w:rsidR="003117AB" w:rsidRPr="00D3729D" w:rsidRDefault="003117AB" w:rsidP="003117AB">
            <w:pPr>
              <w:pStyle w:val="Default"/>
              <w:numPr>
                <w:ilvl w:val="2"/>
                <w:numId w:val="1"/>
              </w:numPr>
              <w:rPr>
                <w:rFonts w:ascii="Arial" w:hAnsi="Arial" w:cs="Arial"/>
                <w:sz w:val="20"/>
                <w:szCs w:val="20"/>
              </w:rPr>
            </w:pPr>
            <w:r w:rsidRPr="003117AB">
              <w:rPr>
                <w:rFonts w:ascii="Arial" w:hAnsi="Arial" w:cs="Arial"/>
                <w:sz w:val="20"/>
                <w:szCs w:val="20"/>
              </w:rPr>
              <w:t>That evidence demonstrated that the enacted map was well within the range of plans that legislatures and courts have adopted in Oregon for the past 50 years and that the enacted map is more favorable to Republicans than any map since 1990.</w:t>
            </w:r>
          </w:p>
          <w:p w14:paraId="0D7ABDDC" w14:textId="2384BCC2" w:rsidR="001C1109" w:rsidRPr="001D00F1" w:rsidRDefault="001C1109" w:rsidP="001C1109">
            <w:pPr>
              <w:pStyle w:val="Default"/>
              <w:numPr>
                <w:ilvl w:val="0"/>
                <w:numId w:val="1"/>
              </w:numPr>
              <w:rPr>
                <w:rFonts w:ascii="Arial" w:hAnsi="Arial" w:cs="Arial"/>
                <w:b/>
                <w:bCs/>
                <w:sz w:val="20"/>
                <w:szCs w:val="20"/>
              </w:rPr>
            </w:pPr>
            <w:r>
              <w:rPr>
                <w:rFonts w:ascii="Arial" w:hAnsi="Arial" w:cs="Arial"/>
                <w:b/>
                <w:bCs/>
                <w:sz w:val="20"/>
                <w:szCs w:val="20"/>
              </w:rPr>
              <w:t xml:space="preserve">The plan satisfies the </w:t>
            </w:r>
            <w:r>
              <w:rPr>
                <w:rFonts w:ascii="Arial" w:hAnsi="Arial" w:cs="Arial"/>
                <w:b/>
                <w:bCs/>
                <w:sz w:val="20"/>
                <w:szCs w:val="20"/>
              </w:rPr>
              <w:t>second</w:t>
            </w:r>
            <w:r>
              <w:rPr>
                <w:rFonts w:ascii="Arial" w:hAnsi="Arial" w:cs="Arial"/>
                <w:b/>
                <w:bCs/>
                <w:sz w:val="20"/>
                <w:szCs w:val="20"/>
              </w:rPr>
              <w:t xml:space="preserve"> prong of the </w:t>
            </w:r>
            <w:r w:rsidRPr="001D00F1">
              <w:rPr>
                <w:rFonts w:ascii="Arial" w:hAnsi="Arial" w:cs="Arial"/>
                <w:b/>
                <w:bCs/>
                <w:i/>
                <w:iCs/>
                <w:sz w:val="20"/>
                <w:szCs w:val="20"/>
              </w:rPr>
              <w:t xml:space="preserve">Hartung </w:t>
            </w:r>
            <w:r>
              <w:rPr>
                <w:rFonts w:ascii="Arial" w:hAnsi="Arial" w:cs="Arial"/>
                <w:b/>
                <w:bCs/>
                <w:sz w:val="20"/>
                <w:szCs w:val="20"/>
              </w:rPr>
              <w:t>test</w:t>
            </w:r>
          </w:p>
          <w:p w14:paraId="2F930AD1" w14:textId="77777777" w:rsidR="00253DEE" w:rsidRDefault="00253DEE" w:rsidP="00D3729D">
            <w:pPr>
              <w:pStyle w:val="Default"/>
              <w:numPr>
                <w:ilvl w:val="1"/>
                <w:numId w:val="1"/>
              </w:numPr>
              <w:rPr>
                <w:rFonts w:ascii="Arial" w:hAnsi="Arial" w:cs="Arial"/>
                <w:sz w:val="20"/>
                <w:szCs w:val="20"/>
              </w:rPr>
            </w:pPr>
            <w:r w:rsidRPr="00253DEE">
              <w:rPr>
                <w:rFonts w:ascii="Arial" w:hAnsi="Arial" w:cs="Arial"/>
                <w:sz w:val="20"/>
                <w:szCs w:val="20"/>
              </w:rPr>
              <w:t xml:space="preserve">Petitioners hinge much of their case on what they view as compelling evidence of the Legislative Assembly’s unlawful partisan </w:t>
            </w:r>
            <w:r w:rsidRPr="00253DEE">
              <w:rPr>
                <w:rFonts w:ascii="Arial" w:hAnsi="Arial" w:cs="Arial"/>
                <w:sz w:val="20"/>
                <w:szCs w:val="20"/>
              </w:rPr>
              <w:t>purpose,</w:t>
            </w:r>
            <w:r w:rsidRPr="00253DEE">
              <w:rPr>
                <w:rFonts w:ascii="Arial" w:hAnsi="Arial" w:cs="Arial"/>
                <w:sz w:val="20"/>
                <w:szCs w:val="20"/>
              </w:rPr>
              <w:t xml:space="preserve"> but their arguments suffer from numerous legal and factual deficiencies. </w:t>
            </w:r>
          </w:p>
          <w:p w14:paraId="66477710" w14:textId="77777777" w:rsidR="00253DEE" w:rsidRDefault="00253DEE" w:rsidP="00253DEE">
            <w:pPr>
              <w:pStyle w:val="Default"/>
              <w:numPr>
                <w:ilvl w:val="2"/>
                <w:numId w:val="1"/>
              </w:numPr>
              <w:rPr>
                <w:rFonts w:ascii="Arial" w:hAnsi="Arial" w:cs="Arial"/>
                <w:sz w:val="20"/>
                <w:szCs w:val="20"/>
              </w:rPr>
            </w:pPr>
            <w:r w:rsidRPr="00253DEE">
              <w:rPr>
                <w:rFonts w:ascii="Arial" w:hAnsi="Arial" w:cs="Arial"/>
                <w:sz w:val="20"/>
                <w:szCs w:val="20"/>
              </w:rPr>
              <w:t xml:space="preserve">The legal standard they propose ignores Oregon precedent and misapplies the caselaw on which they do rely and the evidence they point to is exaggerated, mischaracterized, or both. </w:t>
            </w:r>
          </w:p>
          <w:p w14:paraId="192CCB80" w14:textId="5EAF9EEA" w:rsidR="00D3729D" w:rsidRDefault="00253DEE" w:rsidP="00253DEE">
            <w:pPr>
              <w:pStyle w:val="Default"/>
              <w:numPr>
                <w:ilvl w:val="2"/>
                <w:numId w:val="1"/>
              </w:numPr>
              <w:rPr>
                <w:rFonts w:ascii="Arial" w:hAnsi="Arial" w:cs="Arial"/>
                <w:sz w:val="20"/>
                <w:szCs w:val="20"/>
              </w:rPr>
            </w:pPr>
            <w:r w:rsidRPr="00253DEE">
              <w:rPr>
                <w:rFonts w:ascii="Arial" w:hAnsi="Arial" w:cs="Arial"/>
                <w:sz w:val="20"/>
                <w:szCs w:val="20"/>
              </w:rPr>
              <w:t>Ultimately, the extensive record in this case establishes that, far from being motivated by partisan purpose, the Legislative Assembly drew the enacted map based on public input and neutral criteria—resulting in a fair map that was not drawn for a partisan purpose.</w:t>
            </w:r>
          </w:p>
          <w:p w14:paraId="12706BC0" w14:textId="0B66BFE0" w:rsidR="00253DEE" w:rsidRDefault="00611356" w:rsidP="00D23CD8">
            <w:pPr>
              <w:pStyle w:val="Default"/>
              <w:numPr>
                <w:ilvl w:val="2"/>
                <w:numId w:val="1"/>
              </w:numPr>
              <w:rPr>
                <w:rFonts w:ascii="Arial" w:hAnsi="Arial" w:cs="Arial"/>
                <w:sz w:val="20"/>
                <w:szCs w:val="20"/>
              </w:rPr>
            </w:pPr>
            <w:r w:rsidRPr="00611356">
              <w:rPr>
                <w:rFonts w:ascii="Arial" w:hAnsi="Arial" w:cs="Arial"/>
                <w:sz w:val="20"/>
                <w:szCs w:val="20"/>
              </w:rPr>
              <w:t>The Legislative Assembly had sound reasons for the various line-drawing choices they made, including and especially the decisions to divide the Portland area among four districts and place Bend in the Fifth Congressional District.</w:t>
            </w:r>
          </w:p>
          <w:p w14:paraId="7FDBB423" w14:textId="1381F3C8" w:rsidR="000F665F" w:rsidRPr="00EA23D4" w:rsidRDefault="00810424" w:rsidP="00EA23D4">
            <w:pPr>
              <w:pStyle w:val="Default"/>
              <w:numPr>
                <w:ilvl w:val="1"/>
                <w:numId w:val="1"/>
              </w:numPr>
              <w:rPr>
                <w:rFonts w:ascii="Arial" w:hAnsi="Arial" w:cs="Arial"/>
                <w:sz w:val="20"/>
                <w:szCs w:val="20"/>
              </w:rPr>
            </w:pPr>
            <w:r>
              <w:rPr>
                <w:rFonts w:ascii="Arial" w:hAnsi="Arial" w:cs="Arial"/>
                <w:sz w:val="20"/>
                <w:szCs w:val="20"/>
              </w:rPr>
              <w:t xml:space="preserve">The </w:t>
            </w:r>
            <w:r w:rsidR="000F665F" w:rsidRPr="00EA23D4">
              <w:rPr>
                <w:rFonts w:ascii="Arial" w:hAnsi="Arial" w:cs="Arial"/>
                <w:sz w:val="20"/>
                <w:szCs w:val="20"/>
              </w:rPr>
              <w:t xml:space="preserve">Court </w:t>
            </w:r>
            <w:r w:rsidR="000F665F" w:rsidRPr="00EA23D4">
              <w:rPr>
                <w:rFonts w:ascii="Arial" w:hAnsi="Arial" w:cs="Arial"/>
                <w:sz w:val="20"/>
                <w:szCs w:val="20"/>
              </w:rPr>
              <w:t>reject</w:t>
            </w:r>
            <w:r w:rsidR="00061434" w:rsidRPr="00EA23D4">
              <w:rPr>
                <w:rFonts w:ascii="Arial" w:hAnsi="Arial" w:cs="Arial"/>
                <w:sz w:val="20"/>
                <w:szCs w:val="20"/>
              </w:rPr>
              <w:t>ed</w:t>
            </w:r>
            <w:r w:rsidR="000F665F" w:rsidRPr="00EA23D4">
              <w:rPr>
                <w:rFonts w:ascii="Arial" w:hAnsi="Arial" w:cs="Arial"/>
                <w:sz w:val="20"/>
                <w:szCs w:val="20"/>
              </w:rPr>
              <w:t xml:space="preserve"> Petitioners’ request that </w:t>
            </w:r>
            <w:r w:rsidR="00F667B6" w:rsidRPr="00EA23D4">
              <w:rPr>
                <w:rFonts w:ascii="Arial" w:hAnsi="Arial" w:cs="Arial"/>
                <w:sz w:val="20"/>
                <w:szCs w:val="20"/>
              </w:rPr>
              <w:t>it</w:t>
            </w:r>
            <w:r w:rsidR="000F665F" w:rsidRPr="00EA23D4">
              <w:rPr>
                <w:rFonts w:ascii="Arial" w:hAnsi="Arial" w:cs="Arial"/>
                <w:sz w:val="20"/>
                <w:szCs w:val="20"/>
              </w:rPr>
              <w:t xml:space="preserve"> adopt a per se rule that a party-line vote is enough to establish a violation of Oregon law</w:t>
            </w:r>
          </w:p>
          <w:p w14:paraId="2F67B208" w14:textId="5220AFA3" w:rsidR="000F665F" w:rsidRPr="00EA23D4" w:rsidRDefault="007313A5" w:rsidP="00EA23D4">
            <w:pPr>
              <w:pStyle w:val="Default"/>
              <w:numPr>
                <w:ilvl w:val="2"/>
                <w:numId w:val="1"/>
              </w:numPr>
              <w:rPr>
                <w:rFonts w:ascii="Arial" w:hAnsi="Arial" w:cs="Arial"/>
                <w:sz w:val="20"/>
                <w:szCs w:val="20"/>
              </w:rPr>
            </w:pPr>
            <w:r w:rsidRPr="00EA23D4">
              <w:rPr>
                <w:rFonts w:ascii="Arial" w:hAnsi="Arial" w:cs="Arial"/>
                <w:sz w:val="20"/>
                <w:szCs w:val="20"/>
              </w:rPr>
              <w:t>We respect the legislative process in Oregon and decline to adopt the cynical view that all politics are dirty politics.</w:t>
            </w:r>
          </w:p>
          <w:p w14:paraId="4C96E24F" w14:textId="77777777" w:rsidR="00C72AC5" w:rsidRPr="00EA23D4" w:rsidRDefault="00C72AC5" w:rsidP="00EA23D4">
            <w:pPr>
              <w:pStyle w:val="Default"/>
              <w:numPr>
                <w:ilvl w:val="2"/>
                <w:numId w:val="1"/>
              </w:numPr>
              <w:rPr>
                <w:rFonts w:ascii="Arial" w:hAnsi="Arial" w:cs="Arial"/>
                <w:sz w:val="20"/>
                <w:szCs w:val="20"/>
              </w:rPr>
            </w:pPr>
            <w:r w:rsidRPr="00EA23D4">
              <w:rPr>
                <w:rFonts w:ascii="Arial" w:hAnsi="Arial" w:cs="Arial"/>
                <w:sz w:val="20"/>
                <w:szCs w:val="20"/>
              </w:rPr>
              <w:t xml:space="preserve">Such a standard would vest in the minority party absolute control of whether a plan will be presumed to unlawfully favor a political party. </w:t>
            </w:r>
          </w:p>
          <w:p w14:paraId="44E96684" w14:textId="77777777" w:rsidR="00C72AC5" w:rsidRPr="00EA23D4" w:rsidRDefault="00C72AC5" w:rsidP="00EA23D4">
            <w:pPr>
              <w:pStyle w:val="Default"/>
              <w:numPr>
                <w:ilvl w:val="3"/>
                <w:numId w:val="1"/>
              </w:numPr>
              <w:rPr>
                <w:rFonts w:ascii="Arial" w:hAnsi="Arial" w:cs="Arial"/>
                <w:sz w:val="20"/>
                <w:szCs w:val="20"/>
              </w:rPr>
            </w:pPr>
            <w:r w:rsidRPr="00EA23D4">
              <w:rPr>
                <w:rFonts w:ascii="Arial" w:hAnsi="Arial" w:cs="Arial"/>
                <w:sz w:val="20"/>
                <w:szCs w:val="20"/>
              </w:rPr>
              <w:t xml:space="preserve">A minority party could simply vote against any plan along party lines, regardless of the merits of the plan, and thereby create a presumption of improper purpose. </w:t>
            </w:r>
          </w:p>
          <w:p w14:paraId="4AFED329" w14:textId="490EBC28" w:rsidR="007313A5" w:rsidRPr="00EA23D4" w:rsidRDefault="00C72AC5" w:rsidP="00EA23D4">
            <w:pPr>
              <w:pStyle w:val="Default"/>
              <w:numPr>
                <w:ilvl w:val="3"/>
                <w:numId w:val="1"/>
              </w:numPr>
              <w:rPr>
                <w:rFonts w:ascii="Arial" w:hAnsi="Arial" w:cs="Arial"/>
                <w:sz w:val="20"/>
                <w:szCs w:val="20"/>
              </w:rPr>
            </w:pPr>
            <w:r w:rsidRPr="00EA23D4">
              <w:rPr>
                <w:rFonts w:ascii="Arial" w:hAnsi="Arial" w:cs="Arial"/>
                <w:sz w:val="20"/>
                <w:szCs w:val="20"/>
              </w:rPr>
              <w:t>Thus, we conclude that the details of the vote do not tell us anything about the quality of the plan.</w:t>
            </w:r>
          </w:p>
          <w:p w14:paraId="55551B14" w14:textId="3A48686A" w:rsidR="00C72AC5" w:rsidRPr="00EA23D4" w:rsidRDefault="00CC190D" w:rsidP="00EA23D4">
            <w:pPr>
              <w:pStyle w:val="Default"/>
              <w:numPr>
                <w:ilvl w:val="1"/>
                <w:numId w:val="1"/>
              </w:numPr>
              <w:rPr>
                <w:rFonts w:ascii="Arial" w:hAnsi="Arial" w:cs="Arial"/>
                <w:sz w:val="20"/>
                <w:szCs w:val="20"/>
              </w:rPr>
            </w:pPr>
            <w:r w:rsidRPr="00EA23D4">
              <w:rPr>
                <w:rFonts w:ascii="Arial" w:hAnsi="Arial" w:cs="Arial"/>
                <w:sz w:val="20"/>
                <w:szCs w:val="20"/>
              </w:rPr>
              <w:t>The contours of the new congressional districts reflect, to the extent possible, the historic boundaries of past districts.</w:t>
            </w:r>
          </w:p>
          <w:p w14:paraId="06DA6F09" w14:textId="3820BB56" w:rsidR="00CC190D" w:rsidRPr="00EA23D4" w:rsidRDefault="0056751D" w:rsidP="00EA23D4">
            <w:pPr>
              <w:pStyle w:val="Default"/>
              <w:numPr>
                <w:ilvl w:val="2"/>
                <w:numId w:val="1"/>
              </w:numPr>
              <w:rPr>
                <w:rFonts w:ascii="Arial" w:hAnsi="Arial" w:cs="Arial"/>
                <w:sz w:val="20"/>
                <w:szCs w:val="20"/>
              </w:rPr>
            </w:pPr>
            <w:r w:rsidRPr="00EA23D4">
              <w:rPr>
                <w:rFonts w:ascii="Arial" w:hAnsi="Arial" w:cs="Arial"/>
                <w:sz w:val="20"/>
                <w:szCs w:val="20"/>
              </w:rPr>
              <w:t>The division of the Portland area among four congressional districts is a key theme of Petitioners’ case</w:t>
            </w:r>
            <w:proofErr w:type="gramStart"/>
            <w:r w:rsidRPr="00EA23D4">
              <w:rPr>
                <w:rFonts w:ascii="Arial" w:hAnsi="Arial" w:cs="Arial"/>
                <w:sz w:val="20"/>
                <w:szCs w:val="20"/>
              </w:rPr>
              <w:t>. . . .</w:t>
            </w:r>
            <w:proofErr w:type="gramEnd"/>
            <w:r w:rsidRPr="00EA23D4">
              <w:rPr>
                <w:rFonts w:ascii="Arial" w:hAnsi="Arial" w:cs="Arial"/>
                <w:sz w:val="20"/>
                <w:szCs w:val="20"/>
              </w:rPr>
              <w:t xml:space="preserve"> [b]</w:t>
            </w:r>
            <w:proofErr w:type="spellStart"/>
            <w:r w:rsidRPr="00EA23D4">
              <w:rPr>
                <w:rFonts w:ascii="Arial" w:hAnsi="Arial" w:cs="Arial"/>
                <w:sz w:val="20"/>
                <w:szCs w:val="20"/>
              </w:rPr>
              <w:t>ut</w:t>
            </w:r>
            <w:proofErr w:type="spellEnd"/>
            <w:r w:rsidRPr="00EA23D4">
              <w:rPr>
                <w:rFonts w:ascii="Arial" w:hAnsi="Arial" w:cs="Arial"/>
                <w:sz w:val="20"/>
                <w:szCs w:val="20"/>
              </w:rPr>
              <w:t xml:space="preserve"> even setting aside the neutral justifications for dividing the Portland area among multiple districts, Petitioners ignore that this mapmaking decision has long been a feature of Oregon’s congressional maps.</w:t>
            </w:r>
          </w:p>
          <w:p w14:paraId="5ABFB61F" w14:textId="7BC6044A" w:rsidR="00353C1F" w:rsidRPr="00EA23D4" w:rsidRDefault="00353C1F" w:rsidP="00EA23D4">
            <w:pPr>
              <w:pStyle w:val="Default"/>
              <w:numPr>
                <w:ilvl w:val="3"/>
                <w:numId w:val="1"/>
              </w:numPr>
              <w:rPr>
                <w:rFonts w:ascii="Arial" w:hAnsi="Arial" w:cs="Arial"/>
                <w:sz w:val="20"/>
                <w:szCs w:val="20"/>
              </w:rPr>
            </w:pPr>
            <w:r w:rsidRPr="00EA23D4">
              <w:rPr>
                <w:rFonts w:ascii="Arial" w:hAnsi="Arial" w:cs="Arial"/>
                <w:sz w:val="20"/>
                <w:szCs w:val="20"/>
              </w:rPr>
              <w:t xml:space="preserve">Far from reflecting a partisan purpose, the enacted map’s treatment of the Portland area—and the state </w:t>
            </w:r>
            <w:r w:rsidRPr="00EA23D4">
              <w:rPr>
                <w:rFonts w:ascii="Arial" w:hAnsi="Arial" w:cs="Arial"/>
                <w:sz w:val="20"/>
                <w:szCs w:val="20"/>
              </w:rPr>
              <w:lastRenderedPageBreak/>
              <w:t>as a whole—is consistent with prior maps adopted with both judicial imprimatur and bipartisan support.</w:t>
            </w:r>
          </w:p>
          <w:p w14:paraId="769F8430" w14:textId="10A23954" w:rsidR="00952C98" w:rsidRPr="00EA23D4" w:rsidRDefault="00952C98" w:rsidP="00EA23D4">
            <w:pPr>
              <w:pStyle w:val="Default"/>
              <w:numPr>
                <w:ilvl w:val="1"/>
                <w:numId w:val="1"/>
              </w:numPr>
              <w:rPr>
                <w:rFonts w:ascii="Arial" w:hAnsi="Arial" w:cs="Arial"/>
                <w:sz w:val="20"/>
                <w:szCs w:val="20"/>
              </w:rPr>
            </w:pPr>
            <w:r w:rsidRPr="00EA23D4">
              <w:rPr>
                <w:rFonts w:ascii="Arial" w:hAnsi="Arial" w:cs="Arial"/>
                <w:sz w:val="20"/>
                <w:szCs w:val="20"/>
              </w:rPr>
              <w:t>Petitioners have not proven that the enacted plan will have an impermissible partisan effect.</w:t>
            </w:r>
          </w:p>
          <w:p w14:paraId="3A7E0489" w14:textId="40C3E029" w:rsidR="00952C98" w:rsidRPr="00EA23D4" w:rsidRDefault="00DE63D1" w:rsidP="00EA23D4">
            <w:pPr>
              <w:pStyle w:val="Default"/>
              <w:numPr>
                <w:ilvl w:val="2"/>
                <w:numId w:val="1"/>
              </w:numPr>
              <w:rPr>
                <w:rFonts w:ascii="Arial" w:hAnsi="Arial" w:cs="Arial"/>
                <w:sz w:val="20"/>
                <w:szCs w:val="20"/>
              </w:rPr>
            </w:pPr>
            <w:r w:rsidRPr="00EA23D4">
              <w:rPr>
                <w:rFonts w:ascii="Arial" w:hAnsi="Arial" w:cs="Arial"/>
                <w:sz w:val="20"/>
                <w:szCs w:val="20"/>
              </w:rPr>
              <w:t>The enacted map’s consistency with previous maps demonstrates the plan’s lack of impermissible partisan effect.</w:t>
            </w:r>
          </w:p>
          <w:p w14:paraId="357B54EB" w14:textId="1E8592C2" w:rsidR="00A43714" w:rsidRPr="00EA23D4" w:rsidRDefault="00A43714" w:rsidP="00EA23D4">
            <w:pPr>
              <w:pStyle w:val="Default"/>
              <w:numPr>
                <w:ilvl w:val="2"/>
                <w:numId w:val="1"/>
              </w:numPr>
              <w:rPr>
                <w:rFonts w:ascii="Arial" w:hAnsi="Arial" w:cs="Arial"/>
                <w:sz w:val="20"/>
                <w:szCs w:val="20"/>
              </w:rPr>
            </w:pPr>
            <w:r w:rsidRPr="00EA23D4">
              <w:rPr>
                <w:rFonts w:ascii="Arial" w:hAnsi="Arial" w:cs="Arial"/>
                <w:sz w:val="20"/>
                <w:szCs w:val="20"/>
              </w:rPr>
              <w:t>T</w:t>
            </w:r>
            <w:r w:rsidRPr="00EA23D4">
              <w:rPr>
                <w:rFonts w:ascii="Arial" w:hAnsi="Arial" w:cs="Arial"/>
                <w:sz w:val="20"/>
                <w:szCs w:val="20"/>
              </w:rPr>
              <w:t xml:space="preserve">estimony of Dr. Paul </w:t>
            </w:r>
            <w:proofErr w:type="spellStart"/>
            <w:r w:rsidRPr="00EA23D4">
              <w:rPr>
                <w:rFonts w:ascii="Arial" w:hAnsi="Arial" w:cs="Arial"/>
                <w:sz w:val="20"/>
                <w:szCs w:val="20"/>
              </w:rPr>
              <w:t>Gronke</w:t>
            </w:r>
            <w:proofErr w:type="spellEnd"/>
            <w:r w:rsidRPr="00EA23D4">
              <w:rPr>
                <w:rFonts w:ascii="Arial" w:hAnsi="Arial" w:cs="Arial"/>
                <w:sz w:val="20"/>
                <w:szCs w:val="20"/>
              </w:rPr>
              <w:t xml:space="preserve"> demonstrates, the enacted</w:t>
            </w:r>
            <w:r w:rsidRPr="00EA23D4">
              <w:rPr>
                <w:rFonts w:ascii="Arial" w:hAnsi="Arial" w:cs="Arial"/>
                <w:sz w:val="20"/>
                <w:szCs w:val="20"/>
              </w:rPr>
              <w:t xml:space="preserve"> </w:t>
            </w:r>
            <w:r w:rsidRPr="00EA23D4">
              <w:rPr>
                <w:rFonts w:ascii="Arial" w:hAnsi="Arial" w:cs="Arial"/>
                <w:sz w:val="20"/>
                <w:szCs w:val="20"/>
              </w:rPr>
              <w:t>map’s efficiency gap—Petitioners’ preferred metric for measuring partisan bias</w:t>
            </w:r>
            <w:proofErr w:type="gramStart"/>
            <w:r w:rsidRPr="00EA23D4">
              <w:rPr>
                <w:rFonts w:ascii="Arial" w:hAnsi="Arial" w:cs="Arial"/>
                <w:sz w:val="20"/>
                <w:szCs w:val="20"/>
              </w:rPr>
              <w:t>—“</w:t>
            </w:r>
            <w:proofErr w:type="gramEnd"/>
            <w:r w:rsidRPr="00EA23D4">
              <w:rPr>
                <w:rFonts w:ascii="Arial" w:hAnsi="Arial" w:cs="Arial"/>
                <w:sz w:val="20"/>
                <w:szCs w:val="20"/>
              </w:rPr>
              <w:t>falls well within the range of plans that have been used in the state for the past fifty years.”</w:t>
            </w:r>
          </w:p>
          <w:p w14:paraId="055BD846" w14:textId="06DF9480" w:rsidR="006125DF" w:rsidRPr="00EA23D4" w:rsidRDefault="00890968" w:rsidP="00EA23D4">
            <w:pPr>
              <w:pStyle w:val="Default"/>
              <w:numPr>
                <w:ilvl w:val="2"/>
                <w:numId w:val="1"/>
              </w:numPr>
              <w:rPr>
                <w:rFonts w:ascii="Arial" w:hAnsi="Arial" w:cs="Arial"/>
                <w:sz w:val="20"/>
                <w:szCs w:val="20"/>
              </w:rPr>
            </w:pPr>
            <w:r w:rsidRPr="00EA23D4">
              <w:rPr>
                <w:rFonts w:ascii="Arial" w:hAnsi="Arial" w:cs="Arial"/>
                <w:sz w:val="20"/>
                <w:szCs w:val="20"/>
              </w:rPr>
              <w:t xml:space="preserve">Dr. </w:t>
            </w:r>
            <w:proofErr w:type="spellStart"/>
            <w:r w:rsidRPr="00EA23D4">
              <w:rPr>
                <w:rFonts w:ascii="Arial" w:hAnsi="Arial" w:cs="Arial"/>
                <w:sz w:val="20"/>
                <w:szCs w:val="20"/>
              </w:rPr>
              <w:t>Gronke’s</w:t>
            </w:r>
            <w:proofErr w:type="spellEnd"/>
            <w:r w:rsidRPr="00EA23D4">
              <w:rPr>
                <w:rFonts w:ascii="Arial" w:hAnsi="Arial" w:cs="Arial"/>
                <w:sz w:val="20"/>
                <w:szCs w:val="20"/>
              </w:rPr>
              <w:t xml:space="preserve"> </w:t>
            </w:r>
            <w:r w:rsidRPr="00EA23D4">
              <w:rPr>
                <w:rFonts w:ascii="Arial" w:hAnsi="Arial" w:cs="Arial"/>
                <w:sz w:val="20"/>
                <w:szCs w:val="20"/>
              </w:rPr>
              <w:t>conclusions strongly suggest that any measurable bias is not the result of partisan machinations, since this same bias can be measured in maps enacted by the judiciary and bipartisan majorities of the Legislative Assembly—which are unlikely to enact congressional plans for political advantage.</w:t>
            </w:r>
          </w:p>
          <w:p w14:paraId="7E55F90B" w14:textId="77777777" w:rsidR="002948B2" w:rsidRPr="00EA23D4" w:rsidRDefault="002948B2" w:rsidP="00EA23D4">
            <w:pPr>
              <w:pStyle w:val="Default"/>
              <w:numPr>
                <w:ilvl w:val="2"/>
                <w:numId w:val="1"/>
              </w:numPr>
              <w:rPr>
                <w:rFonts w:ascii="Arial" w:hAnsi="Arial" w:cs="Arial"/>
                <w:sz w:val="20"/>
                <w:szCs w:val="20"/>
              </w:rPr>
            </w:pPr>
            <w:r w:rsidRPr="00EA23D4">
              <w:rPr>
                <w:rFonts w:ascii="Arial" w:hAnsi="Arial" w:cs="Arial"/>
                <w:sz w:val="20"/>
                <w:szCs w:val="20"/>
              </w:rPr>
              <w:t xml:space="preserve">There is no evidence that rural interests were disrespected. </w:t>
            </w:r>
          </w:p>
          <w:p w14:paraId="4A50A959" w14:textId="6D0D1ED2" w:rsidR="002948B2" w:rsidRPr="00EA23D4" w:rsidRDefault="002948B2" w:rsidP="00EA23D4">
            <w:pPr>
              <w:pStyle w:val="Default"/>
              <w:numPr>
                <w:ilvl w:val="3"/>
                <w:numId w:val="1"/>
              </w:numPr>
              <w:rPr>
                <w:rFonts w:ascii="Arial" w:hAnsi="Arial" w:cs="Arial"/>
                <w:sz w:val="20"/>
                <w:szCs w:val="20"/>
              </w:rPr>
            </w:pPr>
            <w:r w:rsidRPr="00EA23D4">
              <w:rPr>
                <w:rFonts w:ascii="Arial" w:hAnsi="Arial" w:cs="Arial"/>
                <w:sz w:val="20"/>
                <w:szCs w:val="20"/>
              </w:rPr>
              <w:t>To the contrary, SB 881 amplifies rural voices by including substantial rural and agricultural communities in all six of Oregon’s congressional districts, thus ensuring that each of Oregon’s members of Congress represents rural interests and concerns</w:t>
            </w:r>
            <w:r w:rsidRPr="00EA23D4">
              <w:rPr>
                <w:rFonts w:ascii="Arial" w:hAnsi="Arial" w:cs="Arial"/>
                <w:sz w:val="20"/>
                <w:szCs w:val="20"/>
              </w:rPr>
              <w:t>.</w:t>
            </w:r>
          </w:p>
          <w:p w14:paraId="2B6441CC" w14:textId="45D3D1FC" w:rsidR="00226866" w:rsidRPr="00EA23D4" w:rsidRDefault="009706BE" w:rsidP="00EA23D4">
            <w:pPr>
              <w:pStyle w:val="Default"/>
              <w:numPr>
                <w:ilvl w:val="2"/>
                <w:numId w:val="1"/>
              </w:numPr>
              <w:rPr>
                <w:rFonts w:ascii="Arial" w:hAnsi="Arial" w:cs="Arial"/>
                <w:sz w:val="20"/>
                <w:szCs w:val="20"/>
              </w:rPr>
            </w:pPr>
            <w:r w:rsidRPr="00EA23D4">
              <w:rPr>
                <w:rFonts w:ascii="Arial" w:hAnsi="Arial" w:cs="Arial"/>
                <w:sz w:val="20"/>
                <w:szCs w:val="20"/>
              </w:rPr>
              <w:t xml:space="preserve">Although </w:t>
            </w:r>
            <w:r w:rsidRPr="00EA23D4">
              <w:rPr>
                <w:rFonts w:ascii="Arial" w:hAnsi="Arial" w:cs="Arial"/>
                <w:sz w:val="20"/>
                <w:szCs w:val="20"/>
              </w:rPr>
              <w:t>Petitioners urge the SJP to adopt a per se test that any plan with at least a 7% efficiency gap score has an impermissible level of partisan effect</w:t>
            </w:r>
            <w:r w:rsidRPr="00EA23D4">
              <w:rPr>
                <w:rFonts w:ascii="Arial" w:hAnsi="Arial" w:cs="Arial"/>
                <w:sz w:val="20"/>
                <w:szCs w:val="20"/>
              </w:rPr>
              <w:t xml:space="preserve">, </w:t>
            </w:r>
            <w:r w:rsidRPr="00EA23D4">
              <w:rPr>
                <w:rFonts w:ascii="Arial" w:hAnsi="Arial" w:cs="Arial"/>
                <w:sz w:val="20"/>
                <w:szCs w:val="20"/>
              </w:rPr>
              <w:t>this per se test has several shortcomings</w:t>
            </w:r>
            <w:r w:rsidR="00DE7832" w:rsidRPr="00EA23D4">
              <w:rPr>
                <w:rFonts w:ascii="Arial" w:hAnsi="Arial" w:cs="Arial"/>
                <w:sz w:val="20"/>
                <w:szCs w:val="20"/>
              </w:rPr>
              <w:t>.</w:t>
            </w:r>
          </w:p>
          <w:p w14:paraId="57C7541A" w14:textId="2B5A5CF2" w:rsidR="009706BE" w:rsidRPr="00EA23D4" w:rsidRDefault="00BA55AF" w:rsidP="00EA23D4">
            <w:pPr>
              <w:pStyle w:val="Default"/>
              <w:numPr>
                <w:ilvl w:val="3"/>
                <w:numId w:val="1"/>
              </w:numPr>
              <w:rPr>
                <w:rFonts w:ascii="Arial" w:hAnsi="Arial" w:cs="Arial"/>
                <w:sz w:val="20"/>
                <w:szCs w:val="20"/>
              </w:rPr>
            </w:pPr>
            <w:r w:rsidRPr="00EA23D4">
              <w:rPr>
                <w:rFonts w:ascii="Arial" w:hAnsi="Arial" w:cs="Arial"/>
                <w:sz w:val="20"/>
                <w:szCs w:val="20"/>
              </w:rPr>
              <w:t>Although Petitioners claim that the test is easy to calculate and administer, the record in this case belies that claim.</w:t>
            </w:r>
          </w:p>
          <w:p w14:paraId="44AC8C27" w14:textId="2A16D5D5" w:rsidR="009B5E30" w:rsidRPr="00EA23D4" w:rsidRDefault="009B5E30" w:rsidP="00EA23D4">
            <w:pPr>
              <w:pStyle w:val="Default"/>
              <w:numPr>
                <w:ilvl w:val="4"/>
                <w:numId w:val="1"/>
              </w:numPr>
              <w:rPr>
                <w:rFonts w:ascii="Arial" w:hAnsi="Arial" w:cs="Arial"/>
                <w:sz w:val="20"/>
                <w:szCs w:val="20"/>
              </w:rPr>
            </w:pPr>
            <w:r w:rsidRPr="00EA23D4">
              <w:rPr>
                <w:rFonts w:ascii="Arial" w:hAnsi="Arial" w:cs="Arial"/>
                <w:sz w:val="20"/>
                <w:szCs w:val="20"/>
              </w:rPr>
              <w:t>E</w:t>
            </w:r>
            <w:r w:rsidRPr="00EA23D4">
              <w:rPr>
                <w:rFonts w:ascii="Arial" w:hAnsi="Arial" w:cs="Arial"/>
                <w:sz w:val="20"/>
                <w:szCs w:val="20"/>
              </w:rPr>
              <w:t>xperts in the case assessed the efficiency gap score of the map and came to varying conclusions.</w:t>
            </w:r>
          </w:p>
          <w:p w14:paraId="2A4F6FCB" w14:textId="7993690C" w:rsidR="009B5E30" w:rsidRPr="00EA23D4" w:rsidRDefault="00CB18C3" w:rsidP="00EA23D4">
            <w:pPr>
              <w:pStyle w:val="Default"/>
              <w:numPr>
                <w:ilvl w:val="4"/>
                <w:numId w:val="1"/>
              </w:numPr>
              <w:rPr>
                <w:rFonts w:ascii="Arial" w:hAnsi="Arial" w:cs="Arial"/>
                <w:sz w:val="20"/>
                <w:szCs w:val="20"/>
              </w:rPr>
            </w:pPr>
            <w:r w:rsidRPr="00EA23D4">
              <w:rPr>
                <w:rFonts w:ascii="Arial" w:hAnsi="Arial" w:cs="Arial"/>
                <w:sz w:val="20"/>
                <w:szCs w:val="20"/>
              </w:rPr>
              <w:t xml:space="preserve">Even if we were tempted to adopt the efficiency gap analysis as the basis for determining whether a map has an impermissible partisan effect, we cannot conclude from the record what the appropriate inputs ought to be. </w:t>
            </w:r>
          </w:p>
          <w:p w14:paraId="2731E3DA" w14:textId="708C71B5" w:rsidR="00DE56BE" w:rsidRDefault="00DE56BE" w:rsidP="00EA23D4">
            <w:pPr>
              <w:pStyle w:val="Default"/>
              <w:numPr>
                <w:ilvl w:val="4"/>
                <w:numId w:val="1"/>
              </w:numPr>
              <w:rPr>
                <w:rFonts w:ascii="Arial" w:hAnsi="Arial" w:cs="Arial"/>
                <w:sz w:val="20"/>
                <w:szCs w:val="20"/>
              </w:rPr>
            </w:pPr>
            <w:r w:rsidRPr="00EA23D4">
              <w:rPr>
                <w:rFonts w:ascii="Arial" w:hAnsi="Arial" w:cs="Arial"/>
                <w:sz w:val="20"/>
                <w:szCs w:val="20"/>
              </w:rPr>
              <w:t>T</w:t>
            </w:r>
            <w:r w:rsidRPr="00EA23D4">
              <w:rPr>
                <w:rFonts w:ascii="Arial" w:hAnsi="Arial" w:cs="Arial"/>
                <w:sz w:val="20"/>
                <w:szCs w:val="20"/>
              </w:rPr>
              <w:t>he metric is easily manipulated, dependent on the types of past election results that measure vote distribution which go into the calculation of votes that do not contribute to an election win between the two parties.</w:t>
            </w:r>
          </w:p>
          <w:p w14:paraId="5782D514" w14:textId="5BC6BAF3" w:rsidR="00B82355" w:rsidRPr="00163DA4" w:rsidRDefault="002968DF" w:rsidP="00B82355">
            <w:pPr>
              <w:pStyle w:val="Default"/>
              <w:numPr>
                <w:ilvl w:val="0"/>
                <w:numId w:val="1"/>
              </w:numPr>
              <w:rPr>
                <w:rFonts w:ascii="Arial" w:hAnsi="Arial" w:cs="Arial"/>
                <w:b/>
                <w:bCs/>
                <w:sz w:val="20"/>
                <w:szCs w:val="20"/>
              </w:rPr>
            </w:pPr>
            <w:r w:rsidRPr="002968DF">
              <w:rPr>
                <w:rFonts w:ascii="Arial" w:hAnsi="Arial" w:cs="Arial"/>
                <w:b/>
                <w:bCs/>
                <w:sz w:val="20"/>
                <w:szCs w:val="20"/>
              </w:rPr>
              <w:t>Having reached the conclusion that Petitioners have failed to meet their burden of proof as to partisan purpose or effect, the SJP dismisses both of Petitioners’ constitutional claims without further discussion.</w:t>
            </w:r>
          </w:p>
        </w:tc>
      </w:tr>
    </w:tbl>
    <w:p w14:paraId="6EE97782" w14:textId="77777777" w:rsidR="00CA7970" w:rsidRPr="00750AC1" w:rsidRDefault="00CA7970">
      <w:pPr>
        <w:rPr>
          <w:color w:val="FF0000"/>
          <w:szCs w:val="20"/>
        </w:rPr>
      </w:pPr>
    </w:p>
    <w:sectPr w:rsidR="00CA7970" w:rsidRPr="00750A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4D1D1" w14:textId="77777777" w:rsidR="00012092" w:rsidRDefault="00012092" w:rsidP="00A23112">
      <w:pPr>
        <w:spacing w:line="240" w:lineRule="auto"/>
      </w:pPr>
      <w:r>
        <w:separator/>
      </w:r>
    </w:p>
  </w:endnote>
  <w:endnote w:type="continuationSeparator" w:id="0">
    <w:p w14:paraId="3E4625F9" w14:textId="77777777" w:rsidR="00012092" w:rsidRDefault="00012092" w:rsidP="00A231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B5466" w14:textId="77777777" w:rsidR="00012092" w:rsidRDefault="00012092" w:rsidP="00A23112">
      <w:pPr>
        <w:spacing w:line="240" w:lineRule="auto"/>
      </w:pPr>
      <w:r>
        <w:separator/>
      </w:r>
    </w:p>
  </w:footnote>
  <w:footnote w:type="continuationSeparator" w:id="0">
    <w:p w14:paraId="49C01394" w14:textId="77777777" w:rsidR="00012092" w:rsidRDefault="00012092" w:rsidP="00A231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94C10"/>
    <w:multiLevelType w:val="hybridMultilevel"/>
    <w:tmpl w:val="A0F8B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19077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0D"/>
    <w:rsid w:val="000011E4"/>
    <w:rsid w:val="000047E9"/>
    <w:rsid w:val="00006B54"/>
    <w:rsid w:val="00007E56"/>
    <w:rsid w:val="00012092"/>
    <w:rsid w:val="00031BFF"/>
    <w:rsid w:val="0003271E"/>
    <w:rsid w:val="000423F8"/>
    <w:rsid w:val="00053DC6"/>
    <w:rsid w:val="000612B8"/>
    <w:rsid w:val="00061434"/>
    <w:rsid w:val="00061BAC"/>
    <w:rsid w:val="000B1D21"/>
    <w:rsid w:val="000C1042"/>
    <w:rsid w:val="000C62F3"/>
    <w:rsid w:val="000C6405"/>
    <w:rsid w:val="000C7E55"/>
    <w:rsid w:val="000D6927"/>
    <w:rsid w:val="000E1185"/>
    <w:rsid w:val="000E2B5F"/>
    <w:rsid w:val="000F06B0"/>
    <w:rsid w:val="000F21B3"/>
    <w:rsid w:val="000F665F"/>
    <w:rsid w:val="000F7680"/>
    <w:rsid w:val="000F7880"/>
    <w:rsid w:val="00100AB1"/>
    <w:rsid w:val="00107CC2"/>
    <w:rsid w:val="001455D2"/>
    <w:rsid w:val="0015052D"/>
    <w:rsid w:val="00161AFE"/>
    <w:rsid w:val="00163DA4"/>
    <w:rsid w:val="00166C13"/>
    <w:rsid w:val="0017140C"/>
    <w:rsid w:val="00181207"/>
    <w:rsid w:val="00182CBB"/>
    <w:rsid w:val="00191BE3"/>
    <w:rsid w:val="001B45BC"/>
    <w:rsid w:val="001C1109"/>
    <w:rsid w:val="001C265F"/>
    <w:rsid w:val="001D00F1"/>
    <w:rsid w:val="001D6787"/>
    <w:rsid w:val="001D7621"/>
    <w:rsid w:val="001E6844"/>
    <w:rsid w:val="001F32D6"/>
    <w:rsid w:val="002004BD"/>
    <w:rsid w:val="00207D95"/>
    <w:rsid w:val="00211E23"/>
    <w:rsid w:val="00212664"/>
    <w:rsid w:val="00215EC7"/>
    <w:rsid w:val="0022426A"/>
    <w:rsid w:val="00225810"/>
    <w:rsid w:val="00226866"/>
    <w:rsid w:val="00240E49"/>
    <w:rsid w:val="002461B5"/>
    <w:rsid w:val="00253DEE"/>
    <w:rsid w:val="00264C5A"/>
    <w:rsid w:val="00267920"/>
    <w:rsid w:val="00271211"/>
    <w:rsid w:val="002856A4"/>
    <w:rsid w:val="00290BB0"/>
    <w:rsid w:val="002948B2"/>
    <w:rsid w:val="002968DF"/>
    <w:rsid w:val="002A57C4"/>
    <w:rsid w:val="002C0D6F"/>
    <w:rsid w:val="002C2AAC"/>
    <w:rsid w:val="002E0856"/>
    <w:rsid w:val="002F086B"/>
    <w:rsid w:val="003117AB"/>
    <w:rsid w:val="00316A02"/>
    <w:rsid w:val="0032595F"/>
    <w:rsid w:val="00330EC1"/>
    <w:rsid w:val="00334C92"/>
    <w:rsid w:val="00336C65"/>
    <w:rsid w:val="0034242C"/>
    <w:rsid w:val="003427AD"/>
    <w:rsid w:val="00353030"/>
    <w:rsid w:val="00353C1F"/>
    <w:rsid w:val="003543FB"/>
    <w:rsid w:val="00361A94"/>
    <w:rsid w:val="00363EEC"/>
    <w:rsid w:val="00372F65"/>
    <w:rsid w:val="00386BEC"/>
    <w:rsid w:val="00395ABB"/>
    <w:rsid w:val="003B49E3"/>
    <w:rsid w:val="003C0830"/>
    <w:rsid w:val="003C2D60"/>
    <w:rsid w:val="003D65B4"/>
    <w:rsid w:val="0041780A"/>
    <w:rsid w:val="0045618C"/>
    <w:rsid w:val="004579AA"/>
    <w:rsid w:val="00462995"/>
    <w:rsid w:val="0047192B"/>
    <w:rsid w:val="00471CFA"/>
    <w:rsid w:val="00472FED"/>
    <w:rsid w:val="00474A3C"/>
    <w:rsid w:val="0047710B"/>
    <w:rsid w:val="004A22AF"/>
    <w:rsid w:val="004A2C87"/>
    <w:rsid w:val="00515521"/>
    <w:rsid w:val="00521D25"/>
    <w:rsid w:val="0052532C"/>
    <w:rsid w:val="00534661"/>
    <w:rsid w:val="00537B72"/>
    <w:rsid w:val="00540852"/>
    <w:rsid w:val="005444E8"/>
    <w:rsid w:val="005645D5"/>
    <w:rsid w:val="0056751D"/>
    <w:rsid w:val="005908AC"/>
    <w:rsid w:val="005A0373"/>
    <w:rsid w:val="005A26BC"/>
    <w:rsid w:val="005A4170"/>
    <w:rsid w:val="005B421F"/>
    <w:rsid w:val="005B7FFE"/>
    <w:rsid w:val="005D746D"/>
    <w:rsid w:val="005E605D"/>
    <w:rsid w:val="005E6E38"/>
    <w:rsid w:val="005F539F"/>
    <w:rsid w:val="005F7580"/>
    <w:rsid w:val="005F7C1D"/>
    <w:rsid w:val="00611356"/>
    <w:rsid w:val="006125DF"/>
    <w:rsid w:val="00632333"/>
    <w:rsid w:val="00643A05"/>
    <w:rsid w:val="006502FF"/>
    <w:rsid w:val="00671155"/>
    <w:rsid w:val="0067223B"/>
    <w:rsid w:val="00687CF1"/>
    <w:rsid w:val="006A08C1"/>
    <w:rsid w:val="006B1C61"/>
    <w:rsid w:val="006B2D20"/>
    <w:rsid w:val="006B3E76"/>
    <w:rsid w:val="006B6233"/>
    <w:rsid w:val="006F2C19"/>
    <w:rsid w:val="007268E2"/>
    <w:rsid w:val="00727E7E"/>
    <w:rsid w:val="007310E0"/>
    <w:rsid w:val="007313A5"/>
    <w:rsid w:val="007442D9"/>
    <w:rsid w:val="00750AC1"/>
    <w:rsid w:val="00757802"/>
    <w:rsid w:val="00760108"/>
    <w:rsid w:val="0076224C"/>
    <w:rsid w:val="00765D3C"/>
    <w:rsid w:val="007900FF"/>
    <w:rsid w:val="0079288A"/>
    <w:rsid w:val="007A41F2"/>
    <w:rsid w:val="007D63B1"/>
    <w:rsid w:val="007D70F6"/>
    <w:rsid w:val="007F2622"/>
    <w:rsid w:val="008042C7"/>
    <w:rsid w:val="00804DC1"/>
    <w:rsid w:val="00806BF9"/>
    <w:rsid w:val="00810424"/>
    <w:rsid w:val="008236AF"/>
    <w:rsid w:val="0082403E"/>
    <w:rsid w:val="00825E45"/>
    <w:rsid w:val="00837AA0"/>
    <w:rsid w:val="0084590D"/>
    <w:rsid w:val="0084773C"/>
    <w:rsid w:val="00851103"/>
    <w:rsid w:val="00852EA3"/>
    <w:rsid w:val="008775BD"/>
    <w:rsid w:val="00886043"/>
    <w:rsid w:val="00890968"/>
    <w:rsid w:val="00892E9B"/>
    <w:rsid w:val="0089629B"/>
    <w:rsid w:val="008A3E31"/>
    <w:rsid w:val="008A4FB1"/>
    <w:rsid w:val="008D467C"/>
    <w:rsid w:val="008D51EE"/>
    <w:rsid w:val="008D66FD"/>
    <w:rsid w:val="008E1661"/>
    <w:rsid w:val="008E6D44"/>
    <w:rsid w:val="00905D1D"/>
    <w:rsid w:val="00906592"/>
    <w:rsid w:val="009108BB"/>
    <w:rsid w:val="00937C71"/>
    <w:rsid w:val="00952C98"/>
    <w:rsid w:val="009706BE"/>
    <w:rsid w:val="00977E1F"/>
    <w:rsid w:val="0099185A"/>
    <w:rsid w:val="00992B19"/>
    <w:rsid w:val="0099418C"/>
    <w:rsid w:val="009A6F30"/>
    <w:rsid w:val="009A72E8"/>
    <w:rsid w:val="009B1A73"/>
    <w:rsid w:val="009B5E30"/>
    <w:rsid w:val="009C6C77"/>
    <w:rsid w:val="009E0842"/>
    <w:rsid w:val="00A07219"/>
    <w:rsid w:val="00A10326"/>
    <w:rsid w:val="00A1696E"/>
    <w:rsid w:val="00A175AC"/>
    <w:rsid w:val="00A22BD7"/>
    <w:rsid w:val="00A23112"/>
    <w:rsid w:val="00A43714"/>
    <w:rsid w:val="00A46C79"/>
    <w:rsid w:val="00A522D6"/>
    <w:rsid w:val="00A56902"/>
    <w:rsid w:val="00A57FF4"/>
    <w:rsid w:val="00A61043"/>
    <w:rsid w:val="00A61507"/>
    <w:rsid w:val="00A62777"/>
    <w:rsid w:val="00A62BAB"/>
    <w:rsid w:val="00A64C3F"/>
    <w:rsid w:val="00A71C57"/>
    <w:rsid w:val="00A90B0E"/>
    <w:rsid w:val="00AB7083"/>
    <w:rsid w:val="00AC1E63"/>
    <w:rsid w:val="00AC57A6"/>
    <w:rsid w:val="00AC7FEA"/>
    <w:rsid w:val="00AD083C"/>
    <w:rsid w:val="00AE1FFA"/>
    <w:rsid w:val="00AE419A"/>
    <w:rsid w:val="00AF20C5"/>
    <w:rsid w:val="00B005FB"/>
    <w:rsid w:val="00B01256"/>
    <w:rsid w:val="00B07787"/>
    <w:rsid w:val="00B11B08"/>
    <w:rsid w:val="00B13627"/>
    <w:rsid w:val="00B17476"/>
    <w:rsid w:val="00B2714B"/>
    <w:rsid w:val="00B401E4"/>
    <w:rsid w:val="00B44B83"/>
    <w:rsid w:val="00B665A3"/>
    <w:rsid w:val="00B81F34"/>
    <w:rsid w:val="00B82355"/>
    <w:rsid w:val="00B8711F"/>
    <w:rsid w:val="00B90845"/>
    <w:rsid w:val="00B932D8"/>
    <w:rsid w:val="00BA4FAC"/>
    <w:rsid w:val="00BA55AF"/>
    <w:rsid w:val="00BA58CB"/>
    <w:rsid w:val="00BD5F3E"/>
    <w:rsid w:val="00BD5F8B"/>
    <w:rsid w:val="00BE21FD"/>
    <w:rsid w:val="00BE4CC4"/>
    <w:rsid w:val="00C16C8D"/>
    <w:rsid w:val="00C274E8"/>
    <w:rsid w:val="00C44750"/>
    <w:rsid w:val="00C46A8A"/>
    <w:rsid w:val="00C47393"/>
    <w:rsid w:val="00C552C0"/>
    <w:rsid w:val="00C61309"/>
    <w:rsid w:val="00C72AC5"/>
    <w:rsid w:val="00C751FE"/>
    <w:rsid w:val="00C77F6D"/>
    <w:rsid w:val="00C842DB"/>
    <w:rsid w:val="00C928E4"/>
    <w:rsid w:val="00CA1CBF"/>
    <w:rsid w:val="00CA20CE"/>
    <w:rsid w:val="00CA5680"/>
    <w:rsid w:val="00CA6CF8"/>
    <w:rsid w:val="00CA7970"/>
    <w:rsid w:val="00CB18C3"/>
    <w:rsid w:val="00CB51AA"/>
    <w:rsid w:val="00CC14FB"/>
    <w:rsid w:val="00CC190D"/>
    <w:rsid w:val="00CC527C"/>
    <w:rsid w:val="00CD0AFD"/>
    <w:rsid w:val="00D23CD8"/>
    <w:rsid w:val="00D23F6A"/>
    <w:rsid w:val="00D3729D"/>
    <w:rsid w:val="00D40A68"/>
    <w:rsid w:val="00D559FC"/>
    <w:rsid w:val="00D61314"/>
    <w:rsid w:val="00D632BA"/>
    <w:rsid w:val="00D65618"/>
    <w:rsid w:val="00D67E4B"/>
    <w:rsid w:val="00D73B91"/>
    <w:rsid w:val="00D866BD"/>
    <w:rsid w:val="00D90943"/>
    <w:rsid w:val="00D92C1C"/>
    <w:rsid w:val="00DB2C42"/>
    <w:rsid w:val="00DC318D"/>
    <w:rsid w:val="00DC6F51"/>
    <w:rsid w:val="00DD66C7"/>
    <w:rsid w:val="00DD7F5E"/>
    <w:rsid w:val="00DE1886"/>
    <w:rsid w:val="00DE56BE"/>
    <w:rsid w:val="00DE63D1"/>
    <w:rsid w:val="00DE7832"/>
    <w:rsid w:val="00DF0717"/>
    <w:rsid w:val="00DF450D"/>
    <w:rsid w:val="00E124D6"/>
    <w:rsid w:val="00E21002"/>
    <w:rsid w:val="00E2275E"/>
    <w:rsid w:val="00E22B20"/>
    <w:rsid w:val="00E34FB3"/>
    <w:rsid w:val="00E36A1E"/>
    <w:rsid w:val="00E42309"/>
    <w:rsid w:val="00E47372"/>
    <w:rsid w:val="00E56638"/>
    <w:rsid w:val="00E72929"/>
    <w:rsid w:val="00EA23D4"/>
    <w:rsid w:val="00EB6C53"/>
    <w:rsid w:val="00ED32B3"/>
    <w:rsid w:val="00ED6666"/>
    <w:rsid w:val="00ED671F"/>
    <w:rsid w:val="00EE2994"/>
    <w:rsid w:val="00EE2D91"/>
    <w:rsid w:val="00EE4689"/>
    <w:rsid w:val="00EF2F40"/>
    <w:rsid w:val="00EF2FB2"/>
    <w:rsid w:val="00EF6ECA"/>
    <w:rsid w:val="00F1414C"/>
    <w:rsid w:val="00F2798C"/>
    <w:rsid w:val="00F36DBB"/>
    <w:rsid w:val="00F407AC"/>
    <w:rsid w:val="00F43C33"/>
    <w:rsid w:val="00F612E5"/>
    <w:rsid w:val="00F667B6"/>
    <w:rsid w:val="00F73E82"/>
    <w:rsid w:val="00F91118"/>
    <w:rsid w:val="00FC1FCB"/>
    <w:rsid w:val="00FD0BC0"/>
    <w:rsid w:val="00FE2F6B"/>
    <w:rsid w:val="00FE4207"/>
    <w:rsid w:val="00FE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A9EB"/>
  <w15:chartTrackingRefBased/>
  <w15:docId w15:val="{41018933-86A3-4997-AF5C-B16DF9266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3B91"/>
    <w:pPr>
      <w:autoSpaceDE w:val="0"/>
      <w:autoSpaceDN w:val="0"/>
      <w:adjustRightInd w:val="0"/>
      <w:spacing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A23112"/>
    <w:pPr>
      <w:spacing w:line="240" w:lineRule="auto"/>
    </w:pPr>
    <w:rPr>
      <w:szCs w:val="20"/>
    </w:rPr>
  </w:style>
  <w:style w:type="character" w:customStyle="1" w:styleId="FootnoteTextChar">
    <w:name w:val="Footnote Text Char"/>
    <w:basedOn w:val="DefaultParagraphFont"/>
    <w:link w:val="FootnoteText"/>
    <w:uiPriority w:val="99"/>
    <w:semiHidden/>
    <w:rsid w:val="00A23112"/>
    <w:rPr>
      <w:szCs w:val="20"/>
    </w:rPr>
  </w:style>
  <w:style w:type="character" w:styleId="FootnoteReference">
    <w:name w:val="footnote reference"/>
    <w:basedOn w:val="DefaultParagraphFont"/>
    <w:uiPriority w:val="99"/>
    <w:semiHidden/>
    <w:unhideWhenUsed/>
    <w:rsid w:val="00A231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FB093-FBA0-4C54-8E2F-B14726172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Matsuda</dc:creator>
  <cp:keywords/>
  <dc:description/>
  <cp:lastModifiedBy>Scott Matsuda</cp:lastModifiedBy>
  <cp:revision>154</cp:revision>
  <dcterms:created xsi:type="dcterms:W3CDTF">2022-10-22T09:37:00Z</dcterms:created>
  <dcterms:modified xsi:type="dcterms:W3CDTF">2022-10-22T10:59:00Z</dcterms:modified>
</cp:coreProperties>
</file>