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EEBC" w14:textId="0DA2CB51" w:rsidR="006F2C19" w:rsidRPr="00D73B91" w:rsidRDefault="00CA7970">
      <w:pPr>
        <w:rPr>
          <w:szCs w:val="20"/>
        </w:rPr>
      </w:pPr>
      <w:r w:rsidRPr="00D73B91">
        <w:rPr>
          <w:szCs w:val="20"/>
        </w:rPr>
        <w:t xml:space="preserve">To: </w:t>
      </w:r>
      <w:r w:rsidRPr="00D73B91">
        <w:rPr>
          <w:szCs w:val="20"/>
        </w:rPr>
        <w:tab/>
      </w:r>
      <w:r w:rsidR="005F7C1D">
        <w:rPr>
          <w:szCs w:val="20"/>
        </w:rPr>
        <w:t>Jonathan Cervas</w:t>
      </w:r>
      <w:r w:rsidR="0082403E">
        <w:rPr>
          <w:szCs w:val="20"/>
        </w:rPr>
        <w:t>, Ph.</w:t>
      </w:r>
      <w:r w:rsidR="00472FED">
        <w:rPr>
          <w:szCs w:val="20"/>
        </w:rPr>
        <w:t>D.</w:t>
      </w:r>
      <w:r w:rsidR="00D90C14">
        <w:rPr>
          <w:szCs w:val="20"/>
        </w:rPr>
        <w:t>;</w:t>
      </w:r>
      <w:r w:rsidR="00472FED">
        <w:rPr>
          <w:szCs w:val="20"/>
        </w:rPr>
        <w:t xml:space="preserve"> Bernard Grofman, Ph.D.</w:t>
      </w:r>
      <w:r w:rsidR="00D90C14">
        <w:rPr>
          <w:szCs w:val="20"/>
        </w:rPr>
        <w:t>; Justine Kawa</w:t>
      </w:r>
      <w:r w:rsidR="001125CE">
        <w:rPr>
          <w:szCs w:val="20"/>
        </w:rPr>
        <w:t>, J.D. Candid</w:t>
      </w:r>
      <w:r w:rsidR="00912155">
        <w:rPr>
          <w:szCs w:val="20"/>
        </w:rPr>
        <w:t>ate</w:t>
      </w:r>
    </w:p>
    <w:p w14:paraId="3C1F65CF" w14:textId="77777777" w:rsidR="00CA7970" w:rsidRPr="00D73B91" w:rsidRDefault="00CA7970">
      <w:pPr>
        <w:rPr>
          <w:szCs w:val="20"/>
        </w:rPr>
      </w:pPr>
      <w:r w:rsidRPr="00D73B91">
        <w:rPr>
          <w:szCs w:val="20"/>
        </w:rPr>
        <w:t>From:</w:t>
      </w:r>
      <w:r w:rsidRPr="00D73B91">
        <w:rPr>
          <w:szCs w:val="20"/>
        </w:rPr>
        <w:tab/>
        <w:t>Scott Matsuda</w:t>
      </w:r>
    </w:p>
    <w:p w14:paraId="1B9182EE" w14:textId="407F2676" w:rsidR="00CA7970" w:rsidRPr="00D73B91" w:rsidRDefault="00CA7970">
      <w:pPr>
        <w:rPr>
          <w:szCs w:val="20"/>
        </w:rPr>
      </w:pPr>
      <w:r w:rsidRPr="00D73B91">
        <w:rPr>
          <w:szCs w:val="20"/>
        </w:rPr>
        <w:t>Date:</w:t>
      </w:r>
      <w:r w:rsidRPr="00D73B91">
        <w:rPr>
          <w:szCs w:val="20"/>
        </w:rPr>
        <w:tab/>
      </w:r>
      <w:r w:rsidR="00D90C14">
        <w:rPr>
          <w:szCs w:val="20"/>
        </w:rPr>
        <w:t>8/3/2023</w:t>
      </w:r>
    </w:p>
    <w:p w14:paraId="385897F0" w14:textId="0244CB63" w:rsidR="00CA7970" w:rsidRPr="00906592" w:rsidRDefault="00CA7970" w:rsidP="00CA7970">
      <w:pPr>
        <w:jc w:val="center"/>
        <w:rPr>
          <w:b/>
          <w:bCs/>
          <w:szCs w:val="20"/>
          <w:u w:val="single"/>
        </w:rPr>
      </w:pPr>
      <w:r w:rsidRPr="00852EA3">
        <w:rPr>
          <w:szCs w:val="20"/>
          <w:u w:val="single"/>
        </w:rPr>
        <w:t>Case Briefing</w:t>
      </w:r>
      <w:r w:rsidR="00906592">
        <w:rPr>
          <w:szCs w:val="20"/>
          <w:u w:val="single"/>
        </w:rPr>
        <w:t xml:space="preserve"> </w:t>
      </w:r>
      <w:r w:rsidR="00061BAC">
        <w:rPr>
          <w:b/>
          <w:bCs/>
          <w:szCs w:val="20"/>
          <w:u w:val="single"/>
        </w:rPr>
        <w:t>[</w:t>
      </w:r>
      <w:r w:rsidR="001B4B71">
        <w:rPr>
          <w:b/>
          <w:bCs/>
          <w:szCs w:val="20"/>
          <w:u w:val="single"/>
        </w:rPr>
        <w:t>WISCONSIN</w:t>
      </w:r>
      <w:r w:rsidR="003D4197">
        <w:rPr>
          <w:b/>
          <w:bCs/>
          <w:szCs w:val="20"/>
          <w:u w:val="single"/>
        </w:rPr>
        <w:t xml:space="preserve"> – </w:t>
      </w:r>
      <w:r w:rsidR="003D4197" w:rsidRPr="00B72AFA">
        <w:rPr>
          <w:b/>
          <w:bCs/>
          <w:szCs w:val="20"/>
          <w:highlight w:val="yellow"/>
          <w:u w:val="single"/>
        </w:rPr>
        <w:t>Legislative Maps</w:t>
      </w:r>
      <w:r w:rsidR="00061BAC">
        <w:rPr>
          <w:b/>
          <w:bCs/>
          <w:szCs w:val="20"/>
          <w:u w:val="single"/>
        </w:rPr>
        <w:t>]</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998"/>
        <w:gridCol w:w="7470"/>
      </w:tblGrid>
      <w:tr w:rsidR="00D73B91" w:rsidRPr="00D73B91" w14:paraId="216BB34A" w14:textId="77777777" w:rsidTr="00F61108">
        <w:trPr>
          <w:trHeight w:val="270"/>
        </w:trPr>
        <w:tc>
          <w:tcPr>
            <w:tcW w:w="1998" w:type="dxa"/>
          </w:tcPr>
          <w:p w14:paraId="39C9A3DC" w14:textId="77777777" w:rsidR="00D73B91" w:rsidRPr="00D73B91" w:rsidRDefault="00D73B91">
            <w:pPr>
              <w:pStyle w:val="Default"/>
              <w:rPr>
                <w:rFonts w:ascii="Arial" w:hAnsi="Arial" w:cs="Arial"/>
                <w:sz w:val="20"/>
                <w:szCs w:val="20"/>
              </w:rPr>
            </w:pPr>
            <w:r w:rsidRPr="00D73B91">
              <w:rPr>
                <w:rFonts w:ascii="Arial" w:hAnsi="Arial" w:cs="Arial"/>
                <w:b/>
                <w:bCs/>
                <w:sz w:val="20"/>
                <w:szCs w:val="20"/>
              </w:rPr>
              <w:t xml:space="preserve">Citation </w:t>
            </w:r>
          </w:p>
        </w:tc>
        <w:tc>
          <w:tcPr>
            <w:tcW w:w="7470" w:type="dxa"/>
          </w:tcPr>
          <w:p w14:paraId="7907A043" w14:textId="2B6D4FAE" w:rsidR="001B4B71" w:rsidRPr="008B1CAA" w:rsidRDefault="008B1CAA" w:rsidP="008B1CAA">
            <w:pPr>
              <w:pStyle w:val="Default"/>
              <w:numPr>
                <w:ilvl w:val="0"/>
                <w:numId w:val="1"/>
              </w:numPr>
              <w:rPr>
                <w:rFonts w:ascii="Arial" w:hAnsi="Arial" w:cs="Arial"/>
                <w:iCs/>
                <w:sz w:val="20"/>
                <w:szCs w:val="20"/>
              </w:rPr>
            </w:pPr>
            <w:r w:rsidRPr="008B1CAA">
              <w:rPr>
                <w:rFonts w:ascii="Arial" w:hAnsi="Arial" w:cs="Arial"/>
                <w:iCs/>
                <w:sz w:val="20"/>
                <w:szCs w:val="20"/>
              </w:rPr>
              <w:t xml:space="preserve">Petition to the </w:t>
            </w:r>
            <w:r>
              <w:rPr>
                <w:rFonts w:ascii="Arial" w:hAnsi="Arial" w:cs="Arial"/>
                <w:iCs/>
                <w:sz w:val="20"/>
                <w:szCs w:val="20"/>
              </w:rPr>
              <w:t>S</w:t>
            </w:r>
            <w:r w:rsidRPr="008B1CAA">
              <w:rPr>
                <w:rFonts w:ascii="Arial" w:hAnsi="Arial" w:cs="Arial"/>
                <w:iCs/>
                <w:sz w:val="20"/>
                <w:szCs w:val="20"/>
              </w:rPr>
              <w:t xml:space="preserve">upreme </w:t>
            </w:r>
            <w:r>
              <w:rPr>
                <w:rFonts w:ascii="Arial" w:hAnsi="Arial" w:cs="Arial"/>
                <w:iCs/>
                <w:sz w:val="20"/>
                <w:szCs w:val="20"/>
              </w:rPr>
              <w:t>C</w:t>
            </w:r>
            <w:r w:rsidRPr="008B1CAA">
              <w:rPr>
                <w:rFonts w:ascii="Arial" w:hAnsi="Arial" w:cs="Arial"/>
                <w:iCs/>
                <w:sz w:val="20"/>
                <w:szCs w:val="20"/>
              </w:rPr>
              <w:t xml:space="preserve">ourt of </w:t>
            </w:r>
            <w:r>
              <w:rPr>
                <w:rFonts w:ascii="Arial" w:hAnsi="Arial" w:cs="Arial"/>
                <w:iCs/>
                <w:sz w:val="20"/>
                <w:szCs w:val="20"/>
              </w:rPr>
              <w:t>W</w:t>
            </w:r>
            <w:r w:rsidRPr="008B1CAA">
              <w:rPr>
                <w:rFonts w:ascii="Arial" w:hAnsi="Arial" w:cs="Arial"/>
                <w:iCs/>
                <w:sz w:val="20"/>
                <w:szCs w:val="20"/>
              </w:rPr>
              <w:t xml:space="preserve">isconsin to </w:t>
            </w:r>
            <w:r>
              <w:rPr>
                <w:rFonts w:ascii="Arial" w:hAnsi="Arial" w:cs="Arial"/>
                <w:iCs/>
                <w:sz w:val="20"/>
                <w:szCs w:val="20"/>
              </w:rPr>
              <w:t>T</w:t>
            </w:r>
            <w:r w:rsidRPr="008B1CAA">
              <w:rPr>
                <w:rFonts w:ascii="Arial" w:hAnsi="Arial" w:cs="Arial"/>
                <w:iCs/>
                <w:sz w:val="20"/>
                <w:szCs w:val="20"/>
              </w:rPr>
              <w:t>ake</w:t>
            </w:r>
            <w:r>
              <w:rPr>
                <w:rFonts w:ascii="Arial" w:hAnsi="Arial" w:cs="Arial"/>
                <w:iCs/>
                <w:sz w:val="20"/>
                <w:szCs w:val="20"/>
              </w:rPr>
              <w:t xml:space="preserve"> </w:t>
            </w:r>
            <w:r w:rsidRPr="008B1CAA">
              <w:rPr>
                <w:rFonts w:ascii="Arial" w:hAnsi="Arial" w:cs="Arial"/>
                <w:iCs/>
                <w:sz w:val="20"/>
                <w:szCs w:val="20"/>
              </w:rPr>
              <w:t xml:space="preserve">Jurisdiction of an </w:t>
            </w:r>
            <w:r>
              <w:rPr>
                <w:rFonts w:ascii="Arial" w:hAnsi="Arial" w:cs="Arial"/>
                <w:iCs/>
                <w:sz w:val="20"/>
                <w:szCs w:val="20"/>
              </w:rPr>
              <w:t>O</w:t>
            </w:r>
            <w:r w:rsidRPr="008B1CAA">
              <w:rPr>
                <w:rFonts w:ascii="Arial" w:hAnsi="Arial" w:cs="Arial"/>
                <w:iCs/>
                <w:sz w:val="20"/>
                <w:szCs w:val="20"/>
              </w:rPr>
              <w:t xml:space="preserve">riginal </w:t>
            </w:r>
            <w:r>
              <w:rPr>
                <w:rFonts w:ascii="Arial" w:hAnsi="Arial" w:cs="Arial"/>
                <w:iCs/>
                <w:sz w:val="20"/>
                <w:szCs w:val="20"/>
              </w:rPr>
              <w:t>A</w:t>
            </w:r>
            <w:r w:rsidRPr="008B1CAA">
              <w:rPr>
                <w:rFonts w:ascii="Arial" w:hAnsi="Arial" w:cs="Arial"/>
                <w:iCs/>
                <w:sz w:val="20"/>
                <w:szCs w:val="20"/>
              </w:rPr>
              <w:t>ction</w:t>
            </w:r>
            <w:r w:rsidR="0077407E" w:rsidRPr="008B1CAA">
              <w:rPr>
                <w:rFonts w:ascii="Arial" w:hAnsi="Arial" w:cs="Arial"/>
                <w:iCs/>
                <w:sz w:val="20"/>
                <w:szCs w:val="20"/>
              </w:rPr>
              <w:t xml:space="preserve">, </w:t>
            </w:r>
            <w:r w:rsidR="001B4B71" w:rsidRPr="008B1CAA">
              <w:rPr>
                <w:rFonts w:ascii="Arial" w:hAnsi="Arial" w:cs="Arial"/>
                <w:i/>
                <w:sz w:val="20"/>
                <w:szCs w:val="20"/>
              </w:rPr>
              <w:t>Clarke</w:t>
            </w:r>
            <w:r w:rsidR="00057EAB" w:rsidRPr="008B1CAA">
              <w:rPr>
                <w:rFonts w:ascii="Arial" w:hAnsi="Arial" w:cs="Arial"/>
                <w:i/>
                <w:sz w:val="20"/>
                <w:szCs w:val="20"/>
              </w:rPr>
              <w:t xml:space="preserve"> v. </w:t>
            </w:r>
            <w:r w:rsidR="008C6054">
              <w:rPr>
                <w:rFonts w:ascii="Arial" w:hAnsi="Arial" w:cs="Arial"/>
                <w:i/>
                <w:sz w:val="20"/>
                <w:szCs w:val="20"/>
              </w:rPr>
              <w:t>Wis</w:t>
            </w:r>
            <w:r w:rsidR="000B2553">
              <w:rPr>
                <w:rFonts w:ascii="Arial" w:hAnsi="Arial" w:cs="Arial"/>
                <w:i/>
                <w:sz w:val="20"/>
                <w:szCs w:val="20"/>
              </w:rPr>
              <w:t>consin</w:t>
            </w:r>
            <w:r w:rsidR="001B4B71" w:rsidRPr="008B1CAA">
              <w:rPr>
                <w:rFonts w:ascii="Arial" w:hAnsi="Arial" w:cs="Arial"/>
                <w:i/>
                <w:sz w:val="20"/>
                <w:szCs w:val="20"/>
              </w:rPr>
              <w:t xml:space="preserve"> Elections </w:t>
            </w:r>
            <w:r w:rsidR="008C6054">
              <w:rPr>
                <w:rFonts w:ascii="Arial" w:hAnsi="Arial" w:cs="Arial"/>
                <w:i/>
                <w:sz w:val="20"/>
                <w:szCs w:val="20"/>
              </w:rPr>
              <w:t>Comm’n</w:t>
            </w:r>
            <w:r w:rsidR="00A648FB" w:rsidRPr="008B1CAA">
              <w:rPr>
                <w:rFonts w:ascii="Arial" w:hAnsi="Arial" w:cs="Arial"/>
                <w:iCs/>
                <w:sz w:val="20"/>
                <w:szCs w:val="20"/>
              </w:rPr>
              <w:t xml:space="preserve">, </w:t>
            </w:r>
            <w:r w:rsidR="001B4B71" w:rsidRPr="008B1CAA">
              <w:rPr>
                <w:rFonts w:ascii="Arial" w:hAnsi="Arial" w:cs="Arial"/>
                <w:iCs/>
                <w:sz w:val="20"/>
                <w:szCs w:val="20"/>
              </w:rPr>
              <w:t xml:space="preserve">No. </w:t>
            </w:r>
            <w:r w:rsidR="001B4B71" w:rsidRPr="00CC1707">
              <w:rPr>
                <w:rFonts w:ascii="Arial" w:hAnsi="Arial" w:cs="Arial"/>
                <w:iCs/>
                <w:sz w:val="20"/>
                <w:szCs w:val="20"/>
              </w:rPr>
              <w:t>2023AP001399</w:t>
            </w:r>
            <w:r w:rsidR="001B4B71" w:rsidRPr="008B1CAA">
              <w:rPr>
                <w:rFonts w:ascii="Arial" w:hAnsi="Arial" w:cs="Arial"/>
                <w:iCs/>
                <w:sz w:val="20"/>
                <w:szCs w:val="20"/>
              </w:rPr>
              <w:t xml:space="preserve"> </w:t>
            </w:r>
            <w:r w:rsidR="0078504B" w:rsidRPr="008B1CAA">
              <w:rPr>
                <w:rFonts w:ascii="Arial" w:hAnsi="Arial" w:cs="Arial"/>
                <w:iCs/>
                <w:sz w:val="20"/>
                <w:szCs w:val="20"/>
              </w:rPr>
              <w:t>(</w:t>
            </w:r>
            <w:r w:rsidR="001B4B71" w:rsidRPr="008B1CAA">
              <w:rPr>
                <w:rFonts w:ascii="Arial" w:hAnsi="Arial" w:cs="Arial"/>
                <w:iCs/>
                <w:sz w:val="20"/>
                <w:szCs w:val="20"/>
              </w:rPr>
              <w:t>Wis</w:t>
            </w:r>
            <w:r w:rsidR="006F7030" w:rsidRPr="008B1CAA">
              <w:rPr>
                <w:rFonts w:ascii="Arial" w:hAnsi="Arial" w:cs="Arial"/>
                <w:iCs/>
                <w:sz w:val="20"/>
                <w:szCs w:val="20"/>
              </w:rPr>
              <w:t xml:space="preserve">. </w:t>
            </w:r>
            <w:r w:rsidR="006B0C51" w:rsidRPr="008B1CAA">
              <w:rPr>
                <w:rFonts w:ascii="Arial" w:hAnsi="Arial" w:cs="Arial"/>
                <w:iCs/>
                <w:sz w:val="20"/>
                <w:szCs w:val="20"/>
              </w:rPr>
              <w:t xml:space="preserve">Aug. 2, </w:t>
            </w:r>
            <w:r w:rsidR="0078504B" w:rsidRPr="008B1CAA">
              <w:rPr>
                <w:rFonts w:ascii="Arial" w:hAnsi="Arial" w:cs="Arial"/>
                <w:iCs/>
                <w:sz w:val="20"/>
                <w:szCs w:val="20"/>
              </w:rPr>
              <w:t>202</w:t>
            </w:r>
            <w:r w:rsidR="001B4B71" w:rsidRPr="008B1CAA">
              <w:rPr>
                <w:rFonts w:ascii="Arial" w:hAnsi="Arial" w:cs="Arial"/>
                <w:iCs/>
                <w:sz w:val="20"/>
                <w:szCs w:val="20"/>
              </w:rPr>
              <w:t>3</w:t>
            </w:r>
            <w:r w:rsidR="0078504B" w:rsidRPr="008B1CAA">
              <w:rPr>
                <w:rFonts w:ascii="Arial" w:hAnsi="Arial" w:cs="Arial"/>
                <w:iCs/>
                <w:sz w:val="20"/>
                <w:szCs w:val="20"/>
              </w:rPr>
              <w:t>)</w:t>
            </w:r>
            <w:r w:rsidR="001B4B71" w:rsidRPr="008B1CAA">
              <w:rPr>
                <w:rFonts w:ascii="Arial" w:hAnsi="Arial" w:cs="Arial"/>
                <w:iCs/>
                <w:sz w:val="20"/>
                <w:szCs w:val="20"/>
              </w:rPr>
              <w:t>.</w:t>
            </w:r>
          </w:p>
          <w:p w14:paraId="07A00851" w14:textId="5E84C427" w:rsidR="00F61108" w:rsidRPr="00A64C3F" w:rsidRDefault="00F61108" w:rsidP="00F61108">
            <w:pPr>
              <w:pStyle w:val="Default"/>
              <w:rPr>
                <w:rFonts w:ascii="Arial" w:hAnsi="Arial" w:cs="Arial"/>
                <w:iCs/>
                <w:sz w:val="20"/>
                <w:szCs w:val="20"/>
              </w:rPr>
            </w:pPr>
          </w:p>
        </w:tc>
      </w:tr>
      <w:tr w:rsidR="001B4B71" w:rsidRPr="00D73B91" w14:paraId="70AFFFF8" w14:textId="77777777" w:rsidTr="00F61108">
        <w:trPr>
          <w:trHeight w:val="270"/>
        </w:trPr>
        <w:tc>
          <w:tcPr>
            <w:tcW w:w="1998" w:type="dxa"/>
          </w:tcPr>
          <w:p w14:paraId="70180880" w14:textId="1ECCC9C6" w:rsidR="001B4B71" w:rsidRPr="00D73B91" w:rsidRDefault="001B4B71">
            <w:pPr>
              <w:pStyle w:val="Default"/>
              <w:rPr>
                <w:rFonts w:ascii="Arial" w:hAnsi="Arial" w:cs="Arial"/>
                <w:b/>
                <w:bCs/>
                <w:sz w:val="20"/>
                <w:szCs w:val="20"/>
              </w:rPr>
            </w:pPr>
            <w:r>
              <w:rPr>
                <w:rFonts w:ascii="Arial" w:hAnsi="Arial" w:cs="Arial"/>
                <w:b/>
                <w:bCs/>
                <w:sz w:val="20"/>
                <w:szCs w:val="20"/>
              </w:rPr>
              <w:t>Parties</w:t>
            </w:r>
          </w:p>
        </w:tc>
        <w:tc>
          <w:tcPr>
            <w:tcW w:w="7470" w:type="dxa"/>
          </w:tcPr>
          <w:p w14:paraId="326CD89D" w14:textId="26194BB9" w:rsidR="001B4B71" w:rsidRDefault="00F50C84" w:rsidP="00B401E4">
            <w:pPr>
              <w:pStyle w:val="Default"/>
              <w:numPr>
                <w:ilvl w:val="0"/>
                <w:numId w:val="1"/>
              </w:numPr>
              <w:rPr>
                <w:rFonts w:ascii="Arial" w:hAnsi="Arial" w:cs="Arial"/>
                <w:iCs/>
                <w:sz w:val="20"/>
                <w:szCs w:val="20"/>
              </w:rPr>
            </w:pPr>
            <w:r>
              <w:rPr>
                <w:rFonts w:ascii="Arial" w:hAnsi="Arial" w:cs="Arial"/>
                <w:iCs/>
                <w:sz w:val="20"/>
                <w:szCs w:val="20"/>
              </w:rPr>
              <w:t>Petitioners</w:t>
            </w:r>
          </w:p>
          <w:p w14:paraId="394E27E3" w14:textId="2B56B59F" w:rsidR="00D11522" w:rsidRPr="00D11522" w:rsidRDefault="00D11522" w:rsidP="00D11522">
            <w:pPr>
              <w:pStyle w:val="Default"/>
              <w:numPr>
                <w:ilvl w:val="1"/>
                <w:numId w:val="1"/>
              </w:numPr>
              <w:rPr>
                <w:rFonts w:ascii="Arial" w:hAnsi="Arial" w:cs="Arial"/>
                <w:iCs/>
                <w:sz w:val="20"/>
                <w:szCs w:val="20"/>
              </w:rPr>
            </w:pPr>
            <w:r w:rsidRPr="00D11522">
              <w:rPr>
                <w:rFonts w:ascii="Arial" w:hAnsi="Arial" w:cs="Arial"/>
                <w:iCs/>
                <w:sz w:val="20"/>
                <w:szCs w:val="20"/>
              </w:rPr>
              <w:t xml:space="preserve">Rebecca Clarke, Ruben Anthony, Terry Dawson, Dana Glasstein, Ann Groves-Lloyd, Carl Hujet, Jerry Iverson, Tia Johnson, Angie Kirst, Selika Lawton, Fabian Maldonado, Annemarie McClellan, James McNett, Brittany Muriello, Ela Joosten (Pari) Schils, Nathaniel Slack, Mary Smith-Johnson, Denise (Dee) Sweet, and Gabrielle Young.  </w:t>
            </w:r>
          </w:p>
          <w:p w14:paraId="0BB91F08" w14:textId="47E6236D" w:rsidR="00F50C84" w:rsidRDefault="00F50C84" w:rsidP="00B401E4">
            <w:pPr>
              <w:pStyle w:val="Default"/>
              <w:numPr>
                <w:ilvl w:val="0"/>
                <w:numId w:val="1"/>
              </w:numPr>
              <w:rPr>
                <w:rFonts w:ascii="Arial" w:hAnsi="Arial" w:cs="Arial"/>
                <w:iCs/>
                <w:sz w:val="20"/>
                <w:szCs w:val="20"/>
              </w:rPr>
            </w:pPr>
            <w:r>
              <w:rPr>
                <w:rFonts w:ascii="Arial" w:hAnsi="Arial" w:cs="Arial"/>
                <w:iCs/>
                <w:sz w:val="20"/>
                <w:szCs w:val="20"/>
              </w:rPr>
              <w:t>Respondents</w:t>
            </w:r>
          </w:p>
          <w:p w14:paraId="66FF8934" w14:textId="5A486701" w:rsidR="00B536BA" w:rsidRDefault="00917887" w:rsidP="00917887">
            <w:pPr>
              <w:pStyle w:val="Default"/>
              <w:numPr>
                <w:ilvl w:val="1"/>
                <w:numId w:val="1"/>
              </w:numPr>
              <w:rPr>
                <w:rFonts w:ascii="Arial" w:hAnsi="Arial" w:cs="Arial"/>
                <w:iCs/>
                <w:sz w:val="20"/>
                <w:szCs w:val="20"/>
              </w:rPr>
            </w:pPr>
            <w:r w:rsidRPr="00917887">
              <w:rPr>
                <w:rFonts w:ascii="Arial" w:hAnsi="Arial" w:cs="Arial"/>
                <w:iCs/>
                <w:sz w:val="20"/>
                <w:szCs w:val="20"/>
              </w:rPr>
              <w:t>Wisconsin Elections Commission</w:t>
            </w:r>
            <w:r w:rsidR="00C94E3C">
              <w:rPr>
                <w:rFonts w:ascii="Arial" w:hAnsi="Arial" w:cs="Arial"/>
                <w:iCs/>
                <w:sz w:val="20"/>
                <w:szCs w:val="20"/>
              </w:rPr>
              <w:t xml:space="preserve"> (WEC)</w:t>
            </w:r>
            <w:r w:rsidRPr="00917887">
              <w:rPr>
                <w:rFonts w:ascii="Arial" w:hAnsi="Arial" w:cs="Arial"/>
                <w:iCs/>
                <w:sz w:val="20"/>
                <w:szCs w:val="20"/>
              </w:rPr>
              <w:t xml:space="preserve">; Don Millis, Robert F. Spindell, Jr., Mark </w:t>
            </w:r>
            <w:r w:rsidR="00B536BA">
              <w:rPr>
                <w:rFonts w:ascii="Arial" w:hAnsi="Arial" w:cs="Arial"/>
                <w:iCs/>
                <w:sz w:val="20"/>
                <w:szCs w:val="20"/>
              </w:rPr>
              <w:t>L</w:t>
            </w:r>
            <w:r w:rsidRPr="00917887">
              <w:rPr>
                <w:rFonts w:ascii="Arial" w:hAnsi="Arial" w:cs="Arial"/>
                <w:iCs/>
                <w:sz w:val="20"/>
                <w:szCs w:val="20"/>
              </w:rPr>
              <w:t xml:space="preserve">. Thomsen, Ann S. Jacobs, Marge Bostelmann, and Joseph J. Czarnezki, </w:t>
            </w:r>
            <w:r w:rsidRPr="008D0285">
              <w:rPr>
                <w:rFonts w:ascii="Arial" w:hAnsi="Arial" w:cs="Arial"/>
                <w:b/>
                <w:bCs/>
                <w:iCs/>
                <w:sz w:val="20"/>
                <w:szCs w:val="20"/>
              </w:rPr>
              <w:t xml:space="preserve">in their official capacities as members of the </w:t>
            </w:r>
            <w:r w:rsidR="00C11D0A">
              <w:rPr>
                <w:rFonts w:ascii="Arial" w:hAnsi="Arial" w:cs="Arial"/>
                <w:b/>
                <w:bCs/>
                <w:iCs/>
                <w:sz w:val="20"/>
                <w:szCs w:val="20"/>
              </w:rPr>
              <w:t>WEC</w:t>
            </w:r>
            <w:r w:rsidRPr="00917887">
              <w:rPr>
                <w:rFonts w:ascii="Arial" w:hAnsi="Arial" w:cs="Arial"/>
                <w:iCs/>
                <w:sz w:val="20"/>
                <w:szCs w:val="20"/>
              </w:rPr>
              <w:t xml:space="preserve">; </w:t>
            </w:r>
          </w:p>
          <w:p w14:paraId="4029B835" w14:textId="60CA8A07" w:rsidR="00B536BA" w:rsidRDefault="00917887" w:rsidP="00917887">
            <w:pPr>
              <w:pStyle w:val="Default"/>
              <w:numPr>
                <w:ilvl w:val="1"/>
                <w:numId w:val="1"/>
              </w:numPr>
              <w:rPr>
                <w:rFonts w:ascii="Arial" w:hAnsi="Arial" w:cs="Arial"/>
                <w:iCs/>
                <w:sz w:val="20"/>
                <w:szCs w:val="20"/>
              </w:rPr>
            </w:pPr>
            <w:r w:rsidRPr="00917887">
              <w:rPr>
                <w:rFonts w:ascii="Arial" w:hAnsi="Arial" w:cs="Arial"/>
                <w:iCs/>
                <w:sz w:val="20"/>
                <w:szCs w:val="20"/>
              </w:rPr>
              <w:t xml:space="preserve">Meagan Wolfe, </w:t>
            </w:r>
            <w:r w:rsidRPr="008D0285">
              <w:rPr>
                <w:rFonts w:ascii="Arial" w:hAnsi="Arial" w:cs="Arial"/>
                <w:b/>
                <w:bCs/>
                <w:iCs/>
                <w:sz w:val="20"/>
                <w:szCs w:val="20"/>
              </w:rPr>
              <w:t xml:space="preserve">in her official capacity as the Administrator of the </w:t>
            </w:r>
            <w:r w:rsidR="00127B03">
              <w:rPr>
                <w:rFonts w:ascii="Arial" w:hAnsi="Arial" w:cs="Arial"/>
                <w:b/>
                <w:bCs/>
                <w:iCs/>
                <w:sz w:val="20"/>
                <w:szCs w:val="20"/>
              </w:rPr>
              <w:t>WEC</w:t>
            </w:r>
            <w:r w:rsidRPr="00917887">
              <w:rPr>
                <w:rFonts w:ascii="Arial" w:hAnsi="Arial" w:cs="Arial"/>
                <w:iCs/>
                <w:sz w:val="20"/>
                <w:szCs w:val="20"/>
              </w:rPr>
              <w:t xml:space="preserve">; </w:t>
            </w:r>
            <w:r w:rsidR="003F251C">
              <w:rPr>
                <w:rFonts w:ascii="Arial" w:hAnsi="Arial" w:cs="Arial"/>
                <w:iCs/>
                <w:sz w:val="20"/>
                <w:szCs w:val="20"/>
              </w:rPr>
              <w:t>and</w:t>
            </w:r>
          </w:p>
          <w:p w14:paraId="0E18D172" w14:textId="2B9FF006" w:rsidR="00917887" w:rsidRDefault="00917887" w:rsidP="00917887">
            <w:pPr>
              <w:pStyle w:val="Default"/>
              <w:numPr>
                <w:ilvl w:val="1"/>
                <w:numId w:val="1"/>
              </w:numPr>
              <w:rPr>
                <w:rFonts w:ascii="Arial" w:hAnsi="Arial" w:cs="Arial"/>
                <w:iCs/>
                <w:sz w:val="20"/>
                <w:szCs w:val="20"/>
              </w:rPr>
            </w:pPr>
            <w:r w:rsidRPr="00917887">
              <w:rPr>
                <w:rFonts w:ascii="Arial" w:hAnsi="Arial" w:cs="Arial"/>
                <w:iCs/>
                <w:sz w:val="20"/>
                <w:szCs w:val="20"/>
              </w:rPr>
              <w:t xml:space="preserve">Senator André Jacque, Senator Tim Carpenter, Senator Rob Hutton, Senator Chris Larson, Senator Devin LeMahieu, Senator Stephen </w:t>
            </w:r>
            <w:r w:rsidR="00B536BA">
              <w:rPr>
                <w:rFonts w:ascii="Arial" w:hAnsi="Arial" w:cs="Arial"/>
                <w:iCs/>
                <w:sz w:val="20"/>
                <w:szCs w:val="20"/>
              </w:rPr>
              <w:t>L</w:t>
            </w:r>
            <w:r w:rsidRPr="00917887">
              <w:rPr>
                <w:rFonts w:ascii="Arial" w:hAnsi="Arial" w:cs="Arial"/>
                <w:iCs/>
                <w:sz w:val="20"/>
                <w:szCs w:val="20"/>
              </w:rPr>
              <w:t xml:space="preserve">. Nass, Senator John Jagler, Senator Mark Spreitzer, Senator Howard </w:t>
            </w:r>
            <w:r w:rsidR="00B536BA">
              <w:rPr>
                <w:rFonts w:ascii="Arial" w:hAnsi="Arial" w:cs="Arial"/>
                <w:iCs/>
                <w:sz w:val="20"/>
                <w:szCs w:val="20"/>
              </w:rPr>
              <w:t>L</w:t>
            </w:r>
            <w:r w:rsidRPr="00917887">
              <w:rPr>
                <w:rFonts w:ascii="Arial" w:hAnsi="Arial" w:cs="Arial"/>
                <w:iCs/>
                <w:sz w:val="20"/>
                <w:szCs w:val="20"/>
              </w:rPr>
              <w:t xml:space="preserve">. Marklein, Senator Rachael Cabral-Guevara, Senator Van H. Wanggaard, Senator Jesse </w:t>
            </w:r>
            <w:r w:rsidR="00B536BA">
              <w:rPr>
                <w:rFonts w:ascii="Arial" w:hAnsi="Arial" w:cs="Arial"/>
                <w:iCs/>
                <w:sz w:val="20"/>
                <w:szCs w:val="20"/>
              </w:rPr>
              <w:t>L</w:t>
            </w:r>
            <w:r w:rsidRPr="00917887">
              <w:rPr>
                <w:rFonts w:ascii="Arial" w:hAnsi="Arial" w:cs="Arial"/>
                <w:iCs/>
                <w:sz w:val="20"/>
                <w:szCs w:val="20"/>
              </w:rPr>
              <w:t xml:space="preserve">. James, Senator Romaine Robert Quinn, Senator Dianne H. Hesselbein, Senator Cory Tomczyk, Senator Jeff Smith, and Senator Chris Kapenga, </w:t>
            </w:r>
            <w:r w:rsidRPr="008D0285">
              <w:rPr>
                <w:rFonts w:ascii="Arial" w:hAnsi="Arial" w:cs="Arial"/>
                <w:b/>
                <w:bCs/>
                <w:iCs/>
                <w:sz w:val="20"/>
                <w:szCs w:val="20"/>
              </w:rPr>
              <w:t>in their official capacities as members of the Wisconsin Senate</w:t>
            </w:r>
            <w:r w:rsidRPr="00917887">
              <w:rPr>
                <w:rFonts w:ascii="Arial" w:hAnsi="Arial" w:cs="Arial"/>
                <w:iCs/>
                <w:sz w:val="20"/>
                <w:szCs w:val="20"/>
              </w:rPr>
              <w:t>.</w:t>
            </w:r>
          </w:p>
          <w:p w14:paraId="650AF6EE" w14:textId="76F2FE45" w:rsidR="001B4B71" w:rsidRDefault="001B4B71" w:rsidP="001B4B71">
            <w:pPr>
              <w:pStyle w:val="Default"/>
              <w:rPr>
                <w:rFonts w:ascii="Arial" w:hAnsi="Arial" w:cs="Arial"/>
                <w:iCs/>
                <w:sz w:val="20"/>
                <w:szCs w:val="20"/>
              </w:rPr>
            </w:pPr>
          </w:p>
        </w:tc>
      </w:tr>
      <w:tr w:rsidR="00474A3C" w:rsidRPr="00D73B91" w14:paraId="579CDEAF" w14:textId="77777777" w:rsidTr="00DD66C7">
        <w:trPr>
          <w:trHeight w:val="549"/>
        </w:trPr>
        <w:tc>
          <w:tcPr>
            <w:tcW w:w="1998" w:type="dxa"/>
          </w:tcPr>
          <w:p w14:paraId="2A45B22E" w14:textId="77777777" w:rsidR="00474A3C" w:rsidRDefault="00474A3C" w:rsidP="00474A3C">
            <w:pPr>
              <w:pStyle w:val="Default"/>
              <w:rPr>
                <w:rFonts w:ascii="Arial" w:hAnsi="Arial" w:cs="Arial"/>
                <w:b/>
                <w:bCs/>
                <w:sz w:val="20"/>
                <w:szCs w:val="20"/>
              </w:rPr>
            </w:pPr>
            <w:r>
              <w:rPr>
                <w:rFonts w:ascii="Arial" w:hAnsi="Arial" w:cs="Arial"/>
                <w:b/>
                <w:bCs/>
                <w:sz w:val="20"/>
                <w:szCs w:val="20"/>
              </w:rPr>
              <w:t>Judicial Breakdown / Partisan or Nonpartisan</w:t>
            </w:r>
          </w:p>
          <w:p w14:paraId="3BC9E9A3" w14:textId="4ED1530C" w:rsidR="00474A3C" w:rsidRPr="00D73B91" w:rsidRDefault="00474A3C" w:rsidP="00474A3C">
            <w:pPr>
              <w:pStyle w:val="Default"/>
              <w:rPr>
                <w:rFonts w:ascii="Arial" w:hAnsi="Arial" w:cs="Arial"/>
                <w:sz w:val="20"/>
                <w:szCs w:val="20"/>
              </w:rPr>
            </w:pPr>
            <w:r w:rsidRPr="008D467C">
              <w:rPr>
                <w:rFonts w:ascii="Arial" w:hAnsi="Arial" w:cs="Arial"/>
                <w:b/>
                <w:bCs/>
                <w:sz w:val="20"/>
                <w:szCs w:val="20"/>
              </w:rPr>
              <w:t xml:space="preserve"> </w:t>
            </w:r>
          </w:p>
        </w:tc>
        <w:tc>
          <w:tcPr>
            <w:tcW w:w="7470" w:type="dxa"/>
          </w:tcPr>
          <w:p w14:paraId="69472329" w14:textId="186DED9D" w:rsidR="005616AB" w:rsidRDefault="0072211C" w:rsidP="00946582">
            <w:pPr>
              <w:pStyle w:val="Default"/>
              <w:numPr>
                <w:ilvl w:val="0"/>
                <w:numId w:val="1"/>
              </w:numPr>
              <w:rPr>
                <w:rFonts w:ascii="Arial" w:hAnsi="Arial" w:cs="Arial"/>
                <w:iCs/>
                <w:sz w:val="20"/>
                <w:szCs w:val="20"/>
              </w:rPr>
            </w:pPr>
            <w:r>
              <w:rPr>
                <w:rFonts w:ascii="Arial" w:hAnsi="Arial" w:cs="Arial"/>
                <w:iCs/>
                <w:sz w:val="20"/>
                <w:szCs w:val="20"/>
              </w:rPr>
              <w:t>N/a.</w:t>
            </w:r>
            <w:r>
              <w:rPr>
                <w:rStyle w:val="FootnoteReference"/>
                <w:rFonts w:ascii="Arial" w:hAnsi="Arial" w:cs="Arial"/>
                <w:iCs/>
                <w:sz w:val="20"/>
                <w:szCs w:val="20"/>
              </w:rPr>
              <w:footnoteReference w:id="1"/>
            </w:r>
          </w:p>
          <w:p w14:paraId="4C14DE31" w14:textId="3D4B6E2A" w:rsidR="00474A3C" w:rsidRPr="001F6BD0" w:rsidRDefault="00474A3C" w:rsidP="0072211C">
            <w:pPr>
              <w:pStyle w:val="Default"/>
              <w:rPr>
                <w:rFonts w:ascii="Arial" w:hAnsi="Arial" w:cs="Arial"/>
                <w:iCs/>
                <w:sz w:val="20"/>
                <w:szCs w:val="20"/>
              </w:rPr>
            </w:pPr>
          </w:p>
        </w:tc>
      </w:tr>
      <w:tr w:rsidR="00ED671F" w:rsidRPr="00D73B91" w14:paraId="1553CCF4" w14:textId="77777777" w:rsidTr="00B665A3">
        <w:trPr>
          <w:trHeight w:val="900"/>
        </w:trPr>
        <w:tc>
          <w:tcPr>
            <w:tcW w:w="1998" w:type="dxa"/>
          </w:tcPr>
          <w:p w14:paraId="48278285" w14:textId="185C2B74" w:rsidR="00ED671F" w:rsidRDefault="00474A3C" w:rsidP="00ED671F">
            <w:pPr>
              <w:pStyle w:val="Default"/>
              <w:rPr>
                <w:rFonts w:ascii="Arial" w:hAnsi="Arial" w:cs="Arial"/>
                <w:b/>
                <w:bCs/>
                <w:sz w:val="20"/>
                <w:szCs w:val="20"/>
              </w:rPr>
            </w:pPr>
            <w:r>
              <w:rPr>
                <w:rFonts w:ascii="Arial" w:hAnsi="Arial" w:cs="Arial"/>
                <w:b/>
                <w:bCs/>
                <w:sz w:val="20"/>
                <w:szCs w:val="20"/>
              </w:rPr>
              <w:t>Procedural History</w:t>
            </w:r>
          </w:p>
          <w:p w14:paraId="36E704DD" w14:textId="2EC70AA0" w:rsidR="00ED671F" w:rsidRPr="00D73B91" w:rsidRDefault="00ED671F" w:rsidP="00ED671F">
            <w:pPr>
              <w:pStyle w:val="Default"/>
              <w:rPr>
                <w:rFonts w:ascii="Arial" w:hAnsi="Arial" w:cs="Arial"/>
                <w:sz w:val="20"/>
                <w:szCs w:val="20"/>
              </w:rPr>
            </w:pPr>
            <w:r w:rsidRPr="008D467C">
              <w:rPr>
                <w:rFonts w:ascii="Arial" w:hAnsi="Arial" w:cs="Arial"/>
                <w:b/>
                <w:bCs/>
                <w:sz w:val="20"/>
                <w:szCs w:val="20"/>
              </w:rPr>
              <w:t xml:space="preserve"> </w:t>
            </w:r>
          </w:p>
        </w:tc>
        <w:tc>
          <w:tcPr>
            <w:tcW w:w="7470" w:type="dxa"/>
          </w:tcPr>
          <w:p w14:paraId="4D6D6EA7" w14:textId="6BE5FFA9" w:rsidR="00A40A5E" w:rsidRPr="00D71D09" w:rsidRDefault="00AE1D45" w:rsidP="00D71D09">
            <w:pPr>
              <w:pStyle w:val="Default"/>
              <w:numPr>
                <w:ilvl w:val="0"/>
                <w:numId w:val="1"/>
              </w:numPr>
              <w:rPr>
                <w:rFonts w:ascii="Arial" w:hAnsi="Arial" w:cs="Arial"/>
                <w:sz w:val="20"/>
                <w:szCs w:val="20"/>
              </w:rPr>
            </w:pPr>
            <w:r>
              <w:rPr>
                <w:rFonts w:ascii="Arial" w:hAnsi="Arial" w:cs="Arial"/>
                <w:sz w:val="20"/>
                <w:szCs w:val="20"/>
              </w:rPr>
              <w:t>The Wisconsin Supreme</w:t>
            </w:r>
            <w:r w:rsidR="00A40A5E" w:rsidRPr="00A40A5E">
              <w:rPr>
                <w:rFonts w:ascii="Arial" w:hAnsi="Arial" w:cs="Arial"/>
                <w:sz w:val="20"/>
                <w:szCs w:val="20"/>
              </w:rPr>
              <w:t xml:space="preserve"> Court granted a petition for original action</w:t>
            </w:r>
            <w:r w:rsidR="0080439A">
              <w:rPr>
                <w:rFonts w:ascii="Arial" w:hAnsi="Arial" w:cs="Arial"/>
                <w:sz w:val="20"/>
                <w:szCs w:val="20"/>
              </w:rPr>
              <w:t xml:space="preserve"> in</w:t>
            </w:r>
            <w:r w:rsidR="00A40A5E" w:rsidRPr="00A40A5E">
              <w:rPr>
                <w:rFonts w:ascii="Arial" w:hAnsi="Arial" w:cs="Arial"/>
                <w:sz w:val="20"/>
                <w:szCs w:val="20"/>
              </w:rPr>
              <w:t xml:space="preserve"> </w:t>
            </w:r>
            <w:r w:rsidR="00A40A5E" w:rsidRPr="00A40A5E">
              <w:rPr>
                <w:rFonts w:ascii="Arial" w:hAnsi="Arial" w:cs="Arial"/>
                <w:i/>
                <w:iCs/>
                <w:sz w:val="20"/>
                <w:szCs w:val="20"/>
              </w:rPr>
              <w:t>Johnson v. Wisconsin Elections Commission</w:t>
            </w:r>
            <w:r w:rsidR="00A40A5E" w:rsidRPr="00A40A5E">
              <w:rPr>
                <w:rFonts w:ascii="Arial" w:hAnsi="Arial" w:cs="Arial"/>
                <w:sz w:val="20"/>
                <w:szCs w:val="20"/>
              </w:rPr>
              <w:t>, No. 2021AP1450-OA</w:t>
            </w:r>
            <w:r w:rsidR="003C71AA">
              <w:rPr>
                <w:rFonts w:ascii="Arial" w:hAnsi="Arial" w:cs="Arial"/>
                <w:sz w:val="20"/>
                <w:szCs w:val="20"/>
              </w:rPr>
              <w:t xml:space="preserve"> (“</w:t>
            </w:r>
            <w:r w:rsidR="003C71AA">
              <w:rPr>
                <w:rFonts w:ascii="Arial" w:hAnsi="Arial" w:cs="Arial"/>
                <w:i/>
                <w:iCs/>
                <w:sz w:val="20"/>
                <w:szCs w:val="20"/>
              </w:rPr>
              <w:t>Johnson I</w:t>
            </w:r>
            <w:r w:rsidR="003C71AA">
              <w:rPr>
                <w:rFonts w:ascii="Arial" w:hAnsi="Arial" w:cs="Arial"/>
                <w:sz w:val="20"/>
                <w:szCs w:val="20"/>
              </w:rPr>
              <w:t>”)</w:t>
            </w:r>
            <w:r w:rsidR="00A40A5E" w:rsidRPr="00A40A5E">
              <w:rPr>
                <w:rFonts w:ascii="Arial" w:hAnsi="Arial" w:cs="Arial"/>
                <w:sz w:val="20"/>
                <w:szCs w:val="20"/>
              </w:rPr>
              <w:t>, seeking</w:t>
            </w:r>
            <w:r w:rsidR="00C31E3A">
              <w:rPr>
                <w:rFonts w:ascii="Arial" w:hAnsi="Arial" w:cs="Arial"/>
                <w:sz w:val="20"/>
                <w:szCs w:val="20"/>
              </w:rPr>
              <w:t xml:space="preserve">: (1) </w:t>
            </w:r>
            <w:r w:rsidR="00A40A5E" w:rsidRPr="00A40A5E">
              <w:rPr>
                <w:rFonts w:ascii="Arial" w:hAnsi="Arial" w:cs="Arial"/>
                <w:sz w:val="20"/>
                <w:szCs w:val="20"/>
              </w:rPr>
              <w:t>an injunction against the</w:t>
            </w:r>
            <w:r w:rsidR="00A40A5E">
              <w:rPr>
                <w:rFonts w:ascii="Arial" w:hAnsi="Arial" w:cs="Arial"/>
                <w:sz w:val="20"/>
                <w:szCs w:val="20"/>
              </w:rPr>
              <w:t xml:space="preserve"> </w:t>
            </w:r>
            <w:r w:rsidR="00A40A5E" w:rsidRPr="00A40A5E">
              <w:rPr>
                <w:rFonts w:ascii="Arial" w:hAnsi="Arial" w:cs="Arial"/>
                <w:sz w:val="20"/>
                <w:szCs w:val="20"/>
              </w:rPr>
              <w:t>then-extant 2011 legislative and congressional plans as unconstitutionally</w:t>
            </w:r>
            <w:r w:rsidR="00621808">
              <w:rPr>
                <w:rFonts w:ascii="Arial" w:hAnsi="Arial" w:cs="Arial"/>
                <w:sz w:val="20"/>
                <w:szCs w:val="20"/>
              </w:rPr>
              <w:t xml:space="preserve"> </w:t>
            </w:r>
            <w:r w:rsidR="00A40A5E" w:rsidRPr="00621808">
              <w:rPr>
                <w:rFonts w:ascii="Arial" w:hAnsi="Arial" w:cs="Arial"/>
                <w:sz w:val="20"/>
                <w:szCs w:val="20"/>
              </w:rPr>
              <w:t>malapportioned</w:t>
            </w:r>
            <w:r w:rsidR="00A317C4">
              <w:rPr>
                <w:rFonts w:ascii="Arial" w:hAnsi="Arial" w:cs="Arial"/>
                <w:sz w:val="20"/>
                <w:szCs w:val="20"/>
              </w:rPr>
              <w:t>;</w:t>
            </w:r>
            <w:r w:rsidR="00A40A5E" w:rsidRPr="00621808">
              <w:rPr>
                <w:rFonts w:ascii="Arial" w:hAnsi="Arial" w:cs="Arial"/>
                <w:sz w:val="20"/>
                <w:szCs w:val="20"/>
              </w:rPr>
              <w:t xml:space="preserve"> and </w:t>
            </w:r>
            <w:r w:rsidR="00C31E3A">
              <w:rPr>
                <w:rFonts w:ascii="Arial" w:hAnsi="Arial" w:cs="Arial"/>
                <w:sz w:val="20"/>
                <w:szCs w:val="20"/>
              </w:rPr>
              <w:t xml:space="preserve">(2) </w:t>
            </w:r>
            <w:r w:rsidR="00A40A5E" w:rsidRPr="00621808">
              <w:rPr>
                <w:rFonts w:ascii="Arial" w:hAnsi="Arial" w:cs="Arial"/>
                <w:sz w:val="20"/>
                <w:szCs w:val="20"/>
              </w:rPr>
              <w:t>entry of a mandatory injunction imposing a remedial plan that</w:t>
            </w:r>
            <w:r w:rsidR="00D71D09">
              <w:rPr>
                <w:rFonts w:ascii="Arial" w:hAnsi="Arial" w:cs="Arial"/>
                <w:sz w:val="20"/>
                <w:szCs w:val="20"/>
              </w:rPr>
              <w:t xml:space="preserve"> </w:t>
            </w:r>
            <w:r w:rsidR="00A40A5E" w:rsidRPr="00D71D09">
              <w:rPr>
                <w:rFonts w:ascii="Arial" w:hAnsi="Arial" w:cs="Arial"/>
                <w:sz w:val="20"/>
                <w:szCs w:val="20"/>
              </w:rPr>
              <w:t>made undefined “least changes” to the defunct, malapportioned plan.</w:t>
            </w:r>
          </w:p>
          <w:p w14:paraId="77A822FE" w14:textId="49501A40" w:rsidR="00645E46" w:rsidRPr="002D0826" w:rsidRDefault="00A40A5E" w:rsidP="002D0826">
            <w:pPr>
              <w:pStyle w:val="Default"/>
              <w:numPr>
                <w:ilvl w:val="1"/>
                <w:numId w:val="1"/>
              </w:numPr>
              <w:rPr>
                <w:rFonts w:ascii="Arial" w:hAnsi="Arial" w:cs="Arial"/>
                <w:sz w:val="20"/>
                <w:szCs w:val="20"/>
              </w:rPr>
            </w:pPr>
            <w:r w:rsidRPr="00A40A5E">
              <w:rPr>
                <w:rFonts w:ascii="Arial" w:hAnsi="Arial" w:cs="Arial"/>
                <w:sz w:val="20"/>
                <w:szCs w:val="20"/>
              </w:rPr>
              <w:lastRenderedPageBreak/>
              <w:t>By a 4-3 vote, the Court announced it would follow a “least-changes”</w:t>
            </w:r>
            <w:r w:rsidR="003C71AA">
              <w:rPr>
                <w:rFonts w:ascii="Arial" w:hAnsi="Arial" w:cs="Arial"/>
                <w:sz w:val="20"/>
                <w:szCs w:val="20"/>
              </w:rPr>
              <w:t xml:space="preserve"> </w:t>
            </w:r>
            <w:r w:rsidRPr="003C71AA">
              <w:rPr>
                <w:rFonts w:ascii="Arial" w:hAnsi="Arial" w:cs="Arial"/>
                <w:sz w:val="20"/>
                <w:szCs w:val="20"/>
              </w:rPr>
              <w:t>approach in imposing a remed</w:t>
            </w:r>
            <w:r w:rsidR="002D0826">
              <w:rPr>
                <w:rFonts w:ascii="Arial" w:hAnsi="Arial" w:cs="Arial"/>
                <w:sz w:val="20"/>
                <w:szCs w:val="20"/>
              </w:rPr>
              <w:t>y, b</w:t>
            </w:r>
            <w:r w:rsidRPr="002D0826">
              <w:rPr>
                <w:rFonts w:ascii="Arial" w:hAnsi="Arial" w:cs="Arial"/>
                <w:sz w:val="20"/>
                <w:szCs w:val="20"/>
              </w:rPr>
              <w:t>ut no majority</w:t>
            </w:r>
            <w:r w:rsidR="00061766" w:rsidRPr="002D0826">
              <w:rPr>
                <w:rFonts w:ascii="Arial" w:hAnsi="Arial" w:cs="Arial"/>
                <w:sz w:val="20"/>
                <w:szCs w:val="20"/>
              </w:rPr>
              <w:t xml:space="preserve"> </w:t>
            </w:r>
            <w:r w:rsidRPr="002D0826">
              <w:rPr>
                <w:rFonts w:ascii="Arial" w:hAnsi="Arial" w:cs="Arial"/>
                <w:sz w:val="20"/>
                <w:szCs w:val="20"/>
              </w:rPr>
              <w:t xml:space="preserve">agreed on a definition of “least changes.” </w:t>
            </w:r>
          </w:p>
          <w:p w14:paraId="23143F80" w14:textId="289D2154" w:rsidR="007C66DC" w:rsidRPr="003A40E8" w:rsidRDefault="00F451A3" w:rsidP="003A40E8">
            <w:pPr>
              <w:pStyle w:val="Default"/>
              <w:numPr>
                <w:ilvl w:val="0"/>
                <w:numId w:val="1"/>
              </w:numPr>
              <w:rPr>
                <w:rFonts w:ascii="Arial" w:hAnsi="Arial" w:cs="Arial"/>
                <w:sz w:val="20"/>
                <w:szCs w:val="20"/>
              </w:rPr>
            </w:pPr>
            <w:r w:rsidRPr="00F451A3">
              <w:rPr>
                <w:rFonts w:ascii="Arial" w:hAnsi="Arial" w:cs="Arial"/>
                <w:sz w:val="20"/>
                <w:szCs w:val="20"/>
              </w:rPr>
              <w:t>Following submissions by various parties</w:t>
            </w:r>
            <w:r>
              <w:rPr>
                <w:rFonts w:ascii="Arial" w:hAnsi="Arial" w:cs="Arial"/>
                <w:sz w:val="20"/>
                <w:szCs w:val="20"/>
              </w:rPr>
              <w:t xml:space="preserve">, </w:t>
            </w:r>
            <w:r w:rsidRPr="00F451A3">
              <w:rPr>
                <w:rFonts w:ascii="Arial" w:hAnsi="Arial" w:cs="Arial"/>
                <w:sz w:val="20"/>
                <w:szCs w:val="20"/>
              </w:rPr>
              <w:t>the Court voted 4-3 to</w:t>
            </w:r>
            <w:r w:rsidR="00812F95">
              <w:rPr>
                <w:rFonts w:ascii="Arial" w:hAnsi="Arial" w:cs="Arial"/>
                <w:sz w:val="20"/>
                <w:szCs w:val="20"/>
              </w:rPr>
              <w:t xml:space="preserve"> </w:t>
            </w:r>
            <w:r w:rsidRPr="00812F95">
              <w:rPr>
                <w:rFonts w:ascii="Arial" w:hAnsi="Arial" w:cs="Arial"/>
                <w:sz w:val="20"/>
                <w:szCs w:val="20"/>
              </w:rPr>
              <w:t>impose the legislative plans proposed by Governor Evers because they moved the</w:t>
            </w:r>
            <w:r w:rsidR="00812F95">
              <w:rPr>
                <w:rFonts w:ascii="Arial" w:hAnsi="Arial" w:cs="Arial"/>
                <w:sz w:val="20"/>
                <w:szCs w:val="20"/>
              </w:rPr>
              <w:t xml:space="preserve"> </w:t>
            </w:r>
            <w:r w:rsidRPr="00812F95">
              <w:rPr>
                <w:rFonts w:ascii="Arial" w:hAnsi="Arial" w:cs="Arial"/>
                <w:sz w:val="20"/>
                <w:szCs w:val="20"/>
              </w:rPr>
              <w:t xml:space="preserve">fewest number of people to new districts—a metric called “core retention.” </w:t>
            </w:r>
            <w:r w:rsidR="003A40E8">
              <w:rPr>
                <w:rFonts w:ascii="Arial" w:hAnsi="Arial" w:cs="Arial"/>
                <w:sz w:val="20"/>
                <w:szCs w:val="20"/>
              </w:rPr>
              <w:t xml:space="preserve"> </w:t>
            </w:r>
            <w:r w:rsidR="003A40E8" w:rsidRPr="003A40E8">
              <w:rPr>
                <w:rFonts w:ascii="Arial" w:hAnsi="Arial" w:cs="Arial"/>
                <w:i/>
                <w:iCs/>
                <w:sz w:val="20"/>
                <w:szCs w:val="20"/>
              </w:rPr>
              <w:t>See Johnson v. Wisconsin Elections Comm’n</w:t>
            </w:r>
            <w:r w:rsidR="003A40E8" w:rsidRPr="003A40E8">
              <w:rPr>
                <w:rFonts w:ascii="Arial" w:hAnsi="Arial" w:cs="Arial"/>
                <w:sz w:val="20"/>
                <w:szCs w:val="20"/>
              </w:rPr>
              <w:t>, 971</w:t>
            </w:r>
            <w:r w:rsidR="003A40E8">
              <w:rPr>
                <w:rFonts w:ascii="Arial" w:hAnsi="Arial" w:cs="Arial"/>
                <w:sz w:val="20"/>
                <w:szCs w:val="20"/>
              </w:rPr>
              <w:t xml:space="preserve"> </w:t>
            </w:r>
            <w:r w:rsidR="003A40E8" w:rsidRPr="003A40E8">
              <w:rPr>
                <w:rFonts w:ascii="Arial" w:hAnsi="Arial" w:cs="Arial"/>
                <w:sz w:val="20"/>
                <w:szCs w:val="20"/>
              </w:rPr>
              <w:t>N.W.2d 402 (“</w:t>
            </w:r>
            <w:r w:rsidR="003A40E8" w:rsidRPr="003A40E8">
              <w:rPr>
                <w:rFonts w:ascii="Arial" w:hAnsi="Arial" w:cs="Arial"/>
                <w:i/>
                <w:iCs/>
                <w:sz w:val="20"/>
                <w:szCs w:val="20"/>
              </w:rPr>
              <w:t>Johnson II</w:t>
            </w:r>
            <w:r w:rsidR="003A40E8" w:rsidRPr="003A40E8">
              <w:rPr>
                <w:rFonts w:ascii="Arial" w:hAnsi="Arial" w:cs="Arial"/>
                <w:sz w:val="20"/>
                <w:szCs w:val="20"/>
              </w:rPr>
              <w:t>”)</w:t>
            </w:r>
            <w:r w:rsidR="003A40E8">
              <w:rPr>
                <w:rFonts w:ascii="Arial" w:hAnsi="Arial" w:cs="Arial"/>
                <w:sz w:val="20"/>
                <w:szCs w:val="20"/>
              </w:rPr>
              <w:t>.</w:t>
            </w:r>
          </w:p>
          <w:p w14:paraId="51E5CEC0" w14:textId="7FFCECA1" w:rsidR="006576D4" w:rsidRPr="005F5F74" w:rsidRDefault="00EC53CA" w:rsidP="005F5F74">
            <w:pPr>
              <w:pStyle w:val="Default"/>
              <w:numPr>
                <w:ilvl w:val="0"/>
                <w:numId w:val="1"/>
              </w:numPr>
              <w:rPr>
                <w:rFonts w:ascii="Arial" w:hAnsi="Arial" w:cs="Arial"/>
                <w:sz w:val="20"/>
                <w:szCs w:val="20"/>
              </w:rPr>
            </w:pPr>
            <w:r w:rsidRPr="00EC53CA">
              <w:rPr>
                <w:rFonts w:ascii="Arial" w:hAnsi="Arial" w:cs="Arial"/>
                <w:sz w:val="20"/>
                <w:szCs w:val="20"/>
              </w:rPr>
              <w:t xml:space="preserve">The U.S. Supreme Court reversed </w:t>
            </w:r>
            <w:r w:rsidR="007E39AC">
              <w:rPr>
                <w:rFonts w:ascii="Arial" w:hAnsi="Arial" w:cs="Arial"/>
                <w:sz w:val="20"/>
                <w:szCs w:val="20"/>
              </w:rPr>
              <w:t>the</w:t>
            </w:r>
            <w:r w:rsidRPr="00EC53CA">
              <w:rPr>
                <w:rFonts w:ascii="Arial" w:hAnsi="Arial" w:cs="Arial"/>
                <w:sz w:val="20"/>
                <w:szCs w:val="20"/>
              </w:rPr>
              <w:t xml:space="preserve"> Court’s order in </w:t>
            </w:r>
            <w:r w:rsidRPr="00EC53CA">
              <w:rPr>
                <w:rFonts w:ascii="Arial" w:hAnsi="Arial" w:cs="Arial"/>
                <w:i/>
                <w:iCs/>
                <w:sz w:val="20"/>
                <w:szCs w:val="20"/>
              </w:rPr>
              <w:t>Johnson II</w:t>
            </w:r>
            <w:r w:rsidRPr="00EC53CA">
              <w:rPr>
                <w:rFonts w:ascii="Arial" w:hAnsi="Arial" w:cs="Arial"/>
                <w:sz w:val="20"/>
                <w:szCs w:val="20"/>
              </w:rPr>
              <w:t>,</w:t>
            </w:r>
            <w:r>
              <w:rPr>
                <w:rFonts w:ascii="Arial" w:hAnsi="Arial" w:cs="Arial"/>
                <w:sz w:val="20"/>
                <w:szCs w:val="20"/>
              </w:rPr>
              <w:t xml:space="preserve"> </w:t>
            </w:r>
            <w:r w:rsidRPr="00EC53CA">
              <w:rPr>
                <w:rFonts w:ascii="Arial" w:hAnsi="Arial" w:cs="Arial"/>
                <w:sz w:val="20"/>
                <w:szCs w:val="20"/>
              </w:rPr>
              <w:t>holding that it had conducted an insufficient analysis of whether an additional Black</w:t>
            </w:r>
            <w:r>
              <w:rPr>
                <w:rFonts w:ascii="Arial" w:hAnsi="Arial" w:cs="Arial"/>
                <w:sz w:val="20"/>
                <w:szCs w:val="20"/>
              </w:rPr>
              <w:t xml:space="preserve"> </w:t>
            </w:r>
            <w:r w:rsidRPr="00EC53CA">
              <w:rPr>
                <w:rFonts w:ascii="Arial" w:hAnsi="Arial" w:cs="Arial"/>
                <w:sz w:val="20"/>
                <w:szCs w:val="20"/>
              </w:rPr>
              <w:t>majority assembly district was required under the Voting Rights Act in Milwaukee.</w:t>
            </w:r>
            <w:r w:rsidR="005F5F74">
              <w:rPr>
                <w:rFonts w:ascii="Arial" w:hAnsi="Arial" w:cs="Arial"/>
                <w:sz w:val="20"/>
                <w:szCs w:val="20"/>
              </w:rPr>
              <w:t xml:space="preserve">  </w:t>
            </w:r>
            <w:r w:rsidR="005F5F74" w:rsidRPr="005F5F74">
              <w:rPr>
                <w:rFonts w:ascii="Arial" w:hAnsi="Arial" w:cs="Arial"/>
                <w:i/>
                <w:iCs/>
                <w:sz w:val="20"/>
                <w:szCs w:val="20"/>
              </w:rPr>
              <w:t>See Wisconsin Legislature v. Wisconsin Elections Comm’n</w:t>
            </w:r>
            <w:r w:rsidR="005F5F74" w:rsidRPr="005F5F74">
              <w:rPr>
                <w:rFonts w:ascii="Arial" w:hAnsi="Arial" w:cs="Arial"/>
                <w:sz w:val="20"/>
                <w:szCs w:val="20"/>
              </w:rPr>
              <w:t>, 142 S. Ct. 1245, 1251</w:t>
            </w:r>
            <w:r w:rsidR="005F5F74">
              <w:rPr>
                <w:rFonts w:ascii="Arial" w:hAnsi="Arial" w:cs="Arial"/>
                <w:sz w:val="20"/>
                <w:szCs w:val="20"/>
              </w:rPr>
              <w:t xml:space="preserve"> </w:t>
            </w:r>
            <w:r w:rsidR="005F5F74" w:rsidRPr="005F5F74">
              <w:rPr>
                <w:rFonts w:ascii="Arial" w:hAnsi="Arial" w:cs="Arial"/>
                <w:sz w:val="20"/>
                <w:szCs w:val="20"/>
              </w:rPr>
              <w:t>(2022)</w:t>
            </w:r>
            <w:r w:rsidR="005F5F74">
              <w:rPr>
                <w:rFonts w:ascii="Arial" w:hAnsi="Arial" w:cs="Arial"/>
                <w:sz w:val="20"/>
                <w:szCs w:val="20"/>
              </w:rPr>
              <w:t>.</w:t>
            </w:r>
          </w:p>
          <w:p w14:paraId="72F0A76C" w14:textId="0D9178E2" w:rsidR="00E42E53" w:rsidRPr="00C55689" w:rsidRDefault="008928F6" w:rsidP="00C55689">
            <w:pPr>
              <w:pStyle w:val="Default"/>
              <w:numPr>
                <w:ilvl w:val="0"/>
                <w:numId w:val="1"/>
              </w:numPr>
              <w:rPr>
                <w:rFonts w:ascii="Arial" w:hAnsi="Arial" w:cs="Arial"/>
                <w:sz w:val="20"/>
                <w:szCs w:val="20"/>
              </w:rPr>
            </w:pPr>
            <w:r w:rsidRPr="008928F6">
              <w:rPr>
                <w:rFonts w:ascii="Arial" w:hAnsi="Arial" w:cs="Arial"/>
                <w:sz w:val="20"/>
                <w:szCs w:val="20"/>
              </w:rPr>
              <w:t xml:space="preserve">On remand, by another 4-3 vote, </w:t>
            </w:r>
            <w:r w:rsidR="004B0223">
              <w:rPr>
                <w:rFonts w:ascii="Arial" w:hAnsi="Arial" w:cs="Arial"/>
                <w:sz w:val="20"/>
                <w:szCs w:val="20"/>
              </w:rPr>
              <w:t>the</w:t>
            </w:r>
            <w:r w:rsidRPr="008928F6">
              <w:rPr>
                <w:rFonts w:ascii="Arial" w:hAnsi="Arial" w:cs="Arial"/>
                <w:sz w:val="20"/>
                <w:szCs w:val="20"/>
              </w:rPr>
              <w:t xml:space="preserve"> Court imposed the Legislature’s</w:t>
            </w:r>
            <w:r>
              <w:rPr>
                <w:rFonts w:ascii="Arial" w:hAnsi="Arial" w:cs="Arial"/>
                <w:sz w:val="20"/>
                <w:szCs w:val="20"/>
              </w:rPr>
              <w:t xml:space="preserve"> </w:t>
            </w:r>
            <w:r w:rsidRPr="008928F6">
              <w:rPr>
                <w:rFonts w:ascii="Arial" w:hAnsi="Arial" w:cs="Arial"/>
                <w:sz w:val="20"/>
                <w:szCs w:val="20"/>
              </w:rPr>
              <w:t>proposed remedy—the identical SB 621 maps that the Governor had vetoed—as the</w:t>
            </w:r>
            <w:r>
              <w:rPr>
                <w:rFonts w:ascii="Arial" w:hAnsi="Arial" w:cs="Arial"/>
                <w:sz w:val="20"/>
                <w:szCs w:val="20"/>
              </w:rPr>
              <w:t xml:space="preserve"> </w:t>
            </w:r>
            <w:r w:rsidRPr="008928F6">
              <w:rPr>
                <w:rFonts w:ascii="Arial" w:hAnsi="Arial" w:cs="Arial"/>
                <w:sz w:val="20"/>
                <w:szCs w:val="20"/>
              </w:rPr>
              <w:t>remedial plan, because the Legislature’s counsel indicated the map had been drawn</w:t>
            </w:r>
            <w:r>
              <w:rPr>
                <w:rFonts w:ascii="Arial" w:hAnsi="Arial" w:cs="Arial"/>
                <w:sz w:val="20"/>
                <w:szCs w:val="20"/>
              </w:rPr>
              <w:t xml:space="preserve"> </w:t>
            </w:r>
            <w:r w:rsidRPr="008928F6">
              <w:rPr>
                <w:rFonts w:ascii="Arial" w:hAnsi="Arial" w:cs="Arial"/>
                <w:sz w:val="20"/>
                <w:szCs w:val="20"/>
              </w:rPr>
              <w:t xml:space="preserve">without consideration of race. </w:t>
            </w:r>
            <w:r w:rsidR="007D21D3">
              <w:rPr>
                <w:rFonts w:ascii="Arial" w:hAnsi="Arial" w:cs="Arial"/>
                <w:sz w:val="20"/>
                <w:szCs w:val="20"/>
              </w:rPr>
              <w:t xml:space="preserve"> </w:t>
            </w:r>
            <w:r w:rsidRPr="00E52F24">
              <w:rPr>
                <w:rFonts w:ascii="Arial" w:hAnsi="Arial" w:cs="Arial"/>
                <w:i/>
                <w:iCs/>
                <w:sz w:val="20"/>
                <w:szCs w:val="20"/>
              </w:rPr>
              <w:t>See Johnson III</w:t>
            </w:r>
            <w:r w:rsidR="00E52F24">
              <w:rPr>
                <w:rFonts w:ascii="Arial" w:hAnsi="Arial" w:cs="Arial"/>
                <w:i/>
                <w:iCs/>
                <w:sz w:val="20"/>
                <w:szCs w:val="20"/>
              </w:rPr>
              <w:t>.</w:t>
            </w:r>
          </w:p>
        </w:tc>
      </w:tr>
      <w:tr w:rsidR="00ED671F" w:rsidRPr="00D73B91" w14:paraId="37413AE7" w14:textId="77777777" w:rsidTr="00372F65">
        <w:trPr>
          <w:trHeight w:val="513"/>
        </w:trPr>
        <w:tc>
          <w:tcPr>
            <w:tcW w:w="1998" w:type="dxa"/>
          </w:tcPr>
          <w:p w14:paraId="4AEA63B6" w14:textId="77777777" w:rsidR="00ED671F" w:rsidRDefault="00ED671F" w:rsidP="00ED671F">
            <w:pPr>
              <w:pStyle w:val="Default"/>
              <w:rPr>
                <w:rFonts w:ascii="Arial" w:hAnsi="Arial" w:cs="Arial"/>
                <w:b/>
                <w:bCs/>
                <w:sz w:val="20"/>
                <w:szCs w:val="20"/>
              </w:rPr>
            </w:pPr>
          </w:p>
          <w:p w14:paraId="1D002A5D" w14:textId="77777777" w:rsidR="00ED671F" w:rsidRPr="00D73B91" w:rsidRDefault="00ED671F" w:rsidP="00ED671F">
            <w:pPr>
              <w:pStyle w:val="Default"/>
              <w:rPr>
                <w:rFonts w:ascii="Arial" w:hAnsi="Arial" w:cs="Arial"/>
                <w:sz w:val="20"/>
                <w:szCs w:val="20"/>
              </w:rPr>
            </w:pPr>
            <w:r w:rsidRPr="00D73B91">
              <w:rPr>
                <w:rFonts w:ascii="Arial" w:hAnsi="Arial" w:cs="Arial"/>
                <w:b/>
                <w:bCs/>
                <w:sz w:val="20"/>
                <w:szCs w:val="20"/>
              </w:rPr>
              <w:t xml:space="preserve">Disposition </w:t>
            </w:r>
          </w:p>
        </w:tc>
        <w:tc>
          <w:tcPr>
            <w:tcW w:w="7470" w:type="dxa"/>
          </w:tcPr>
          <w:p w14:paraId="2A66052F" w14:textId="77777777" w:rsidR="00ED671F" w:rsidRDefault="00ED671F" w:rsidP="00ED671F">
            <w:pPr>
              <w:pStyle w:val="Default"/>
              <w:rPr>
                <w:rFonts w:ascii="Arial" w:hAnsi="Arial" w:cs="Arial"/>
                <w:sz w:val="20"/>
                <w:szCs w:val="20"/>
              </w:rPr>
            </w:pPr>
          </w:p>
          <w:p w14:paraId="26E195EC" w14:textId="0BF48BCD" w:rsidR="00ED671F" w:rsidRPr="00E17536" w:rsidRDefault="00004553" w:rsidP="00ED671F">
            <w:pPr>
              <w:pStyle w:val="Default"/>
              <w:numPr>
                <w:ilvl w:val="0"/>
                <w:numId w:val="1"/>
              </w:numPr>
              <w:rPr>
                <w:rFonts w:ascii="Arial" w:hAnsi="Arial" w:cs="Arial"/>
                <w:sz w:val="20"/>
                <w:szCs w:val="20"/>
              </w:rPr>
            </w:pPr>
            <w:r>
              <w:rPr>
                <w:rFonts w:ascii="Arial" w:hAnsi="Arial" w:cs="Arial"/>
                <w:sz w:val="20"/>
                <w:szCs w:val="20"/>
              </w:rPr>
              <w:t>N/a.</w:t>
            </w:r>
          </w:p>
        </w:tc>
      </w:tr>
      <w:tr w:rsidR="00ED671F" w:rsidRPr="00D73B91" w14:paraId="0AA16A26" w14:textId="77777777" w:rsidTr="001355F9">
        <w:trPr>
          <w:trHeight w:val="900"/>
        </w:trPr>
        <w:tc>
          <w:tcPr>
            <w:tcW w:w="1998" w:type="dxa"/>
          </w:tcPr>
          <w:p w14:paraId="5C7D8449" w14:textId="77777777" w:rsidR="00ED671F" w:rsidRDefault="00ED671F" w:rsidP="00ED671F">
            <w:pPr>
              <w:pStyle w:val="Default"/>
              <w:rPr>
                <w:rFonts w:ascii="Arial" w:hAnsi="Arial" w:cs="Arial"/>
                <w:b/>
                <w:bCs/>
                <w:sz w:val="20"/>
                <w:szCs w:val="20"/>
              </w:rPr>
            </w:pPr>
          </w:p>
          <w:p w14:paraId="6F3CA663" w14:textId="77777777" w:rsidR="00510393" w:rsidRDefault="00ED671F" w:rsidP="00ED671F">
            <w:pPr>
              <w:pStyle w:val="Default"/>
              <w:rPr>
                <w:rFonts w:ascii="Arial" w:hAnsi="Arial" w:cs="Arial"/>
                <w:b/>
                <w:bCs/>
                <w:sz w:val="20"/>
                <w:szCs w:val="20"/>
              </w:rPr>
            </w:pPr>
            <w:r w:rsidRPr="00D73B91">
              <w:rPr>
                <w:rFonts w:ascii="Arial" w:hAnsi="Arial" w:cs="Arial"/>
                <w:b/>
                <w:bCs/>
                <w:sz w:val="20"/>
                <w:szCs w:val="20"/>
              </w:rPr>
              <w:t xml:space="preserve">Facts </w:t>
            </w:r>
          </w:p>
          <w:p w14:paraId="5648D297" w14:textId="73A70235" w:rsidR="00ED671F" w:rsidRPr="00D73B91" w:rsidRDefault="00ED671F" w:rsidP="00ED671F">
            <w:pPr>
              <w:pStyle w:val="Default"/>
              <w:rPr>
                <w:rFonts w:ascii="Arial" w:hAnsi="Arial" w:cs="Arial"/>
                <w:sz w:val="20"/>
                <w:szCs w:val="20"/>
              </w:rPr>
            </w:pPr>
          </w:p>
        </w:tc>
        <w:tc>
          <w:tcPr>
            <w:tcW w:w="7470" w:type="dxa"/>
          </w:tcPr>
          <w:p w14:paraId="42C3BE2D" w14:textId="77777777" w:rsidR="00ED671F" w:rsidRDefault="00ED671F" w:rsidP="00ED671F">
            <w:pPr>
              <w:pStyle w:val="Default"/>
              <w:rPr>
                <w:rFonts w:ascii="Arial" w:hAnsi="Arial" w:cs="Arial"/>
                <w:sz w:val="20"/>
                <w:szCs w:val="20"/>
              </w:rPr>
            </w:pPr>
          </w:p>
          <w:p w14:paraId="2DA6CD17" w14:textId="77777777" w:rsidR="00903B65" w:rsidRDefault="00F2036E" w:rsidP="00BB098F">
            <w:pPr>
              <w:pStyle w:val="Default"/>
              <w:numPr>
                <w:ilvl w:val="0"/>
                <w:numId w:val="1"/>
              </w:numPr>
              <w:rPr>
                <w:rFonts w:ascii="Arial" w:hAnsi="Arial" w:cs="Arial"/>
                <w:sz w:val="20"/>
                <w:szCs w:val="20"/>
              </w:rPr>
            </w:pPr>
            <w:r w:rsidRPr="00F2036E">
              <w:rPr>
                <w:rFonts w:ascii="Arial" w:hAnsi="Arial" w:cs="Arial"/>
                <w:sz w:val="20"/>
                <w:szCs w:val="20"/>
              </w:rPr>
              <w:t xml:space="preserve">On </w:t>
            </w:r>
            <w:r>
              <w:rPr>
                <w:rFonts w:ascii="Arial" w:hAnsi="Arial" w:cs="Arial"/>
                <w:sz w:val="20"/>
                <w:szCs w:val="20"/>
              </w:rPr>
              <w:t>11/12/2021</w:t>
            </w:r>
            <w:r w:rsidRPr="00F2036E">
              <w:rPr>
                <w:rFonts w:ascii="Arial" w:hAnsi="Arial" w:cs="Arial"/>
                <w:sz w:val="20"/>
                <w:szCs w:val="20"/>
              </w:rPr>
              <w:t>, the Legislature passed 2021 SB 621 to</w:t>
            </w:r>
            <w:r w:rsidR="00973EDA">
              <w:rPr>
                <w:rFonts w:ascii="Arial" w:hAnsi="Arial" w:cs="Arial"/>
                <w:sz w:val="20"/>
                <w:szCs w:val="20"/>
              </w:rPr>
              <w:t xml:space="preserve"> </w:t>
            </w:r>
            <w:r w:rsidRPr="00973EDA">
              <w:rPr>
                <w:rFonts w:ascii="Arial" w:hAnsi="Arial" w:cs="Arial"/>
                <w:sz w:val="20"/>
                <w:szCs w:val="20"/>
              </w:rPr>
              <w:t xml:space="preserve">reapportion </w:t>
            </w:r>
            <w:r w:rsidR="00973EDA">
              <w:rPr>
                <w:rFonts w:ascii="Arial" w:hAnsi="Arial" w:cs="Arial"/>
                <w:sz w:val="20"/>
                <w:szCs w:val="20"/>
              </w:rPr>
              <w:t>WI’s</w:t>
            </w:r>
            <w:r w:rsidRPr="00973EDA">
              <w:rPr>
                <w:rFonts w:ascii="Arial" w:hAnsi="Arial" w:cs="Arial"/>
                <w:sz w:val="20"/>
                <w:szCs w:val="20"/>
              </w:rPr>
              <w:t xml:space="preserve"> legislative districts following receipt of the 2020 Census</w:t>
            </w:r>
            <w:r w:rsidR="00BB098F">
              <w:rPr>
                <w:rFonts w:ascii="Arial" w:hAnsi="Arial" w:cs="Arial"/>
                <w:sz w:val="20"/>
                <w:szCs w:val="20"/>
              </w:rPr>
              <w:t xml:space="preserve"> </w:t>
            </w:r>
            <w:r w:rsidRPr="00BB098F">
              <w:rPr>
                <w:rFonts w:ascii="Arial" w:hAnsi="Arial" w:cs="Arial"/>
                <w:sz w:val="20"/>
                <w:szCs w:val="20"/>
              </w:rPr>
              <w:t>data.</w:t>
            </w:r>
          </w:p>
          <w:p w14:paraId="28D5B684" w14:textId="77777777" w:rsidR="00284B1A" w:rsidRDefault="00C72793" w:rsidP="001355F9">
            <w:pPr>
              <w:pStyle w:val="Default"/>
              <w:numPr>
                <w:ilvl w:val="0"/>
                <w:numId w:val="1"/>
              </w:numPr>
              <w:rPr>
                <w:rFonts w:ascii="Arial" w:hAnsi="Arial" w:cs="Arial"/>
                <w:sz w:val="20"/>
                <w:szCs w:val="20"/>
              </w:rPr>
            </w:pPr>
            <w:r w:rsidRPr="00C72793">
              <w:rPr>
                <w:rFonts w:ascii="Arial" w:hAnsi="Arial" w:cs="Arial"/>
                <w:sz w:val="20"/>
                <w:szCs w:val="20"/>
              </w:rPr>
              <w:t xml:space="preserve">On </w:t>
            </w:r>
            <w:r>
              <w:rPr>
                <w:rFonts w:ascii="Arial" w:hAnsi="Arial" w:cs="Arial"/>
                <w:sz w:val="20"/>
                <w:szCs w:val="20"/>
              </w:rPr>
              <w:t>11/</w:t>
            </w:r>
            <w:r w:rsidRPr="00C72793">
              <w:rPr>
                <w:rFonts w:ascii="Arial" w:hAnsi="Arial" w:cs="Arial"/>
                <w:sz w:val="20"/>
                <w:szCs w:val="20"/>
              </w:rPr>
              <w:t>18</w:t>
            </w:r>
            <w:r>
              <w:rPr>
                <w:rFonts w:ascii="Arial" w:hAnsi="Arial" w:cs="Arial"/>
                <w:sz w:val="20"/>
                <w:szCs w:val="20"/>
              </w:rPr>
              <w:t>/</w:t>
            </w:r>
            <w:r w:rsidRPr="00C72793">
              <w:rPr>
                <w:rFonts w:ascii="Arial" w:hAnsi="Arial" w:cs="Arial"/>
                <w:sz w:val="20"/>
                <w:szCs w:val="20"/>
              </w:rPr>
              <w:t xml:space="preserve">2021, Governor Evers </w:t>
            </w:r>
            <w:r w:rsidR="0038375A">
              <w:rPr>
                <w:rFonts w:ascii="Arial" w:hAnsi="Arial" w:cs="Arial"/>
                <w:sz w:val="20"/>
                <w:szCs w:val="20"/>
              </w:rPr>
              <w:t xml:space="preserve">(D) </w:t>
            </w:r>
            <w:r w:rsidRPr="00C72793">
              <w:rPr>
                <w:rFonts w:ascii="Arial" w:hAnsi="Arial" w:cs="Arial"/>
                <w:sz w:val="20"/>
                <w:szCs w:val="20"/>
              </w:rPr>
              <w:t>vetoed that legislation.</w:t>
            </w:r>
          </w:p>
          <w:p w14:paraId="6A639D96" w14:textId="2B9A6727" w:rsidR="001355F9" w:rsidRPr="001355F9" w:rsidRDefault="001355F9" w:rsidP="001355F9">
            <w:pPr>
              <w:pStyle w:val="Default"/>
              <w:rPr>
                <w:rFonts w:ascii="Arial" w:hAnsi="Arial" w:cs="Arial"/>
                <w:sz w:val="20"/>
                <w:szCs w:val="20"/>
              </w:rPr>
            </w:pPr>
          </w:p>
        </w:tc>
      </w:tr>
      <w:tr w:rsidR="00ED671F" w:rsidRPr="008D467C" w14:paraId="165E79B3" w14:textId="77777777" w:rsidTr="009A6F30">
        <w:trPr>
          <w:trHeight w:val="891"/>
        </w:trPr>
        <w:tc>
          <w:tcPr>
            <w:tcW w:w="1998" w:type="dxa"/>
            <w:tcBorders>
              <w:left w:val="nil"/>
            </w:tcBorders>
          </w:tcPr>
          <w:p w14:paraId="6D71E16F"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Issue(s) or </w:t>
            </w:r>
          </w:p>
          <w:p w14:paraId="44E250EA"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Question(s) </w:t>
            </w:r>
          </w:p>
          <w:p w14:paraId="394708EF"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Presented </w:t>
            </w:r>
          </w:p>
        </w:tc>
        <w:tc>
          <w:tcPr>
            <w:tcW w:w="7470" w:type="dxa"/>
            <w:tcBorders>
              <w:right w:val="nil"/>
            </w:tcBorders>
          </w:tcPr>
          <w:p w14:paraId="29B6D10E" w14:textId="094614E5" w:rsidR="00787386" w:rsidRPr="00787386" w:rsidRDefault="0089084A" w:rsidP="009F04CC">
            <w:pPr>
              <w:pStyle w:val="Default"/>
              <w:numPr>
                <w:ilvl w:val="0"/>
                <w:numId w:val="1"/>
              </w:numPr>
              <w:rPr>
                <w:rFonts w:ascii="Arial" w:hAnsi="Arial" w:cs="Arial"/>
                <w:i/>
                <w:iCs/>
                <w:sz w:val="20"/>
                <w:szCs w:val="20"/>
              </w:rPr>
            </w:pPr>
            <w:r w:rsidRPr="00861E4A">
              <w:rPr>
                <w:rFonts w:ascii="Arial" w:hAnsi="Arial" w:cs="Arial"/>
                <w:sz w:val="20"/>
                <w:szCs w:val="20"/>
              </w:rPr>
              <w:t>Whether</w:t>
            </w:r>
            <w:r w:rsidR="009F04CC">
              <w:rPr>
                <w:rFonts w:ascii="Arial" w:hAnsi="Arial" w:cs="Arial"/>
                <w:sz w:val="20"/>
                <w:szCs w:val="20"/>
              </w:rPr>
              <w:t xml:space="preserve"> </w:t>
            </w:r>
            <w:r w:rsidR="00E57D59" w:rsidRPr="009F04CC">
              <w:rPr>
                <w:rFonts w:ascii="Arial" w:hAnsi="Arial" w:cs="Arial"/>
                <w:sz w:val="20"/>
                <w:szCs w:val="20"/>
              </w:rPr>
              <w:t xml:space="preserve">the state legislative redistricting plans proposed by the Legislature and imposed by </w:t>
            </w:r>
            <w:r w:rsidR="00EA7B88">
              <w:rPr>
                <w:rFonts w:ascii="Arial" w:hAnsi="Arial" w:cs="Arial"/>
                <w:sz w:val="20"/>
                <w:szCs w:val="20"/>
              </w:rPr>
              <w:t xml:space="preserve">the </w:t>
            </w:r>
            <w:r w:rsidR="00BB5538">
              <w:rPr>
                <w:rFonts w:ascii="Arial" w:hAnsi="Arial" w:cs="Arial"/>
                <w:sz w:val="20"/>
                <w:szCs w:val="20"/>
              </w:rPr>
              <w:t>Wisconsin Supreme Court</w:t>
            </w:r>
            <w:r w:rsidR="00E57D59" w:rsidRPr="009F04CC">
              <w:rPr>
                <w:rFonts w:ascii="Arial" w:hAnsi="Arial" w:cs="Arial"/>
                <w:sz w:val="20"/>
                <w:szCs w:val="20"/>
              </w:rPr>
              <w:t xml:space="preserve"> in </w:t>
            </w:r>
            <w:r w:rsidR="00E57D59" w:rsidRPr="00097D4B">
              <w:rPr>
                <w:rFonts w:ascii="Arial" w:hAnsi="Arial" w:cs="Arial"/>
                <w:i/>
                <w:iCs/>
                <w:sz w:val="20"/>
                <w:szCs w:val="20"/>
              </w:rPr>
              <w:t>Johnson v</w:t>
            </w:r>
            <w:r w:rsidR="00E57D59" w:rsidRPr="009F04CC">
              <w:rPr>
                <w:rFonts w:ascii="Arial" w:hAnsi="Arial" w:cs="Arial"/>
                <w:i/>
                <w:iCs/>
                <w:sz w:val="20"/>
                <w:szCs w:val="20"/>
              </w:rPr>
              <w:t xml:space="preserve">. Wisconsin Elections </w:t>
            </w:r>
            <w:r w:rsidR="00B20949">
              <w:rPr>
                <w:rFonts w:ascii="Arial" w:hAnsi="Arial" w:cs="Arial"/>
                <w:i/>
                <w:iCs/>
                <w:sz w:val="20"/>
                <w:szCs w:val="20"/>
              </w:rPr>
              <w:t>Comm’n</w:t>
            </w:r>
            <w:r w:rsidR="00E57D59" w:rsidRPr="009F04CC">
              <w:rPr>
                <w:rFonts w:ascii="Arial" w:hAnsi="Arial" w:cs="Arial"/>
                <w:sz w:val="20"/>
                <w:szCs w:val="20"/>
              </w:rPr>
              <w:t>, 972 N.W.2d 559 (“</w:t>
            </w:r>
            <w:r w:rsidR="00E57D59" w:rsidRPr="001618C3">
              <w:rPr>
                <w:rFonts w:ascii="Arial" w:hAnsi="Arial" w:cs="Arial"/>
                <w:i/>
                <w:iCs/>
                <w:sz w:val="20"/>
                <w:szCs w:val="20"/>
              </w:rPr>
              <w:t>Johnson III</w:t>
            </w:r>
            <w:r w:rsidR="00E57D59" w:rsidRPr="009F04CC">
              <w:rPr>
                <w:rFonts w:ascii="Arial" w:hAnsi="Arial" w:cs="Arial"/>
                <w:sz w:val="20"/>
                <w:szCs w:val="20"/>
              </w:rPr>
              <w:t>”)</w:t>
            </w:r>
            <w:r w:rsidR="007B3BD2">
              <w:rPr>
                <w:rFonts w:ascii="Arial" w:hAnsi="Arial" w:cs="Arial"/>
                <w:sz w:val="20"/>
                <w:szCs w:val="20"/>
              </w:rPr>
              <w:t>:</w:t>
            </w:r>
          </w:p>
          <w:p w14:paraId="54E2720C" w14:textId="6706FC3B" w:rsidR="009F04CC" w:rsidRPr="009F04CC" w:rsidRDefault="00787386" w:rsidP="00787386">
            <w:pPr>
              <w:pStyle w:val="Default"/>
              <w:numPr>
                <w:ilvl w:val="1"/>
                <w:numId w:val="1"/>
              </w:numPr>
              <w:rPr>
                <w:rFonts w:ascii="Arial" w:hAnsi="Arial" w:cs="Arial"/>
                <w:i/>
                <w:iCs/>
                <w:sz w:val="20"/>
                <w:szCs w:val="20"/>
              </w:rPr>
            </w:pPr>
            <w:r>
              <w:rPr>
                <w:rFonts w:ascii="Arial" w:hAnsi="Arial" w:cs="Arial"/>
                <w:sz w:val="20"/>
                <w:szCs w:val="20"/>
              </w:rPr>
              <w:t>(</w:t>
            </w:r>
            <w:r w:rsidR="00CD7A15">
              <w:rPr>
                <w:rFonts w:ascii="Arial" w:hAnsi="Arial" w:cs="Arial"/>
                <w:sz w:val="20"/>
                <w:szCs w:val="20"/>
              </w:rPr>
              <w:t>1</w:t>
            </w:r>
            <w:r>
              <w:rPr>
                <w:rFonts w:ascii="Arial" w:hAnsi="Arial" w:cs="Arial"/>
                <w:sz w:val="20"/>
                <w:szCs w:val="20"/>
              </w:rPr>
              <w:t xml:space="preserve">) </w:t>
            </w:r>
            <w:r w:rsidR="007B3BD2">
              <w:rPr>
                <w:rFonts w:ascii="Arial" w:hAnsi="Arial" w:cs="Arial"/>
                <w:sz w:val="20"/>
                <w:szCs w:val="20"/>
              </w:rPr>
              <w:t>A</w:t>
            </w:r>
            <w:r w:rsidR="00E57D59" w:rsidRPr="009F04CC">
              <w:rPr>
                <w:rFonts w:ascii="Arial" w:hAnsi="Arial" w:cs="Arial"/>
                <w:sz w:val="20"/>
                <w:szCs w:val="20"/>
              </w:rPr>
              <w:t>re extreme partisan gerrymanders that</w:t>
            </w:r>
            <w:r w:rsidR="009F04CC">
              <w:rPr>
                <w:rFonts w:ascii="Arial" w:hAnsi="Arial" w:cs="Arial"/>
                <w:sz w:val="20"/>
                <w:szCs w:val="20"/>
              </w:rPr>
              <w:t>:</w:t>
            </w:r>
          </w:p>
          <w:p w14:paraId="5B57B2D4" w14:textId="6013AFB0" w:rsidR="009F04CC" w:rsidRDefault="009F04CC" w:rsidP="00787386">
            <w:pPr>
              <w:pStyle w:val="Default"/>
              <w:numPr>
                <w:ilvl w:val="2"/>
                <w:numId w:val="1"/>
              </w:numPr>
              <w:rPr>
                <w:rFonts w:ascii="Arial" w:hAnsi="Arial" w:cs="Arial"/>
                <w:i/>
                <w:iCs/>
                <w:sz w:val="20"/>
                <w:szCs w:val="20"/>
              </w:rPr>
            </w:pPr>
            <w:r>
              <w:rPr>
                <w:rFonts w:ascii="Arial" w:hAnsi="Arial" w:cs="Arial"/>
                <w:sz w:val="20"/>
                <w:szCs w:val="20"/>
              </w:rPr>
              <w:t>(</w:t>
            </w:r>
            <w:r w:rsidR="00CD7A15">
              <w:rPr>
                <w:rFonts w:ascii="Arial" w:hAnsi="Arial" w:cs="Arial"/>
                <w:sz w:val="20"/>
                <w:szCs w:val="20"/>
              </w:rPr>
              <w:t>a</w:t>
            </w:r>
            <w:r>
              <w:rPr>
                <w:rFonts w:ascii="Arial" w:hAnsi="Arial" w:cs="Arial"/>
                <w:sz w:val="20"/>
                <w:szCs w:val="20"/>
              </w:rPr>
              <w:t xml:space="preserve">) </w:t>
            </w:r>
            <w:r w:rsidR="00E57D59" w:rsidRPr="009F04CC">
              <w:rPr>
                <w:rFonts w:ascii="Arial" w:hAnsi="Arial" w:cs="Arial"/>
                <w:sz w:val="20"/>
                <w:szCs w:val="20"/>
              </w:rPr>
              <w:t xml:space="preserve">violate Article I, </w:t>
            </w:r>
            <w:r w:rsidR="0014230D">
              <w:rPr>
                <w:rFonts w:ascii="Arial" w:hAnsi="Arial" w:cs="Arial"/>
                <w:sz w:val="20"/>
                <w:szCs w:val="20"/>
              </w:rPr>
              <w:t>§</w:t>
            </w:r>
            <w:r w:rsidR="00E57D59" w:rsidRPr="009F04CC">
              <w:rPr>
                <w:rFonts w:ascii="Arial" w:hAnsi="Arial" w:cs="Arial"/>
                <w:sz w:val="20"/>
                <w:szCs w:val="20"/>
              </w:rPr>
              <w:t xml:space="preserve"> 1 of the Wisconsin Constitution’s guarantee of equal protection under law; </w:t>
            </w:r>
          </w:p>
          <w:p w14:paraId="2AE199AD" w14:textId="549E9188" w:rsidR="009F04CC" w:rsidRDefault="0089084A" w:rsidP="00787386">
            <w:pPr>
              <w:pStyle w:val="Default"/>
              <w:numPr>
                <w:ilvl w:val="2"/>
                <w:numId w:val="1"/>
              </w:numPr>
              <w:rPr>
                <w:rFonts w:ascii="Arial" w:hAnsi="Arial" w:cs="Arial"/>
                <w:sz w:val="20"/>
                <w:szCs w:val="20"/>
              </w:rPr>
            </w:pPr>
            <w:r w:rsidRPr="009F04CC">
              <w:rPr>
                <w:rFonts w:ascii="Arial" w:hAnsi="Arial" w:cs="Arial"/>
                <w:sz w:val="20"/>
                <w:szCs w:val="20"/>
              </w:rPr>
              <w:t>(</w:t>
            </w:r>
            <w:r w:rsidR="00CD7A15">
              <w:rPr>
                <w:rFonts w:ascii="Arial" w:hAnsi="Arial" w:cs="Arial"/>
                <w:sz w:val="20"/>
                <w:szCs w:val="20"/>
              </w:rPr>
              <w:t>b</w:t>
            </w:r>
            <w:r w:rsidRPr="009F04CC">
              <w:rPr>
                <w:rFonts w:ascii="Arial" w:hAnsi="Arial" w:cs="Arial"/>
                <w:sz w:val="20"/>
                <w:szCs w:val="20"/>
              </w:rPr>
              <w:t xml:space="preserve">) </w:t>
            </w:r>
            <w:r w:rsidR="007610C4" w:rsidRPr="009F04CC">
              <w:rPr>
                <w:rFonts w:ascii="Arial" w:hAnsi="Arial" w:cs="Arial"/>
                <w:sz w:val="20"/>
                <w:szCs w:val="20"/>
              </w:rPr>
              <w:t xml:space="preserve">retaliate against voters based on their viewpoint and exercise of free speech and abridge the ability of voters with disfavored political views to associate with others to advance their political beliefs in violation of Article I, </w:t>
            </w:r>
            <w:r w:rsidR="0014230D">
              <w:rPr>
                <w:rFonts w:ascii="Arial" w:hAnsi="Arial" w:cs="Arial"/>
                <w:sz w:val="20"/>
                <w:szCs w:val="20"/>
              </w:rPr>
              <w:t>§§</w:t>
            </w:r>
            <w:r w:rsidR="007610C4" w:rsidRPr="009F04CC">
              <w:rPr>
                <w:rFonts w:ascii="Arial" w:hAnsi="Arial" w:cs="Arial"/>
                <w:sz w:val="20"/>
                <w:szCs w:val="20"/>
              </w:rPr>
              <w:t xml:space="preserve"> 3 and 4 of the Wisconsin Constitution;</w:t>
            </w:r>
          </w:p>
          <w:p w14:paraId="716EA5C5" w14:textId="178592E5" w:rsidR="00034B98" w:rsidRDefault="00034B98" w:rsidP="00787386">
            <w:pPr>
              <w:pStyle w:val="Default"/>
              <w:numPr>
                <w:ilvl w:val="2"/>
                <w:numId w:val="1"/>
              </w:numPr>
              <w:rPr>
                <w:rFonts w:ascii="Arial" w:hAnsi="Arial" w:cs="Arial"/>
                <w:sz w:val="20"/>
                <w:szCs w:val="20"/>
              </w:rPr>
            </w:pPr>
            <w:r w:rsidRPr="009F04CC">
              <w:rPr>
                <w:rFonts w:ascii="Arial" w:hAnsi="Arial" w:cs="Arial"/>
                <w:sz w:val="20"/>
                <w:szCs w:val="20"/>
              </w:rPr>
              <w:t>(</w:t>
            </w:r>
            <w:r w:rsidR="00CD7A15">
              <w:rPr>
                <w:rFonts w:ascii="Arial" w:hAnsi="Arial" w:cs="Arial"/>
                <w:sz w:val="20"/>
                <w:szCs w:val="20"/>
              </w:rPr>
              <w:t>c</w:t>
            </w:r>
            <w:r w:rsidRPr="009F04CC">
              <w:rPr>
                <w:rFonts w:ascii="Arial" w:hAnsi="Arial" w:cs="Arial"/>
                <w:sz w:val="20"/>
                <w:szCs w:val="20"/>
              </w:rPr>
              <w:t>)</w:t>
            </w:r>
            <w:r w:rsidR="009F04CC">
              <w:t xml:space="preserve"> </w:t>
            </w:r>
            <w:r w:rsidR="00F91089" w:rsidRPr="009F04CC">
              <w:rPr>
                <w:rFonts w:ascii="Arial" w:hAnsi="Arial" w:cs="Arial"/>
                <w:sz w:val="20"/>
                <w:szCs w:val="20"/>
              </w:rPr>
              <w:t xml:space="preserve">fail to “adhere[] to justice, moderation, temperance, frugality, and virtue, ... [and] fundamental principles” in violation of Article I, </w:t>
            </w:r>
            <w:r w:rsidR="0014230D">
              <w:rPr>
                <w:rFonts w:ascii="Arial" w:hAnsi="Arial" w:cs="Arial"/>
                <w:sz w:val="20"/>
                <w:szCs w:val="20"/>
              </w:rPr>
              <w:t>§</w:t>
            </w:r>
            <w:r w:rsidR="00F91089" w:rsidRPr="009F04CC">
              <w:rPr>
                <w:rFonts w:ascii="Arial" w:hAnsi="Arial" w:cs="Arial"/>
                <w:sz w:val="20"/>
                <w:szCs w:val="20"/>
              </w:rPr>
              <w:t xml:space="preserve"> 22 of the Wisconsin Constitution; and </w:t>
            </w:r>
          </w:p>
          <w:p w14:paraId="44EE7C6D" w14:textId="7BA9C76D" w:rsidR="007F1FE6" w:rsidRDefault="007F1FE6" w:rsidP="00667452">
            <w:pPr>
              <w:pStyle w:val="Default"/>
              <w:numPr>
                <w:ilvl w:val="2"/>
                <w:numId w:val="1"/>
              </w:numPr>
              <w:rPr>
                <w:rFonts w:ascii="Arial" w:hAnsi="Arial" w:cs="Arial"/>
                <w:sz w:val="20"/>
                <w:szCs w:val="20"/>
              </w:rPr>
            </w:pPr>
            <w:r>
              <w:rPr>
                <w:rFonts w:ascii="Arial" w:hAnsi="Arial" w:cs="Arial"/>
                <w:sz w:val="20"/>
                <w:szCs w:val="20"/>
              </w:rPr>
              <w:t>(</w:t>
            </w:r>
            <w:r w:rsidR="00CD7A15">
              <w:rPr>
                <w:rFonts w:ascii="Arial" w:hAnsi="Arial" w:cs="Arial"/>
                <w:sz w:val="20"/>
                <w:szCs w:val="20"/>
              </w:rPr>
              <w:t>d</w:t>
            </w:r>
            <w:r>
              <w:rPr>
                <w:rFonts w:ascii="Arial" w:hAnsi="Arial" w:cs="Arial"/>
                <w:sz w:val="20"/>
                <w:szCs w:val="20"/>
              </w:rPr>
              <w:t xml:space="preserve">) </w:t>
            </w:r>
            <w:r w:rsidR="00787386">
              <w:rPr>
                <w:rFonts w:ascii="Arial" w:hAnsi="Arial" w:cs="Arial"/>
                <w:sz w:val="20"/>
                <w:szCs w:val="20"/>
              </w:rPr>
              <w:t>are</w:t>
            </w:r>
            <w:r w:rsidRPr="00E57D59">
              <w:rPr>
                <w:rFonts w:ascii="Arial" w:hAnsi="Arial" w:cs="Arial"/>
                <w:sz w:val="20"/>
                <w:szCs w:val="20"/>
              </w:rPr>
              <w:t xml:space="preserve"> justiciable in Wisconsin courts</w:t>
            </w:r>
            <w:r w:rsidR="00683A58">
              <w:rPr>
                <w:rFonts w:ascii="Arial" w:hAnsi="Arial" w:cs="Arial"/>
                <w:sz w:val="20"/>
                <w:szCs w:val="20"/>
              </w:rPr>
              <w:t>.</w:t>
            </w:r>
          </w:p>
          <w:p w14:paraId="53C0AACC" w14:textId="28EE37BC" w:rsidR="009F04CC" w:rsidRDefault="009F04CC" w:rsidP="00667452">
            <w:pPr>
              <w:pStyle w:val="Default"/>
              <w:numPr>
                <w:ilvl w:val="1"/>
                <w:numId w:val="1"/>
              </w:numPr>
              <w:rPr>
                <w:rFonts w:ascii="Arial" w:hAnsi="Arial" w:cs="Arial"/>
                <w:sz w:val="20"/>
                <w:szCs w:val="20"/>
              </w:rPr>
            </w:pPr>
            <w:r>
              <w:rPr>
                <w:rFonts w:ascii="Arial" w:hAnsi="Arial" w:cs="Arial"/>
                <w:sz w:val="20"/>
                <w:szCs w:val="20"/>
              </w:rPr>
              <w:t>(</w:t>
            </w:r>
            <w:r w:rsidR="007F1FE6">
              <w:rPr>
                <w:rFonts w:ascii="Arial" w:hAnsi="Arial" w:cs="Arial"/>
                <w:sz w:val="20"/>
                <w:szCs w:val="20"/>
              </w:rPr>
              <w:t>2</w:t>
            </w:r>
            <w:r>
              <w:rPr>
                <w:rFonts w:ascii="Arial" w:hAnsi="Arial" w:cs="Arial"/>
                <w:sz w:val="20"/>
                <w:szCs w:val="20"/>
              </w:rPr>
              <w:t xml:space="preserve">) </w:t>
            </w:r>
            <w:r w:rsidR="007B3BD2">
              <w:rPr>
                <w:rFonts w:ascii="Arial" w:hAnsi="Arial" w:cs="Arial"/>
                <w:sz w:val="20"/>
                <w:szCs w:val="20"/>
              </w:rPr>
              <w:t>V</w:t>
            </w:r>
            <w:r w:rsidR="00543CD8" w:rsidRPr="00543CD8">
              <w:rPr>
                <w:rFonts w:ascii="Arial" w:hAnsi="Arial" w:cs="Arial"/>
                <w:sz w:val="20"/>
                <w:szCs w:val="20"/>
              </w:rPr>
              <w:t>iolate the requirement of</w:t>
            </w:r>
            <w:r w:rsidR="00543CD8">
              <w:rPr>
                <w:rFonts w:ascii="Arial" w:hAnsi="Arial" w:cs="Arial"/>
                <w:sz w:val="20"/>
                <w:szCs w:val="20"/>
              </w:rPr>
              <w:t xml:space="preserve"> </w:t>
            </w:r>
            <w:r w:rsidR="00543CD8" w:rsidRPr="00543CD8">
              <w:rPr>
                <w:rFonts w:ascii="Arial" w:hAnsi="Arial" w:cs="Arial"/>
                <w:sz w:val="20"/>
                <w:szCs w:val="20"/>
              </w:rPr>
              <w:t xml:space="preserve">Article IV, </w:t>
            </w:r>
            <w:r w:rsidR="0014230D">
              <w:rPr>
                <w:rFonts w:ascii="Arial" w:hAnsi="Arial" w:cs="Arial"/>
                <w:sz w:val="20"/>
                <w:szCs w:val="20"/>
              </w:rPr>
              <w:t>§§</w:t>
            </w:r>
            <w:r w:rsidR="00543CD8" w:rsidRPr="00543CD8">
              <w:rPr>
                <w:rFonts w:ascii="Arial" w:hAnsi="Arial" w:cs="Arial"/>
                <w:sz w:val="20"/>
                <w:szCs w:val="20"/>
              </w:rPr>
              <w:t xml:space="preserve"> 4 and 5 of the Wisconsin Constitution that legislators be elected</w:t>
            </w:r>
            <w:r w:rsidR="00543CD8">
              <w:rPr>
                <w:rFonts w:ascii="Arial" w:hAnsi="Arial" w:cs="Arial"/>
                <w:sz w:val="20"/>
                <w:szCs w:val="20"/>
              </w:rPr>
              <w:t xml:space="preserve"> </w:t>
            </w:r>
            <w:r w:rsidR="00543CD8" w:rsidRPr="00543CD8">
              <w:rPr>
                <w:rFonts w:ascii="Arial" w:hAnsi="Arial" w:cs="Arial"/>
                <w:sz w:val="20"/>
                <w:szCs w:val="20"/>
              </w:rPr>
              <w:t>from districts consisting of “contiguous territory.”</w:t>
            </w:r>
          </w:p>
          <w:p w14:paraId="463770C7" w14:textId="0C4CCC2F" w:rsidR="009F04CC" w:rsidRPr="0079722E" w:rsidRDefault="007F1FE6" w:rsidP="00147D58">
            <w:pPr>
              <w:pStyle w:val="Default"/>
              <w:numPr>
                <w:ilvl w:val="1"/>
                <w:numId w:val="1"/>
              </w:numPr>
              <w:rPr>
                <w:rFonts w:ascii="Arial" w:hAnsi="Arial" w:cs="Arial"/>
                <w:sz w:val="20"/>
                <w:szCs w:val="20"/>
              </w:rPr>
            </w:pPr>
            <w:r>
              <w:rPr>
                <w:rFonts w:ascii="Arial" w:hAnsi="Arial" w:cs="Arial"/>
                <w:sz w:val="20"/>
                <w:szCs w:val="20"/>
              </w:rPr>
              <w:t xml:space="preserve">(3) </w:t>
            </w:r>
            <w:r w:rsidR="007B3BD2">
              <w:rPr>
                <w:rFonts w:ascii="Arial" w:hAnsi="Arial" w:cs="Arial"/>
                <w:sz w:val="20"/>
                <w:szCs w:val="20"/>
              </w:rPr>
              <w:t>V</w:t>
            </w:r>
            <w:r w:rsidRPr="00667452">
              <w:rPr>
                <w:rFonts w:ascii="Arial" w:hAnsi="Arial" w:cs="Arial"/>
                <w:sz w:val="20"/>
                <w:szCs w:val="20"/>
              </w:rPr>
              <w:t>iolate the separation-of</w:t>
            </w:r>
            <w:r w:rsidR="00667452">
              <w:rPr>
                <w:rFonts w:ascii="Arial" w:hAnsi="Arial" w:cs="Arial"/>
                <w:sz w:val="20"/>
                <w:szCs w:val="20"/>
              </w:rPr>
              <w:t xml:space="preserve"> </w:t>
            </w:r>
            <w:r w:rsidRPr="00667452">
              <w:rPr>
                <w:rFonts w:ascii="Arial" w:hAnsi="Arial" w:cs="Arial"/>
                <w:sz w:val="20"/>
                <w:szCs w:val="20"/>
              </w:rPr>
              <w:t>powers</w:t>
            </w:r>
            <w:r w:rsidR="00667452">
              <w:rPr>
                <w:rFonts w:ascii="Arial" w:hAnsi="Arial" w:cs="Arial"/>
                <w:sz w:val="20"/>
                <w:szCs w:val="20"/>
              </w:rPr>
              <w:t xml:space="preserve"> </w:t>
            </w:r>
            <w:r w:rsidRPr="00667452">
              <w:rPr>
                <w:rFonts w:ascii="Arial" w:hAnsi="Arial" w:cs="Arial"/>
                <w:sz w:val="20"/>
                <w:szCs w:val="20"/>
              </w:rPr>
              <w:t>principle inherent in the Constitution’s division of legislative, executive, and</w:t>
            </w:r>
            <w:r w:rsidR="00667452">
              <w:rPr>
                <w:rFonts w:ascii="Arial" w:hAnsi="Arial" w:cs="Arial"/>
                <w:sz w:val="20"/>
                <w:szCs w:val="20"/>
              </w:rPr>
              <w:t xml:space="preserve"> </w:t>
            </w:r>
            <w:r w:rsidRPr="00667452">
              <w:rPr>
                <w:rFonts w:ascii="Arial" w:hAnsi="Arial" w:cs="Arial"/>
                <w:sz w:val="20"/>
                <w:szCs w:val="20"/>
              </w:rPr>
              <w:t>judicial power by usurping the Governor’s core constitutional power to veto</w:t>
            </w:r>
            <w:r w:rsidR="00667452">
              <w:rPr>
                <w:rFonts w:ascii="Arial" w:hAnsi="Arial" w:cs="Arial"/>
                <w:sz w:val="20"/>
                <w:szCs w:val="20"/>
              </w:rPr>
              <w:t xml:space="preserve"> </w:t>
            </w:r>
            <w:r w:rsidRPr="00667452">
              <w:rPr>
                <w:rFonts w:ascii="Arial" w:hAnsi="Arial" w:cs="Arial"/>
                <w:sz w:val="20"/>
                <w:szCs w:val="20"/>
              </w:rPr>
              <w:t>legislation and the Legislature’s core constitutional power to override such a veto.</w:t>
            </w:r>
          </w:p>
          <w:p w14:paraId="752E9030" w14:textId="581FC331" w:rsidR="000628B3" w:rsidRPr="0089084A" w:rsidRDefault="000628B3" w:rsidP="000628B3">
            <w:pPr>
              <w:pStyle w:val="Default"/>
              <w:rPr>
                <w:rFonts w:ascii="Arial" w:hAnsi="Arial" w:cs="Arial"/>
                <w:sz w:val="20"/>
                <w:szCs w:val="20"/>
              </w:rPr>
            </w:pPr>
          </w:p>
        </w:tc>
      </w:tr>
      <w:tr w:rsidR="00ED671F" w:rsidRPr="008D467C" w14:paraId="36271834" w14:textId="77777777" w:rsidTr="00A10326">
        <w:trPr>
          <w:trHeight w:val="2070"/>
        </w:trPr>
        <w:tc>
          <w:tcPr>
            <w:tcW w:w="1998" w:type="dxa"/>
            <w:tcBorders>
              <w:left w:val="nil"/>
            </w:tcBorders>
          </w:tcPr>
          <w:p w14:paraId="416F9009"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lastRenderedPageBreak/>
              <w:t xml:space="preserve">The Rule(s) </w:t>
            </w:r>
          </w:p>
        </w:tc>
        <w:tc>
          <w:tcPr>
            <w:tcW w:w="7470" w:type="dxa"/>
            <w:tcBorders>
              <w:right w:val="nil"/>
            </w:tcBorders>
          </w:tcPr>
          <w:p w14:paraId="7082064C" w14:textId="696838BF" w:rsidR="00D83EE8" w:rsidRDefault="00E2103D" w:rsidP="009F79E8">
            <w:pPr>
              <w:pStyle w:val="Default"/>
              <w:numPr>
                <w:ilvl w:val="0"/>
                <w:numId w:val="1"/>
              </w:numPr>
              <w:rPr>
                <w:rFonts w:ascii="Arial" w:hAnsi="Arial" w:cs="Arial"/>
                <w:sz w:val="20"/>
                <w:szCs w:val="20"/>
              </w:rPr>
            </w:pPr>
            <w:r w:rsidRPr="00E2103D">
              <w:rPr>
                <w:rFonts w:ascii="Arial" w:hAnsi="Arial" w:cs="Arial"/>
                <w:smallCaps/>
                <w:sz w:val="20"/>
                <w:szCs w:val="20"/>
              </w:rPr>
              <w:t>Wis. Const.</w:t>
            </w:r>
            <w:r>
              <w:rPr>
                <w:rFonts w:ascii="Arial" w:hAnsi="Arial" w:cs="Arial"/>
                <w:sz w:val="20"/>
                <w:szCs w:val="20"/>
              </w:rPr>
              <w:t xml:space="preserve"> a</w:t>
            </w:r>
            <w:r w:rsidR="00225D6E">
              <w:rPr>
                <w:rFonts w:ascii="Arial" w:hAnsi="Arial" w:cs="Arial"/>
                <w:sz w:val="20"/>
                <w:szCs w:val="20"/>
              </w:rPr>
              <w:t>rt.</w:t>
            </w:r>
            <w:r w:rsidR="00E57D59" w:rsidRPr="00E57D59">
              <w:rPr>
                <w:rFonts w:ascii="Arial" w:hAnsi="Arial" w:cs="Arial"/>
                <w:sz w:val="20"/>
                <w:szCs w:val="20"/>
              </w:rPr>
              <w:t xml:space="preserve"> I, </w:t>
            </w:r>
            <w:r w:rsidR="00311971">
              <w:rPr>
                <w:rFonts w:ascii="Arial" w:hAnsi="Arial" w:cs="Arial"/>
                <w:sz w:val="20"/>
                <w:szCs w:val="20"/>
              </w:rPr>
              <w:t>§</w:t>
            </w:r>
            <w:r w:rsidR="00E57D59" w:rsidRPr="00E57D59">
              <w:rPr>
                <w:rFonts w:ascii="Arial" w:hAnsi="Arial" w:cs="Arial"/>
                <w:sz w:val="20"/>
                <w:szCs w:val="20"/>
              </w:rPr>
              <w:t xml:space="preserve"> 1 </w:t>
            </w:r>
            <w:r w:rsidR="00706ADE">
              <w:rPr>
                <w:rFonts w:ascii="Arial" w:hAnsi="Arial" w:cs="Arial"/>
                <w:sz w:val="20"/>
                <w:szCs w:val="20"/>
              </w:rPr>
              <w:t>(</w:t>
            </w:r>
            <w:r w:rsidR="00E57D59" w:rsidRPr="00A4466A">
              <w:rPr>
                <w:rFonts w:ascii="Arial" w:hAnsi="Arial" w:cs="Arial"/>
                <w:b/>
                <w:bCs/>
                <w:sz w:val="20"/>
                <w:szCs w:val="20"/>
              </w:rPr>
              <w:t>equal protection under law</w:t>
            </w:r>
            <w:r w:rsidR="00706ADE">
              <w:rPr>
                <w:rFonts w:ascii="Arial" w:hAnsi="Arial" w:cs="Arial"/>
                <w:sz w:val="20"/>
                <w:szCs w:val="20"/>
              </w:rPr>
              <w:t>)</w:t>
            </w:r>
            <w:r w:rsidR="00D77E60">
              <w:rPr>
                <w:rFonts w:ascii="Arial" w:hAnsi="Arial" w:cs="Arial"/>
                <w:sz w:val="20"/>
                <w:szCs w:val="20"/>
              </w:rPr>
              <w:t>.</w:t>
            </w:r>
          </w:p>
          <w:p w14:paraId="012284B6" w14:textId="5BAFA547" w:rsidR="00D77E60" w:rsidRPr="00CC771A" w:rsidRDefault="00CC771A" w:rsidP="00CC771A">
            <w:pPr>
              <w:pStyle w:val="Default"/>
              <w:numPr>
                <w:ilvl w:val="1"/>
                <w:numId w:val="1"/>
              </w:numPr>
              <w:rPr>
                <w:rFonts w:ascii="Arial" w:hAnsi="Arial" w:cs="Arial"/>
                <w:sz w:val="20"/>
                <w:szCs w:val="20"/>
              </w:rPr>
            </w:pPr>
            <w:r w:rsidRPr="00CC771A">
              <w:rPr>
                <w:rFonts w:ascii="Arial" w:hAnsi="Arial" w:cs="Arial"/>
                <w:sz w:val="20"/>
                <w:szCs w:val="20"/>
              </w:rPr>
              <w:t>“All people are born equally free and</w:t>
            </w:r>
            <w:r>
              <w:rPr>
                <w:rFonts w:ascii="Arial" w:hAnsi="Arial" w:cs="Arial"/>
                <w:sz w:val="20"/>
                <w:szCs w:val="20"/>
              </w:rPr>
              <w:t xml:space="preserve"> </w:t>
            </w:r>
            <w:r w:rsidRPr="00CC771A">
              <w:rPr>
                <w:rFonts w:ascii="Arial" w:hAnsi="Arial" w:cs="Arial"/>
                <w:sz w:val="20"/>
                <w:szCs w:val="20"/>
              </w:rPr>
              <w:t>independent, and have certain inherent rights; among these are life, liberty and the</w:t>
            </w:r>
            <w:r>
              <w:rPr>
                <w:rFonts w:ascii="Arial" w:hAnsi="Arial" w:cs="Arial"/>
                <w:sz w:val="20"/>
                <w:szCs w:val="20"/>
              </w:rPr>
              <w:t xml:space="preserve"> </w:t>
            </w:r>
            <w:r w:rsidRPr="00CC771A">
              <w:rPr>
                <w:rFonts w:ascii="Arial" w:hAnsi="Arial" w:cs="Arial"/>
                <w:sz w:val="20"/>
                <w:szCs w:val="20"/>
              </w:rPr>
              <w:t>pursuit of happiness; to secure these rights, governments are instituted, deriving</w:t>
            </w:r>
            <w:r>
              <w:rPr>
                <w:rFonts w:ascii="Arial" w:hAnsi="Arial" w:cs="Arial"/>
                <w:sz w:val="20"/>
                <w:szCs w:val="20"/>
              </w:rPr>
              <w:t xml:space="preserve"> </w:t>
            </w:r>
            <w:r w:rsidRPr="00CC771A">
              <w:rPr>
                <w:rFonts w:ascii="Arial" w:hAnsi="Arial" w:cs="Arial"/>
                <w:sz w:val="20"/>
                <w:szCs w:val="20"/>
              </w:rPr>
              <w:t>their just powers from the consent of the governed.”</w:t>
            </w:r>
          </w:p>
          <w:p w14:paraId="6CBB7189" w14:textId="447BF3C2" w:rsidR="00D77E60" w:rsidRDefault="00E2103D" w:rsidP="009F79E8">
            <w:pPr>
              <w:pStyle w:val="Default"/>
              <w:numPr>
                <w:ilvl w:val="0"/>
                <w:numId w:val="1"/>
              </w:numPr>
              <w:rPr>
                <w:rFonts w:ascii="Arial" w:hAnsi="Arial" w:cs="Arial"/>
                <w:sz w:val="20"/>
                <w:szCs w:val="20"/>
              </w:rPr>
            </w:pPr>
            <w:r w:rsidRPr="00E2103D">
              <w:rPr>
                <w:rFonts w:ascii="Arial" w:hAnsi="Arial" w:cs="Arial"/>
                <w:smallCaps/>
                <w:sz w:val="20"/>
                <w:szCs w:val="20"/>
              </w:rPr>
              <w:t>Wis. Const.</w:t>
            </w:r>
            <w:r>
              <w:rPr>
                <w:rFonts w:ascii="Arial" w:hAnsi="Arial" w:cs="Arial"/>
                <w:sz w:val="20"/>
                <w:szCs w:val="20"/>
              </w:rPr>
              <w:t xml:space="preserve"> art.</w:t>
            </w:r>
            <w:r w:rsidRPr="00E57D59">
              <w:rPr>
                <w:rFonts w:ascii="Arial" w:hAnsi="Arial" w:cs="Arial"/>
                <w:sz w:val="20"/>
                <w:szCs w:val="20"/>
              </w:rPr>
              <w:t xml:space="preserve"> </w:t>
            </w:r>
            <w:r w:rsidR="00D77E60" w:rsidRPr="007610C4">
              <w:rPr>
                <w:rFonts w:ascii="Arial" w:hAnsi="Arial" w:cs="Arial"/>
                <w:sz w:val="20"/>
                <w:szCs w:val="20"/>
              </w:rPr>
              <w:t>I,</w:t>
            </w:r>
            <w:r w:rsidR="00D77E60">
              <w:rPr>
                <w:rFonts w:ascii="Arial" w:hAnsi="Arial" w:cs="Arial"/>
                <w:sz w:val="20"/>
                <w:szCs w:val="20"/>
              </w:rPr>
              <w:t xml:space="preserve"> </w:t>
            </w:r>
            <w:r w:rsidR="00311971">
              <w:rPr>
                <w:rFonts w:ascii="Arial" w:hAnsi="Arial" w:cs="Arial"/>
                <w:sz w:val="20"/>
                <w:szCs w:val="20"/>
              </w:rPr>
              <w:t>§</w:t>
            </w:r>
            <w:r w:rsidR="00D77E60" w:rsidRPr="007610C4">
              <w:rPr>
                <w:rFonts w:ascii="Arial" w:hAnsi="Arial" w:cs="Arial"/>
                <w:sz w:val="20"/>
                <w:szCs w:val="20"/>
              </w:rPr>
              <w:t xml:space="preserve"> 3 </w:t>
            </w:r>
            <w:r w:rsidR="006C5EEC">
              <w:rPr>
                <w:rFonts w:ascii="Arial" w:hAnsi="Arial" w:cs="Arial"/>
                <w:sz w:val="20"/>
                <w:szCs w:val="20"/>
              </w:rPr>
              <w:t>(</w:t>
            </w:r>
            <w:r w:rsidR="006C5EEC" w:rsidRPr="00A4466A">
              <w:rPr>
                <w:rFonts w:ascii="Arial" w:hAnsi="Arial" w:cs="Arial"/>
                <w:b/>
                <w:bCs/>
                <w:sz w:val="20"/>
                <w:szCs w:val="20"/>
              </w:rPr>
              <w:t xml:space="preserve">freedom of </w:t>
            </w:r>
            <w:r w:rsidR="009B6CC1" w:rsidRPr="00A4466A">
              <w:rPr>
                <w:rFonts w:ascii="Arial" w:hAnsi="Arial" w:cs="Arial"/>
                <w:b/>
                <w:bCs/>
                <w:sz w:val="20"/>
                <w:szCs w:val="20"/>
              </w:rPr>
              <w:t>speech</w:t>
            </w:r>
            <w:r w:rsidR="006C5EEC">
              <w:rPr>
                <w:rFonts w:ascii="Arial" w:hAnsi="Arial" w:cs="Arial"/>
                <w:sz w:val="20"/>
                <w:szCs w:val="20"/>
              </w:rPr>
              <w:t>)</w:t>
            </w:r>
            <w:r w:rsidR="00D77E60">
              <w:rPr>
                <w:rFonts w:ascii="Arial" w:hAnsi="Arial" w:cs="Arial"/>
                <w:sz w:val="20"/>
                <w:szCs w:val="20"/>
              </w:rPr>
              <w:t>.</w:t>
            </w:r>
          </w:p>
          <w:p w14:paraId="110BCD99" w14:textId="2C459FCB" w:rsidR="00D77E60" w:rsidRPr="00376691" w:rsidRDefault="006160FC" w:rsidP="00376691">
            <w:pPr>
              <w:pStyle w:val="Default"/>
              <w:numPr>
                <w:ilvl w:val="1"/>
                <w:numId w:val="1"/>
              </w:numPr>
              <w:rPr>
                <w:rFonts w:ascii="Arial" w:hAnsi="Arial" w:cs="Arial"/>
                <w:sz w:val="20"/>
                <w:szCs w:val="20"/>
              </w:rPr>
            </w:pPr>
            <w:r w:rsidRPr="006160FC">
              <w:rPr>
                <w:rFonts w:ascii="Arial" w:hAnsi="Arial" w:cs="Arial"/>
                <w:sz w:val="20"/>
                <w:szCs w:val="20"/>
              </w:rPr>
              <w:t>“Every person may freely speak, write and</w:t>
            </w:r>
            <w:r w:rsidR="00376691">
              <w:rPr>
                <w:rFonts w:ascii="Arial" w:hAnsi="Arial" w:cs="Arial"/>
                <w:sz w:val="20"/>
                <w:szCs w:val="20"/>
              </w:rPr>
              <w:t xml:space="preserve"> </w:t>
            </w:r>
            <w:r w:rsidRPr="00376691">
              <w:rPr>
                <w:rFonts w:ascii="Arial" w:hAnsi="Arial" w:cs="Arial"/>
                <w:sz w:val="20"/>
                <w:szCs w:val="20"/>
              </w:rPr>
              <w:t>publish his sentiments on all subjects….and no laws shall be passed to restrain or</w:t>
            </w:r>
            <w:r w:rsidR="00376691">
              <w:rPr>
                <w:rFonts w:ascii="Arial" w:hAnsi="Arial" w:cs="Arial"/>
                <w:sz w:val="20"/>
                <w:szCs w:val="20"/>
              </w:rPr>
              <w:t xml:space="preserve"> </w:t>
            </w:r>
            <w:r w:rsidRPr="00376691">
              <w:rPr>
                <w:rFonts w:ascii="Arial" w:hAnsi="Arial" w:cs="Arial"/>
                <w:sz w:val="20"/>
                <w:szCs w:val="20"/>
              </w:rPr>
              <w:t>abridge the liberty of speech or of the press.”</w:t>
            </w:r>
          </w:p>
          <w:p w14:paraId="646258E7" w14:textId="2E0BB754" w:rsidR="006160FC" w:rsidRDefault="006160FC" w:rsidP="006160FC">
            <w:pPr>
              <w:pStyle w:val="Default"/>
              <w:numPr>
                <w:ilvl w:val="0"/>
                <w:numId w:val="1"/>
              </w:numPr>
              <w:rPr>
                <w:rFonts w:ascii="Arial" w:hAnsi="Arial" w:cs="Arial"/>
                <w:sz w:val="20"/>
                <w:szCs w:val="20"/>
              </w:rPr>
            </w:pPr>
            <w:r w:rsidRPr="00E2103D">
              <w:rPr>
                <w:rFonts w:ascii="Arial" w:hAnsi="Arial" w:cs="Arial"/>
                <w:smallCaps/>
                <w:sz w:val="20"/>
                <w:szCs w:val="20"/>
              </w:rPr>
              <w:t>Wis. Const.</w:t>
            </w:r>
            <w:r>
              <w:rPr>
                <w:rFonts w:ascii="Arial" w:hAnsi="Arial" w:cs="Arial"/>
                <w:sz w:val="20"/>
                <w:szCs w:val="20"/>
              </w:rPr>
              <w:t xml:space="preserve"> art.</w:t>
            </w:r>
            <w:r w:rsidRPr="00E57D59">
              <w:rPr>
                <w:rFonts w:ascii="Arial" w:hAnsi="Arial" w:cs="Arial"/>
                <w:sz w:val="20"/>
                <w:szCs w:val="20"/>
              </w:rPr>
              <w:t xml:space="preserve"> </w:t>
            </w:r>
            <w:r w:rsidRPr="007610C4">
              <w:rPr>
                <w:rFonts w:ascii="Arial" w:hAnsi="Arial" w:cs="Arial"/>
                <w:sz w:val="20"/>
                <w:szCs w:val="20"/>
              </w:rPr>
              <w:t>I,</w:t>
            </w:r>
            <w:r>
              <w:rPr>
                <w:rFonts w:ascii="Arial" w:hAnsi="Arial" w:cs="Arial"/>
                <w:sz w:val="20"/>
                <w:szCs w:val="20"/>
              </w:rPr>
              <w:t xml:space="preserve"> §</w:t>
            </w:r>
            <w:r w:rsidRPr="007610C4">
              <w:rPr>
                <w:rFonts w:ascii="Arial" w:hAnsi="Arial" w:cs="Arial"/>
                <w:sz w:val="20"/>
                <w:szCs w:val="20"/>
              </w:rPr>
              <w:t xml:space="preserve"> 4</w:t>
            </w:r>
            <w:r w:rsidR="004952F7">
              <w:rPr>
                <w:rFonts w:ascii="Arial" w:hAnsi="Arial" w:cs="Arial"/>
                <w:sz w:val="20"/>
                <w:szCs w:val="20"/>
              </w:rPr>
              <w:t xml:space="preserve"> (</w:t>
            </w:r>
            <w:r w:rsidR="004952F7" w:rsidRPr="00A4466A">
              <w:rPr>
                <w:rFonts w:ascii="Arial" w:hAnsi="Arial" w:cs="Arial"/>
                <w:b/>
                <w:bCs/>
                <w:sz w:val="20"/>
                <w:szCs w:val="20"/>
              </w:rPr>
              <w:t xml:space="preserve">freedom of </w:t>
            </w:r>
            <w:r w:rsidR="009B6CC1" w:rsidRPr="00A4466A">
              <w:rPr>
                <w:rFonts w:ascii="Arial" w:hAnsi="Arial" w:cs="Arial"/>
                <w:b/>
                <w:bCs/>
                <w:sz w:val="20"/>
                <w:szCs w:val="20"/>
              </w:rPr>
              <w:t>association</w:t>
            </w:r>
            <w:r w:rsidR="004952F7">
              <w:rPr>
                <w:rFonts w:ascii="Arial" w:hAnsi="Arial" w:cs="Arial"/>
                <w:sz w:val="20"/>
                <w:szCs w:val="20"/>
              </w:rPr>
              <w:t>)</w:t>
            </w:r>
            <w:r>
              <w:rPr>
                <w:rFonts w:ascii="Arial" w:hAnsi="Arial" w:cs="Arial"/>
                <w:sz w:val="20"/>
                <w:szCs w:val="20"/>
              </w:rPr>
              <w:t>.</w:t>
            </w:r>
          </w:p>
          <w:p w14:paraId="31A00EBE" w14:textId="73D4CE9B" w:rsidR="006160FC" w:rsidRPr="004952F7" w:rsidRDefault="004952F7" w:rsidP="004952F7">
            <w:pPr>
              <w:pStyle w:val="Default"/>
              <w:numPr>
                <w:ilvl w:val="1"/>
                <w:numId w:val="1"/>
              </w:numPr>
              <w:rPr>
                <w:rFonts w:ascii="Arial" w:hAnsi="Arial" w:cs="Arial"/>
                <w:sz w:val="20"/>
                <w:szCs w:val="20"/>
              </w:rPr>
            </w:pPr>
            <w:r w:rsidRPr="004952F7">
              <w:rPr>
                <w:rFonts w:ascii="Arial" w:hAnsi="Arial" w:cs="Arial"/>
                <w:sz w:val="20"/>
                <w:szCs w:val="20"/>
              </w:rPr>
              <w:t>“The right of the people to peaceably</w:t>
            </w:r>
            <w:r>
              <w:rPr>
                <w:rFonts w:ascii="Arial" w:hAnsi="Arial" w:cs="Arial"/>
                <w:sz w:val="20"/>
                <w:szCs w:val="20"/>
              </w:rPr>
              <w:t xml:space="preserve"> </w:t>
            </w:r>
            <w:r w:rsidRPr="004952F7">
              <w:rPr>
                <w:rFonts w:ascii="Arial" w:hAnsi="Arial" w:cs="Arial"/>
                <w:sz w:val="20"/>
                <w:szCs w:val="20"/>
              </w:rPr>
              <w:t>assemble, to consult for the common good, and to petition the government, or any</w:t>
            </w:r>
            <w:r>
              <w:rPr>
                <w:rFonts w:ascii="Arial" w:hAnsi="Arial" w:cs="Arial"/>
                <w:sz w:val="20"/>
                <w:szCs w:val="20"/>
              </w:rPr>
              <w:t xml:space="preserve"> </w:t>
            </w:r>
            <w:r w:rsidRPr="004952F7">
              <w:rPr>
                <w:rFonts w:ascii="Arial" w:hAnsi="Arial" w:cs="Arial"/>
                <w:sz w:val="20"/>
                <w:szCs w:val="20"/>
              </w:rPr>
              <w:t>department thereof, shall never be abridged.”</w:t>
            </w:r>
          </w:p>
          <w:p w14:paraId="6680FA14" w14:textId="15B7D39E" w:rsidR="00C22A04" w:rsidRDefault="00E2103D" w:rsidP="00C22A04">
            <w:pPr>
              <w:pStyle w:val="Default"/>
              <w:numPr>
                <w:ilvl w:val="0"/>
                <w:numId w:val="1"/>
              </w:numPr>
              <w:rPr>
                <w:rFonts w:ascii="Arial" w:hAnsi="Arial" w:cs="Arial"/>
                <w:sz w:val="20"/>
                <w:szCs w:val="20"/>
              </w:rPr>
            </w:pPr>
            <w:r w:rsidRPr="00E2103D">
              <w:rPr>
                <w:rFonts w:ascii="Arial" w:hAnsi="Arial" w:cs="Arial"/>
                <w:smallCaps/>
                <w:sz w:val="20"/>
                <w:szCs w:val="20"/>
              </w:rPr>
              <w:t>Wis. Const.</w:t>
            </w:r>
            <w:r>
              <w:rPr>
                <w:rFonts w:ascii="Arial" w:hAnsi="Arial" w:cs="Arial"/>
                <w:sz w:val="20"/>
                <w:szCs w:val="20"/>
              </w:rPr>
              <w:t xml:space="preserve"> art.</w:t>
            </w:r>
            <w:r w:rsidRPr="00E57D59">
              <w:rPr>
                <w:rFonts w:ascii="Arial" w:hAnsi="Arial" w:cs="Arial"/>
                <w:sz w:val="20"/>
                <w:szCs w:val="20"/>
              </w:rPr>
              <w:t xml:space="preserve"> </w:t>
            </w:r>
            <w:r w:rsidR="00C22A04" w:rsidRPr="009F04CC">
              <w:rPr>
                <w:rFonts w:ascii="Arial" w:hAnsi="Arial" w:cs="Arial"/>
                <w:sz w:val="20"/>
                <w:szCs w:val="20"/>
              </w:rPr>
              <w:t xml:space="preserve">I, </w:t>
            </w:r>
            <w:r w:rsidR="00311971">
              <w:rPr>
                <w:rFonts w:ascii="Arial" w:hAnsi="Arial" w:cs="Arial"/>
                <w:sz w:val="20"/>
                <w:szCs w:val="20"/>
              </w:rPr>
              <w:t>§</w:t>
            </w:r>
            <w:r w:rsidR="00C22A04" w:rsidRPr="009F04CC">
              <w:rPr>
                <w:rFonts w:ascii="Arial" w:hAnsi="Arial" w:cs="Arial"/>
                <w:sz w:val="20"/>
                <w:szCs w:val="20"/>
              </w:rPr>
              <w:t xml:space="preserve"> 22</w:t>
            </w:r>
            <w:r w:rsidR="004176FF">
              <w:rPr>
                <w:rFonts w:ascii="Arial" w:hAnsi="Arial" w:cs="Arial"/>
                <w:sz w:val="20"/>
                <w:szCs w:val="20"/>
              </w:rPr>
              <w:t xml:space="preserve"> (</w:t>
            </w:r>
            <w:r w:rsidR="004176FF" w:rsidRPr="004176FF">
              <w:rPr>
                <w:rFonts w:ascii="Arial" w:hAnsi="Arial" w:cs="Arial"/>
                <w:b/>
                <w:bCs/>
                <w:sz w:val="20"/>
                <w:szCs w:val="20"/>
              </w:rPr>
              <w:t>equal treatment under the law</w:t>
            </w:r>
            <w:r w:rsidR="004176FF">
              <w:rPr>
                <w:rFonts w:ascii="Arial" w:hAnsi="Arial" w:cs="Arial"/>
                <w:sz w:val="20"/>
                <w:szCs w:val="20"/>
              </w:rPr>
              <w:t>).</w:t>
            </w:r>
          </w:p>
          <w:p w14:paraId="12C31FE1" w14:textId="725A31C1" w:rsidR="004176FF" w:rsidRPr="004176FF" w:rsidRDefault="004176FF" w:rsidP="004176FF">
            <w:pPr>
              <w:pStyle w:val="Default"/>
              <w:numPr>
                <w:ilvl w:val="1"/>
                <w:numId w:val="1"/>
              </w:numPr>
              <w:rPr>
                <w:rFonts w:ascii="Arial" w:hAnsi="Arial" w:cs="Arial"/>
                <w:sz w:val="20"/>
                <w:szCs w:val="20"/>
              </w:rPr>
            </w:pPr>
            <w:r>
              <w:rPr>
                <w:rFonts w:ascii="Arial" w:hAnsi="Arial" w:cs="Arial"/>
                <w:sz w:val="20"/>
                <w:szCs w:val="20"/>
              </w:rPr>
              <w:t>“</w:t>
            </w:r>
            <w:r w:rsidRPr="004176FF">
              <w:rPr>
                <w:rFonts w:ascii="Arial" w:hAnsi="Arial" w:cs="Arial"/>
                <w:sz w:val="20"/>
                <w:szCs w:val="20"/>
              </w:rPr>
              <w:t>The</w:t>
            </w:r>
            <w:r>
              <w:rPr>
                <w:rFonts w:ascii="Arial" w:hAnsi="Arial" w:cs="Arial"/>
                <w:sz w:val="20"/>
                <w:szCs w:val="20"/>
              </w:rPr>
              <w:t xml:space="preserve"> </w:t>
            </w:r>
            <w:r w:rsidRPr="004176FF">
              <w:rPr>
                <w:rFonts w:ascii="Arial" w:hAnsi="Arial" w:cs="Arial"/>
                <w:sz w:val="20"/>
                <w:szCs w:val="20"/>
              </w:rPr>
              <w:t>blessings of a free government can only be maintained by a firm</w:t>
            </w:r>
            <w:r>
              <w:rPr>
                <w:rFonts w:ascii="Arial" w:hAnsi="Arial" w:cs="Arial"/>
                <w:sz w:val="20"/>
                <w:szCs w:val="20"/>
              </w:rPr>
              <w:t xml:space="preserve"> </w:t>
            </w:r>
            <w:r w:rsidRPr="004176FF">
              <w:rPr>
                <w:rFonts w:ascii="Arial" w:hAnsi="Arial" w:cs="Arial"/>
                <w:sz w:val="20"/>
                <w:szCs w:val="20"/>
              </w:rPr>
              <w:t>adherence to justice, moderation, temperance, frugality and virtue, and by frequent recurrence to fundamental principles.”</w:t>
            </w:r>
          </w:p>
          <w:p w14:paraId="691C7680" w14:textId="483E22A0" w:rsidR="0021437E" w:rsidRPr="004176FF" w:rsidRDefault="004176FF" w:rsidP="004176FF">
            <w:pPr>
              <w:pStyle w:val="Default"/>
              <w:numPr>
                <w:ilvl w:val="1"/>
                <w:numId w:val="1"/>
              </w:numPr>
              <w:rPr>
                <w:rFonts w:ascii="Arial" w:hAnsi="Arial" w:cs="Arial"/>
                <w:sz w:val="20"/>
                <w:szCs w:val="20"/>
              </w:rPr>
            </w:pPr>
            <w:r>
              <w:rPr>
                <w:rFonts w:ascii="Arial" w:hAnsi="Arial" w:cs="Arial"/>
                <w:sz w:val="20"/>
                <w:szCs w:val="20"/>
              </w:rPr>
              <w:t>P</w:t>
            </w:r>
            <w:r w:rsidRPr="004176FF">
              <w:rPr>
                <w:rFonts w:ascii="Arial" w:hAnsi="Arial" w:cs="Arial"/>
                <w:sz w:val="20"/>
                <w:szCs w:val="20"/>
              </w:rPr>
              <w:t>rotects the right to equal treatment under the</w:t>
            </w:r>
            <w:r>
              <w:rPr>
                <w:rFonts w:ascii="Arial" w:hAnsi="Arial" w:cs="Arial"/>
                <w:sz w:val="20"/>
                <w:szCs w:val="20"/>
              </w:rPr>
              <w:t xml:space="preserve"> </w:t>
            </w:r>
            <w:r w:rsidRPr="004176FF">
              <w:rPr>
                <w:rFonts w:ascii="Arial" w:hAnsi="Arial" w:cs="Arial"/>
                <w:sz w:val="20"/>
                <w:szCs w:val="20"/>
              </w:rPr>
              <w:t>law, as well as extreme and unreasonable legislative action.</w:t>
            </w:r>
          </w:p>
          <w:p w14:paraId="5CABA519" w14:textId="3E875EFB" w:rsidR="009B1D07" w:rsidRDefault="00E2103D" w:rsidP="00C22A04">
            <w:pPr>
              <w:pStyle w:val="Default"/>
              <w:numPr>
                <w:ilvl w:val="0"/>
                <w:numId w:val="1"/>
              </w:numPr>
              <w:rPr>
                <w:rFonts w:ascii="Arial" w:hAnsi="Arial" w:cs="Arial"/>
                <w:sz w:val="20"/>
                <w:szCs w:val="20"/>
              </w:rPr>
            </w:pPr>
            <w:r w:rsidRPr="00E2103D">
              <w:rPr>
                <w:rFonts w:ascii="Arial" w:hAnsi="Arial" w:cs="Arial"/>
                <w:smallCaps/>
                <w:sz w:val="20"/>
                <w:szCs w:val="20"/>
              </w:rPr>
              <w:t>Wis. Const.</w:t>
            </w:r>
            <w:r>
              <w:rPr>
                <w:rFonts w:ascii="Arial" w:hAnsi="Arial" w:cs="Arial"/>
                <w:sz w:val="20"/>
                <w:szCs w:val="20"/>
              </w:rPr>
              <w:t xml:space="preserve"> art.</w:t>
            </w:r>
            <w:r w:rsidRPr="00E57D59">
              <w:rPr>
                <w:rFonts w:ascii="Arial" w:hAnsi="Arial" w:cs="Arial"/>
                <w:sz w:val="20"/>
                <w:szCs w:val="20"/>
              </w:rPr>
              <w:t xml:space="preserve"> </w:t>
            </w:r>
            <w:r w:rsidR="009B1D07" w:rsidRPr="00543CD8">
              <w:rPr>
                <w:rFonts w:ascii="Arial" w:hAnsi="Arial" w:cs="Arial"/>
                <w:sz w:val="20"/>
                <w:szCs w:val="20"/>
              </w:rPr>
              <w:t xml:space="preserve">IV, </w:t>
            </w:r>
            <w:r w:rsidR="00311971">
              <w:rPr>
                <w:rFonts w:ascii="Arial" w:hAnsi="Arial" w:cs="Arial"/>
                <w:sz w:val="20"/>
                <w:szCs w:val="20"/>
              </w:rPr>
              <w:t>§</w:t>
            </w:r>
            <w:r w:rsidR="009B1D07" w:rsidRPr="00543CD8">
              <w:rPr>
                <w:rFonts w:ascii="Arial" w:hAnsi="Arial" w:cs="Arial"/>
                <w:sz w:val="20"/>
                <w:szCs w:val="20"/>
              </w:rPr>
              <w:t xml:space="preserve"> 4 </w:t>
            </w:r>
            <w:r w:rsidR="00AC36D1">
              <w:rPr>
                <w:rFonts w:ascii="Arial" w:hAnsi="Arial" w:cs="Arial"/>
                <w:sz w:val="20"/>
                <w:szCs w:val="20"/>
              </w:rPr>
              <w:t>(</w:t>
            </w:r>
            <w:r w:rsidR="00932873" w:rsidRPr="00932873">
              <w:rPr>
                <w:rFonts w:ascii="Arial" w:hAnsi="Arial" w:cs="Arial"/>
                <w:b/>
                <w:bCs/>
                <w:sz w:val="20"/>
                <w:szCs w:val="20"/>
              </w:rPr>
              <w:t>assembly districts -- contiguousness</w:t>
            </w:r>
            <w:r w:rsidR="00AC36D1">
              <w:rPr>
                <w:rFonts w:ascii="Arial" w:hAnsi="Arial" w:cs="Arial"/>
                <w:sz w:val="20"/>
                <w:szCs w:val="20"/>
              </w:rPr>
              <w:t>)</w:t>
            </w:r>
            <w:r w:rsidR="009B1D07">
              <w:rPr>
                <w:rFonts w:ascii="Arial" w:hAnsi="Arial" w:cs="Arial"/>
                <w:sz w:val="20"/>
                <w:szCs w:val="20"/>
              </w:rPr>
              <w:t>.</w:t>
            </w:r>
          </w:p>
          <w:p w14:paraId="4F3A7D0C" w14:textId="10BD9424" w:rsidR="0021437E" w:rsidRDefault="00835B30" w:rsidP="00835B30">
            <w:pPr>
              <w:pStyle w:val="Default"/>
              <w:numPr>
                <w:ilvl w:val="1"/>
                <w:numId w:val="1"/>
              </w:numPr>
              <w:rPr>
                <w:rFonts w:ascii="Arial" w:hAnsi="Arial" w:cs="Arial"/>
                <w:sz w:val="20"/>
                <w:szCs w:val="20"/>
              </w:rPr>
            </w:pPr>
            <w:r>
              <w:rPr>
                <w:rFonts w:ascii="Arial" w:hAnsi="Arial" w:cs="Arial"/>
                <w:sz w:val="20"/>
                <w:szCs w:val="20"/>
              </w:rPr>
              <w:t>S</w:t>
            </w:r>
            <w:r w:rsidRPr="00835B30">
              <w:rPr>
                <w:rFonts w:ascii="Arial" w:hAnsi="Arial" w:cs="Arial"/>
                <w:sz w:val="20"/>
                <w:szCs w:val="20"/>
              </w:rPr>
              <w:t>tates that assembly districts must be “bounded</w:t>
            </w:r>
            <w:r>
              <w:rPr>
                <w:rFonts w:ascii="Arial" w:hAnsi="Arial" w:cs="Arial"/>
                <w:sz w:val="20"/>
                <w:szCs w:val="20"/>
              </w:rPr>
              <w:t xml:space="preserve"> </w:t>
            </w:r>
            <w:r w:rsidRPr="00835B30">
              <w:rPr>
                <w:rFonts w:ascii="Arial" w:hAnsi="Arial" w:cs="Arial"/>
                <w:sz w:val="20"/>
                <w:szCs w:val="20"/>
              </w:rPr>
              <w:t>by county, precinct, town or ward lines [and] consist of contiguous territory.”</w:t>
            </w:r>
          </w:p>
          <w:p w14:paraId="78EB9DC3" w14:textId="02DE011D" w:rsidR="00AC36D1" w:rsidRDefault="00AC36D1" w:rsidP="00AC36D1">
            <w:pPr>
              <w:pStyle w:val="Default"/>
              <w:numPr>
                <w:ilvl w:val="0"/>
                <w:numId w:val="1"/>
              </w:numPr>
              <w:rPr>
                <w:rFonts w:ascii="Arial" w:hAnsi="Arial" w:cs="Arial"/>
                <w:sz w:val="20"/>
                <w:szCs w:val="20"/>
              </w:rPr>
            </w:pPr>
            <w:r w:rsidRPr="00E2103D">
              <w:rPr>
                <w:rFonts w:ascii="Arial" w:hAnsi="Arial" w:cs="Arial"/>
                <w:smallCaps/>
                <w:sz w:val="20"/>
                <w:szCs w:val="20"/>
              </w:rPr>
              <w:t>Wis. Const.</w:t>
            </w:r>
            <w:r>
              <w:rPr>
                <w:rFonts w:ascii="Arial" w:hAnsi="Arial" w:cs="Arial"/>
                <w:sz w:val="20"/>
                <w:szCs w:val="20"/>
              </w:rPr>
              <w:t xml:space="preserve"> art.</w:t>
            </w:r>
            <w:r w:rsidRPr="00E57D59">
              <w:rPr>
                <w:rFonts w:ascii="Arial" w:hAnsi="Arial" w:cs="Arial"/>
                <w:sz w:val="20"/>
                <w:szCs w:val="20"/>
              </w:rPr>
              <w:t xml:space="preserve"> </w:t>
            </w:r>
            <w:r w:rsidRPr="00543CD8">
              <w:rPr>
                <w:rFonts w:ascii="Arial" w:hAnsi="Arial" w:cs="Arial"/>
                <w:sz w:val="20"/>
                <w:szCs w:val="20"/>
              </w:rPr>
              <w:t xml:space="preserve">IV, </w:t>
            </w:r>
            <w:r>
              <w:rPr>
                <w:rFonts w:ascii="Arial" w:hAnsi="Arial" w:cs="Arial"/>
                <w:sz w:val="20"/>
                <w:szCs w:val="20"/>
              </w:rPr>
              <w:t>§</w:t>
            </w:r>
            <w:r w:rsidRPr="00543CD8">
              <w:rPr>
                <w:rFonts w:ascii="Arial" w:hAnsi="Arial" w:cs="Arial"/>
                <w:sz w:val="20"/>
                <w:szCs w:val="20"/>
              </w:rPr>
              <w:t xml:space="preserve"> </w:t>
            </w:r>
            <w:r>
              <w:rPr>
                <w:rFonts w:ascii="Arial" w:hAnsi="Arial" w:cs="Arial"/>
                <w:sz w:val="20"/>
                <w:szCs w:val="20"/>
              </w:rPr>
              <w:t>5</w:t>
            </w:r>
            <w:r w:rsidRPr="00543CD8">
              <w:rPr>
                <w:rFonts w:ascii="Arial" w:hAnsi="Arial" w:cs="Arial"/>
                <w:sz w:val="20"/>
                <w:szCs w:val="20"/>
              </w:rPr>
              <w:t xml:space="preserve"> </w:t>
            </w:r>
            <w:r>
              <w:rPr>
                <w:rFonts w:ascii="Arial" w:hAnsi="Arial" w:cs="Arial"/>
                <w:sz w:val="20"/>
                <w:szCs w:val="20"/>
              </w:rPr>
              <w:t>(</w:t>
            </w:r>
            <w:r w:rsidR="00932873" w:rsidRPr="00932873">
              <w:rPr>
                <w:rFonts w:ascii="Arial" w:hAnsi="Arial" w:cs="Arial"/>
                <w:b/>
                <w:bCs/>
                <w:sz w:val="20"/>
                <w:szCs w:val="20"/>
              </w:rPr>
              <w:t>senate districts -- contiguousness</w:t>
            </w:r>
            <w:r>
              <w:rPr>
                <w:rFonts w:ascii="Arial" w:hAnsi="Arial" w:cs="Arial"/>
                <w:sz w:val="20"/>
                <w:szCs w:val="20"/>
              </w:rPr>
              <w:t>).</w:t>
            </w:r>
          </w:p>
          <w:p w14:paraId="5FBBA5EE" w14:textId="76472A0F" w:rsidR="00BE5985" w:rsidRPr="00690472" w:rsidRDefault="00AC36D1" w:rsidP="00690472">
            <w:pPr>
              <w:pStyle w:val="Default"/>
              <w:numPr>
                <w:ilvl w:val="1"/>
                <w:numId w:val="1"/>
              </w:numPr>
              <w:rPr>
                <w:rFonts w:ascii="Arial" w:hAnsi="Arial" w:cs="Arial"/>
                <w:sz w:val="20"/>
                <w:szCs w:val="20"/>
              </w:rPr>
            </w:pPr>
            <w:r>
              <w:rPr>
                <w:rFonts w:ascii="Arial" w:hAnsi="Arial" w:cs="Arial"/>
                <w:sz w:val="20"/>
                <w:szCs w:val="20"/>
              </w:rPr>
              <w:t>S</w:t>
            </w:r>
            <w:r w:rsidRPr="00AC36D1">
              <w:rPr>
                <w:rFonts w:ascii="Arial" w:hAnsi="Arial" w:cs="Arial"/>
                <w:sz w:val="20"/>
                <w:szCs w:val="20"/>
              </w:rPr>
              <w:t>tates that senate districts must be “single</w:t>
            </w:r>
            <w:r>
              <w:rPr>
                <w:rFonts w:ascii="Arial" w:hAnsi="Arial" w:cs="Arial"/>
                <w:sz w:val="20"/>
                <w:szCs w:val="20"/>
              </w:rPr>
              <w:t xml:space="preserve"> </w:t>
            </w:r>
            <w:r w:rsidRPr="00AC36D1">
              <w:rPr>
                <w:rFonts w:ascii="Arial" w:hAnsi="Arial" w:cs="Arial"/>
                <w:sz w:val="20"/>
                <w:szCs w:val="20"/>
              </w:rPr>
              <w:t>districts of convenient contiguous territory.”</w:t>
            </w:r>
          </w:p>
          <w:p w14:paraId="2C8A798D" w14:textId="232576CA" w:rsidR="0021437E" w:rsidRPr="004B037A" w:rsidRDefault="009B1D07" w:rsidP="004B037A">
            <w:pPr>
              <w:pStyle w:val="Default"/>
              <w:numPr>
                <w:ilvl w:val="0"/>
                <w:numId w:val="1"/>
              </w:numPr>
              <w:rPr>
                <w:rFonts w:ascii="Arial" w:hAnsi="Arial" w:cs="Arial"/>
                <w:sz w:val="20"/>
                <w:szCs w:val="20"/>
              </w:rPr>
            </w:pPr>
            <w:r>
              <w:rPr>
                <w:rFonts w:ascii="Arial" w:hAnsi="Arial" w:cs="Arial"/>
                <w:sz w:val="20"/>
                <w:szCs w:val="20"/>
              </w:rPr>
              <w:t>S</w:t>
            </w:r>
            <w:r w:rsidRPr="00667452">
              <w:rPr>
                <w:rFonts w:ascii="Arial" w:hAnsi="Arial" w:cs="Arial"/>
                <w:sz w:val="20"/>
                <w:szCs w:val="20"/>
              </w:rPr>
              <w:t>eparation-of</w:t>
            </w:r>
            <w:r>
              <w:rPr>
                <w:rFonts w:ascii="Arial" w:hAnsi="Arial" w:cs="Arial"/>
                <w:sz w:val="20"/>
                <w:szCs w:val="20"/>
              </w:rPr>
              <w:t xml:space="preserve"> </w:t>
            </w:r>
            <w:r w:rsidRPr="00667452">
              <w:rPr>
                <w:rFonts w:ascii="Arial" w:hAnsi="Arial" w:cs="Arial"/>
                <w:sz w:val="20"/>
                <w:szCs w:val="20"/>
              </w:rPr>
              <w:t>powers</w:t>
            </w:r>
            <w:r w:rsidR="001B4B8F">
              <w:rPr>
                <w:rFonts w:ascii="Arial" w:hAnsi="Arial" w:cs="Arial"/>
                <w:sz w:val="20"/>
                <w:szCs w:val="20"/>
              </w:rPr>
              <w:t xml:space="preserve"> principles; generally.</w:t>
            </w:r>
          </w:p>
          <w:p w14:paraId="6FF57219" w14:textId="55E7FD15" w:rsidR="0021437E" w:rsidRPr="00CB1DF5" w:rsidRDefault="0021437E" w:rsidP="0021437E">
            <w:pPr>
              <w:pStyle w:val="Default"/>
              <w:rPr>
                <w:rFonts w:ascii="Arial" w:hAnsi="Arial" w:cs="Arial"/>
                <w:sz w:val="20"/>
                <w:szCs w:val="20"/>
              </w:rPr>
            </w:pPr>
          </w:p>
        </w:tc>
      </w:tr>
      <w:tr w:rsidR="00ED671F" w:rsidRPr="008D467C" w14:paraId="6EAC0DAF" w14:textId="77777777" w:rsidTr="00690472">
        <w:trPr>
          <w:trHeight w:val="180"/>
        </w:trPr>
        <w:tc>
          <w:tcPr>
            <w:tcW w:w="1998" w:type="dxa"/>
            <w:tcBorders>
              <w:left w:val="nil"/>
            </w:tcBorders>
          </w:tcPr>
          <w:p w14:paraId="14D844C1"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Holding(s) </w:t>
            </w:r>
          </w:p>
        </w:tc>
        <w:tc>
          <w:tcPr>
            <w:tcW w:w="7470" w:type="dxa"/>
            <w:tcBorders>
              <w:right w:val="nil"/>
            </w:tcBorders>
          </w:tcPr>
          <w:p w14:paraId="47D26CFD" w14:textId="4CD68B28" w:rsidR="001D6910" w:rsidRPr="00690472" w:rsidRDefault="009F79E8" w:rsidP="009F79E8">
            <w:pPr>
              <w:pStyle w:val="Default"/>
              <w:numPr>
                <w:ilvl w:val="0"/>
                <w:numId w:val="1"/>
              </w:numPr>
              <w:rPr>
                <w:rFonts w:ascii="Arial" w:hAnsi="Arial" w:cs="Arial"/>
                <w:sz w:val="20"/>
                <w:szCs w:val="20"/>
              </w:rPr>
            </w:pPr>
            <w:r>
              <w:rPr>
                <w:rFonts w:ascii="Arial" w:hAnsi="Arial" w:cs="Arial"/>
                <w:sz w:val="20"/>
                <w:szCs w:val="20"/>
              </w:rPr>
              <w:t>N/a.</w:t>
            </w:r>
          </w:p>
        </w:tc>
      </w:tr>
      <w:tr w:rsidR="00ED671F" w:rsidRPr="008D467C" w14:paraId="5135565A" w14:textId="77777777" w:rsidTr="00210D49">
        <w:trPr>
          <w:trHeight w:val="198"/>
        </w:trPr>
        <w:tc>
          <w:tcPr>
            <w:tcW w:w="1998" w:type="dxa"/>
            <w:tcBorders>
              <w:left w:val="nil"/>
            </w:tcBorders>
          </w:tcPr>
          <w:p w14:paraId="5995E25E" w14:textId="77777777" w:rsidR="00ED671F" w:rsidRDefault="00ED671F" w:rsidP="00ED671F">
            <w:pPr>
              <w:pStyle w:val="Default"/>
              <w:rPr>
                <w:rFonts w:ascii="Arial" w:hAnsi="Arial" w:cs="Arial"/>
                <w:b/>
                <w:bCs/>
                <w:sz w:val="20"/>
                <w:szCs w:val="20"/>
              </w:rPr>
            </w:pPr>
          </w:p>
          <w:p w14:paraId="661A0A49"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Rationale </w:t>
            </w:r>
          </w:p>
        </w:tc>
        <w:tc>
          <w:tcPr>
            <w:tcW w:w="7470" w:type="dxa"/>
            <w:tcBorders>
              <w:right w:val="nil"/>
            </w:tcBorders>
          </w:tcPr>
          <w:p w14:paraId="10098011" w14:textId="77777777" w:rsidR="00ED671F" w:rsidRDefault="00ED671F" w:rsidP="00ED671F">
            <w:pPr>
              <w:pStyle w:val="Default"/>
              <w:rPr>
                <w:rFonts w:ascii="Arial" w:hAnsi="Arial" w:cs="Arial"/>
                <w:sz w:val="20"/>
                <w:szCs w:val="20"/>
              </w:rPr>
            </w:pPr>
          </w:p>
          <w:p w14:paraId="48BFBA4C" w14:textId="77777777" w:rsidR="0009049E" w:rsidRDefault="00B8151E" w:rsidP="00B8151E">
            <w:pPr>
              <w:pStyle w:val="Default"/>
              <w:numPr>
                <w:ilvl w:val="0"/>
                <w:numId w:val="1"/>
              </w:numPr>
              <w:rPr>
                <w:rFonts w:ascii="Arial" w:hAnsi="Arial" w:cs="Arial"/>
                <w:sz w:val="20"/>
                <w:szCs w:val="20"/>
              </w:rPr>
            </w:pPr>
            <w:r>
              <w:rPr>
                <w:rFonts w:ascii="Arial" w:hAnsi="Arial" w:cs="Arial"/>
                <w:sz w:val="20"/>
                <w:szCs w:val="20"/>
              </w:rPr>
              <w:t>N/a.</w:t>
            </w:r>
          </w:p>
          <w:p w14:paraId="5782D514" w14:textId="4C807422" w:rsidR="00210D49" w:rsidRPr="00C434A3" w:rsidRDefault="00210D49" w:rsidP="00210D49">
            <w:pPr>
              <w:pStyle w:val="Default"/>
              <w:rPr>
                <w:rFonts w:ascii="Arial" w:hAnsi="Arial" w:cs="Arial"/>
                <w:sz w:val="20"/>
                <w:szCs w:val="20"/>
              </w:rPr>
            </w:pPr>
          </w:p>
        </w:tc>
      </w:tr>
      <w:tr w:rsidR="00ED671F" w:rsidRPr="008D467C" w14:paraId="053F9293" w14:textId="77777777" w:rsidTr="00864205">
        <w:trPr>
          <w:trHeight w:val="180"/>
        </w:trPr>
        <w:tc>
          <w:tcPr>
            <w:tcW w:w="1998" w:type="dxa"/>
            <w:tcBorders>
              <w:left w:val="nil"/>
              <w:bottom w:val="nil"/>
            </w:tcBorders>
          </w:tcPr>
          <w:p w14:paraId="063E9EBA" w14:textId="77777777" w:rsidR="00ED671F" w:rsidRPr="008D467C" w:rsidRDefault="00ED671F" w:rsidP="00ED671F">
            <w:pPr>
              <w:pStyle w:val="Default"/>
              <w:rPr>
                <w:rFonts w:ascii="Arial" w:hAnsi="Arial" w:cs="Arial"/>
                <w:b/>
                <w:bCs/>
                <w:sz w:val="20"/>
                <w:szCs w:val="20"/>
              </w:rPr>
            </w:pPr>
            <w:r>
              <w:rPr>
                <w:rFonts w:ascii="Arial" w:hAnsi="Arial" w:cs="Arial"/>
                <w:b/>
                <w:bCs/>
                <w:sz w:val="20"/>
                <w:szCs w:val="20"/>
              </w:rPr>
              <w:t>Arguments of Parties</w:t>
            </w:r>
          </w:p>
        </w:tc>
        <w:tc>
          <w:tcPr>
            <w:tcW w:w="7470" w:type="dxa"/>
            <w:tcBorders>
              <w:bottom w:val="nil"/>
              <w:right w:val="nil"/>
            </w:tcBorders>
          </w:tcPr>
          <w:p w14:paraId="50E31D60" w14:textId="4FCA18BB" w:rsidR="00EB4F60" w:rsidRPr="0063583D" w:rsidRDefault="00274CBB" w:rsidP="0063583D">
            <w:pPr>
              <w:pStyle w:val="Default"/>
              <w:rPr>
                <w:rFonts w:ascii="Arial" w:hAnsi="Arial" w:cs="Arial"/>
                <w:b/>
                <w:bCs/>
                <w:sz w:val="20"/>
                <w:szCs w:val="20"/>
                <w:u w:val="single"/>
              </w:rPr>
            </w:pPr>
            <w:r w:rsidRPr="0063583D">
              <w:rPr>
                <w:rFonts w:ascii="Arial" w:hAnsi="Arial" w:cs="Arial"/>
                <w:b/>
                <w:bCs/>
                <w:sz w:val="20"/>
                <w:szCs w:val="20"/>
                <w:u w:val="single"/>
              </w:rPr>
              <w:t>Petitioners</w:t>
            </w:r>
            <w:r w:rsidR="007A3AD4">
              <w:rPr>
                <w:rFonts w:ascii="Arial" w:hAnsi="Arial" w:cs="Arial"/>
                <w:b/>
                <w:bCs/>
                <w:sz w:val="20"/>
                <w:szCs w:val="20"/>
                <w:u w:val="single"/>
              </w:rPr>
              <w:t>’</w:t>
            </w:r>
            <w:r w:rsidR="0063583D">
              <w:rPr>
                <w:rFonts w:ascii="Arial" w:hAnsi="Arial" w:cs="Arial"/>
                <w:b/>
                <w:bCs/>
                <w:sz w:val="20"/>
                <w:szCs w:val="20"/>
                <w:u w:val="single"/>
              </w:rPr>
              <w:t xml:space="preserve"> Arguments:</w:t>
            </w:r>
          </w:p>
          <w:p w14:paraId="3446560A" w14:textId="7ED69BA8" w:rsidR="00274CBB" w:rsidRDefault="00A07FD8" w:rsidP="0063583D">
            <w:pPr>
              <w:pStyle w:val="Default"/>
              <w:numPr>
                <w:ilvl w:val="0"/>
                <w:numId w:val="1"/>
              </w:numPr>
              <w:rPr>
                <w:rFonts w:ascii="Arial" w:hAnsi="Arial" w:cs="Arial"/>
                <w:sz w:val="20"/>
                <w:szCs w:val="20"/>
              </w:rPr>
            </w:pPr>
            <w:r w:rsidRPr="00A07FD8">
              <w:rPr>
                <w:rFonts w:ascii="Arial" w:hAnsi="Arial" w:cs="Arial"/>
                <w:sz w:val="20"/>
                <w:szCs w:val="20"/>
              </w:rPr>
              <w:t>The SB 621 maps are extreme partisan gerrymanders.</w:t>
            </w:r>
          </w:p>
          <w:p w14:paraId="4E5E8DC5" w14:textId="7662E30F" w:rsidR="00A07FD8" w:rsidRDefault="003E208E" w:rsidP="0063583D">
            <w:pPr>
              <w:pStyle w:val="Default"/>
              <w:numPr>
                <w:ilvl w:val="1"/>
                <w:numId w:val="1"/>
              </w:numPr>
              <w:rPr>
                <w:rFonts w:ascii="Arial" w:hAnsi="Arial" w:cs="Arial"/>
                <w:sz w:val="20"/>
                <w:szCs w:val="20"/>
              </w:rPr>
            </w:pPr>
            <w:r w:rsidRPr="003E208E">
              <w:rPr>
                <w:rFonts w:ascii="Arial" w:hAnsi="Arial" w:cs="Arial"/>
                <w:sz w:val="20"/>
                <w:szCs w:val="20"/>
              </w:rPr>
              <w:t>First, the “least-changes” approach reflected in SB 621 amounted to a</w:t>
            </w:r>
            <w:r>
              <w:rPr>
                <w:rFonts w:ascii="Arial" w:hAnsi="Arial" w:cs="Arial"/>
                <w:sz w:val="20"/>
                <w:szCs w:val="20"/>
              </w:rPr>
              <w:t xml:space="preserve"> </w:t>
            </w:r>
            <w:r w:rsidRPr="003E208E">
              <w:rPr>
                <w:rFonts w:ascii="Arial" w:hAnsi="Arial" w:cs="Arial"/>
                <w:sz w:val="20"/>
                <w:szCs w:val="20"/>
              </w:rPr>
              <w:t>“gerrylaunder.”</w:t>
            </w:r>
            <w:r>
              <w:rPr>
                <w:rStyle w:val="FootnoteReference"/>
                <w:rFonts w:ascii="Arial" w:hAnsi="Arial" w:cs="Arial"/>
                <w:sz w:val="20"/>
                <w:szCs w:val="20"/>
              </w:rPr>
              <w:footnoteReference w:id="2"/>
            </w:r>
          </w:p>
          <w:p w14:paraId="525D1807" w14:textId="0E7953FD" w:rsidR="003E208E" w:rsidRDefault="00BC696E" w:rsidP="0063583D">
            <w:pPr>
              <w:pStyle w:val="Default"/>
              <w:numPr>
                <w:ilvl w:val="2"/>
                <w:numId w:val="1"/>
              </w:numPr>
              <w:rPr>
                <w:rFonts w:ascii="Arial" w:hAnsi="Arial" w:cs="Arial"/>
                <w:sz w:val="20"/>
                <w:szCs w:val="20"/>
              </w:rPr>
            </w:pPr>
            <w:r w:rsidRPr="00BC696E">
              <w:rPr>
                <w:rFonts w:ascii="Arial" w:hAnsi="Arial" w:cs="Arial"/>
                <w:sz w:val="20"/>
                <w:szCs w:val="20"/>
              </w:rPr>
              <w:t>“The 2011 map was enacted using a ‘sharply partisan methodology’ by a</w:t>
            </w:r>
            <w:r>
              <w:rPr>
                <w:rFonts w:ascii="Arial" w:hAnsi="Arial" w:cs="Arial"/>
                <w:sz w:val="20"/>
                <w:szCs w:val="20"/>
              </w:rPr>
              <w:t xml:space="preserve"> </w:t>
            </w:r>
            <w:r w:rsidRPr="00BC696E">
              <w:rPr>
                <w:rFonts w:ascii="Arial" w:hAnsi="Arial" w:cs="Arial"/>
                <w:sz w:val="20"/>
                <w:szCs w:val="20"/>
              </w:rPr>
              <w:t>legislature no longer in power [in 2021] and a governor whom the voters have since</w:t>
            </w:r>
            <w:r>
              <w:rPr>
                <w:rFonts w:ascii="Arial" w:hAnsi="Arial" w:cs="Arial"/>
                <w:sz w:val="20"/>
                <w:szCs w:val="20"/>
              </w:rPr>
              <w:t xml:space="preserve"> </w:t>
            </w:r>
            <w:r w:rsidRPr="00BC696E">
              <w:rPr>
                <w:rFonts w:ascii="Arial" w:hAnsi="Arial" w:cs="Arial"/>
                <w:sz w:val="20"/>
                <w:szCs w:val="20"/>
              </w:rPr>
              <w:t>rejected.”</w:t>
            </w:r>
          </w:p>
          <w:p w14:paraId="695EBBA7" w14:textId="29B27229" w:rsidR="00637B96" w:rsidRDefault="00637B96" w:rsidP="0063583D">
            <w:pPr>
              <w:pStyle w:val="Default"/>
              <w:numPr>
                <w:ilvl w:val="2"/>
                <w:numId w:val="1"/>
              </w:numPr>
              <w:rPr>
                <w:rFonts w:ascii="Arial" w:hAnsi="Arial" w:cs="Arial"/>
                <w:sz w:val="20"/>
                <w:szCs w:val="20"/>
              </w:rPr>
            </w:pPr>
            <w:r w:rsidRPr="00637B96">
              <w:rPr>
                <w:rFonts w:ascii="Arial" w:hAnsi="Arial" w:cs="Arial"/>
                <w:sz w:val="20"/>
                <w:szCs w:val="20"/>
              </w:rPr>
              <w:t>The drafters of the</w:t>
            </w:r>
            <w:r>
              <w:rPr>
                <w:rFonts w:ascii="Arial" w:hAnsi="Arial" w:cs="Arial"/>
                <w:sz w:val="20"/>
                <w:szCs w:val="20"/>
              </w:rPr>
              <w:t xml:space="preserve"> </w:t>
            </w:r>
            <w:r w:rsidRPr="00637B96">
              <w:rPr>
                <w:rFonts w:ascii="Arial" w:hAnsi="Arial" w:cs="Arial"/>
                <w:sz w:val="20"/>
                <w:szCs w:val="20"/>
              </w:rPr>
              <w:t>plan in 2011 implemented a singular goal of maximizing and entrenching the power</w:t>
            </w:r>
            <w:r>
              <w:rPr>
                <w:rFonts w:ascii="Arial" w:hAnsi="Arial" w:cs="Arial"/>
                <w:sz w:val="20"/>
                <w:szCs w:val="20"/>
              </w:rPr>
              <w:t xml:space="preserve"> </w:t>
            </w:r>
            <w:r w:rsidRPr="00637B96">
              <w:rPr>
                <w:rFonts w:ascii="Arial" w:hAnsi="Arial" w:cs="Arial"/>
                <w:sz w:val="20"/>
                <w:szCs w:val="20"/>
              </w:rPr>
              <w:t>of Republican voters for an entire decade and diminishing the ability of Democratic</w:t>
            </w:r>
            <w:r>
              <w:rPr>
                <w:rFonts w:ascii="Arial" w:hAnsi="Arial" w:cs="Arial"/>
                <w:sz w:val="20"/>
                <w:szCs w:val="20"/>
              </w:rPr>
              <w:t xml:space="preserve"> </w:t>
            </w:r>
            <w:r w:rsidRPr="00637B96">
              <w:rPr>
                <w:rFonts w:ascii="Arial" w:hAnsi="Arial" w:cs="Arial"/>
                <w:sz w:val="20"/>
                <w:szCs w:val="20"/>
              </w:rPr>
              <w:t>voters to translate their votes into representation.</w:t>
            </w:r>
          </w:p>
          <w:p w14:paraId="02C8034A" w14:textId="77777777" w:rsidR="00F31CE6" w:rsidRDefault="00F31CE6" w:rsidP="0063583D">
            <w:pPr>
              <w:pStyle w:val="Default"/>
              <w:numPr>
                <w:ilvl w:val="2"/>
                <w:numId w:val="1"/>
              </w:numPr>
              <w:rPr>
                <w:rFonts w:ascii="Arial" w:hAnsi="Arial" w:cs="Arial"/>
                <w:sz w:val="20"/>
                <w:szCs w:val="20"/>
              </w:rPr>
            </w:pPr>
            <w:r w:rsidRPr="00F31CE6">
              <w:rPr>
                <w:rFonts w:ascii="Arial" w:hAnsi="Arial" w:cs="Arial"/>
                <w:sz w:val="20"/>
                <w:szCs w:val="20"/>
              </w:rPr>
              <w:t>The drafters’ analyses showed that Republicans would retain control</w:t>
            </w:r>
            <w:r>
              <w:rPr>
                <w:rFonts w:ascii="Arial" w:hAnsi="Arial" w:cs="Arial"/>
                <w:sz w:val="20"/>
                <w:szCs w:val="20"/>
              </w:rPr>
              <w:t xml:space="preserve"> </w:t>
            </w:r>
            <w:r w:rsidRPr="00F31CE6">
              <w:rPr>
                <w:rFonts w:ascii="Arial" w:hAnsi="Arial" w:cs="Arial"/>
                <w:sz w:val="20"/>
                <w:szCs w:val="20"/>
              </w:rPr>
              <w:t>of the Legislature regardless of any likely electoral scenario, ensuring that</w:t>
            </w:r>
            <w:r>
              <w:rPr>
                <w:rFonts w:ascii="Arial" w:hAnsi="Arial" w:cs="Arial"/>
                <w:sz w:val="20"/>
                <w:szCs w:val="20"/>
              </w:rPr>
              <w:t xml:space="preserve"> </w:t>
            </w:r>
            <w:r w:rsidRPr="00F31CE6">
              <w:rPr>
                <w:rFonts w:ascii="Arial" w:hAnsi="Arial" w:cs="Arial"/>
                <w:sz w:val="20"/>
                <w:szCs w:val="20"/>
              </w:rPr>
              <w:t>Republicans would retain majority control of the Assembly with less than 47% of</w:t>
            </w:r>
            <w:r>
              <w:rPr>
                <w:rFonts w:ascii="Arial" w:hAnsi="Arial" w:cs="Arial"/>
                <w:sz w:val="20"/>
                <w:szCs w:val="20"/>
              </w:rPr>
              <w:t xml:space="preserve"> t</w:t>
            </w:r>
            <w:r w:rsidRPr="00F31CE6">
              <w:rPr>
                <w:rFonts w:ascii="Arial" w:hAnsi="Arial" w:cs="Arial"/>
                <w:sz w:val="20"/>
                <w:szCs w:val="20"/>
              </w:rPr>
              <w:t>he statewide vote, whereas Democrats could not gain majority control with</w:t>
            </w:r>
            <w:r>
              <w:rPr>
                <w:rFonts w:ascii="Arial" w:hAnsi="Arial" w:cs="Arial"/>
                <w:sz w:val="20"/>
                <w:szCs w:val="20"/>
              </w:rPr>
              <w:t xml:space="preserve"> </w:t>
            </w:r>
            <w:r w:rsidRPr="00F31CE6">
              <w:rPr>
                <w:rFonts w:ascii="Arial" w:hAnsi="Arial" w:cs="Arial"/>
                <w:sz w:val="20"/>
                <w:szCs w:val="20"/>
              </w:rPr>
              <w:t xml:space="preserve">anything less than 54% of the statewide vote. </w:t>
            </w:r>
          </w:p>
          <w:p w14:paraId="2B889A4A" w14:textId="6CDB79B9" w:rsidR="00F31CE6" w:rsidRDefault="00F31CE6" w:rsidP="00081FDD">
            <w:pPr>
              <w:pStyle w:val="Default"/>
              <w:numPr>
                <w:ilvl w:val="3"/>
                <w:numId w:val="1"/>
              </w:numPr>
              <w:rPr>
                <w:rFonts w:ascii="Arial" w:hAnsi="Arial" w:cs="Arial"/>
                <w:sz w:val="20"/>
                <w:szCs w:val="20"/>
              </w:rPr>
            </w:pPr>
            <w:r w:rsidRPr="00F31CE6">
              <w:rPr>
                <w:rFonts w:ascii="Arial" w:hAnsi="Arial" w:cs="Arial"/>
                <w:sz w:val="20"/>
                <w:szCs w:val="20"/>
              </w:rPr>
              <w:t>That is, voting would no longer</w:t>
            </w:r>
            <w:r>
              <w:rPr>
                <w:rFonts w:ascii="Arial" w:hAnsi="Arial" w:cs="Arial"/>
                <w:sz w:val="20"/>
                <w:szCs w:val="20"/>
              </w:rPr>
              <w:t xml:space="preserve"> </w:t>
            </w:r>
            <w:r w:rsidRPr="00F31CE6">
              <w:rPr>
                <w:rFonts w:ascii="Arial" w:hAnsi="Arial" w:cs="Arial"/>
                <w:sz w:val="20"/>
                <w:szCs w:val="20"/>
              </w:rPr>
              <w:t xml:space="preserve">matter—the partisan control of each house of the Legislature would </w:t>
            </w:r>
            <w:r w:rsidRPr="00F31CE6">
              <w:rPr>
                <w:rFonts w:ascii="Arial" w:hAnsi="Arial" w:cs="Arial"/>
                <w:sz w:val="20"/>
                <w:szCs w:val="20"/>
              </w:rPr>
              <w:lastRenderedPageBreak/>
              <w:t>remain</w:t>
            </w:r>
            <w:r>
              <w:rPr>
                <w:rFonts w:ascii="Arial" w:hAnsi="Arial" w:cs="Arial"/>
                <w:sz w:val="20"/>
                <w:szCs w:val="20"/>
              </w:rPr>
              <w:t xml:space="preserve"> </w:t>
            </w:r>
            <w:r w:rsidRPr="00F31CE6">
              <w:rPr>
                <w:rFonts w:ascii="Arial" w:hAnsi="Arial" w:cs="Arial"/>
                <w:sz w:val="20"/>
                <w:szCs w:val="20"/>
              </w:rPr>
              <w:t>consistent regardless of fluctuations in the electorate’s preferences.</w:t>
            </w:r>
          </w:p>
          <w:p w14:paraId="41C5D539" w14:textId="77777777" w:rsidR="001A0D9F" w:rsidRDefault="001A0D9F" w:rsidP="00081FDD">
            <w:pPr>
              <w:pStyle w:val="Default"/>
              <w:numPr>
                <w:ilvl w:val="3"/>
                <w:numId w:val="1"/>
              </w:numPr>
              <w:rPr>
                <w:rFonts w:ascii="Arial" w:hAnsi="Arial" w:cs="Arial"/>
                <w:sz w:val="20"/>
                <w:szCs w:val="20"/>
              </w:rPr>
            </w:pPr>
            <w:r w:rsidRPr="001A0D9F">
              <w:rPr>
                <w:rFonts w:ascii="Arial" w:hAnsi="Arial" w:cs="Arial"/>
                <w:sz w:val="20"/>
                <w:szCs w:val="20"/>
              </w:rPr>
              <w:t>Since 2012, even when Democrats have won as much as 53% of the</w:t>
            </w:r>
            <w:r>
              <w:rPr>
                <w:rFonts w:ascii="Arial" w:hAnsi="Arial" w:cs="Arial"/>
                <w:sz w:val="20"/>
                <w:szCs w:val="20"/>
              </w:rPr>
              <w:t xml:space="preserve"> </w:t>
            </w:r>
            <w:r w:rsidRPr="001A0D9F">
              <w:rPr>
                <w:rFonts w:ascii="Arial" w:hAnsi="Arial" w:cs="Arial"/>
                <w:sz w:val="20"/>
                <w:szCs w:val="20"/>
              </w:rPr>
              <w:t xml:space="preserve">statewide vote, they have held no more than 39 of the 99 assembly seats. </w:t>
            </w:r>
          </w:p>
          <w:p w14:paraId="5756B3E2" w14:textId="40B695AC" w:rsidR="001A0D9F" w:rsidRDefault="001A0D9F" w:rsidP="00081FDD">
            <w:pPr>
              <w:pStyle w:val="Default"/>
              <w:numPr>
                <w:ilvl w:val="4"/>
                <w:numId w:val="1"/>
              </w:numPr>
              <w:rPr>
                <w:rFonts w:ascii="Arial" w:hAnsi="Arial" w:cs="Arial"/>
                <w:sz w:val="20"/>
                <w:szCs w:val="20"/>
              </w:rPr>
            </w:pPr>
            <w:r w:rsidRPr="001A0D9F">
              <w:rPr>
                <w:rFonts w:ascii="Arial" w:hAnsi="Arial" w:cs="Arial"/>
                <w:sz w:val="20"/>
                <w:szCs w:val="20"/>
              </w:rPr>
              <w:t>In the same</w:t>
            </w:r>
            <w:r>
              <w:rPr>
                <w:rFonts w:ascii="Arial" w:hAnsi="Arial" w:cs="Arial"/>
                <w:sz w:val="20"/>
                <w:szCs w:val="20"/>
              </w:rPr>
              <w:t xml:space="preserve"> </w:t>
            </w:r>
            <w:r w:rsidRPr="001A0D9F">
              <w:rPr>
                <w:rFonts w:ascii="Arial" w:hAnsi="Arial" w:cs="Arial"/>
                <w:sz w:val="20"/>
                <w:szCs w:val="20"/>
              </w:rPr>
              <w:t>period, even when Republicans have won as little as 44.8% of the statewide vote,</w:t>
            </w:r>
            <w:r>
              <w:rPr>
                <w:rFonts w:ascii="Arial" w:hAnsi="Arial" w:cs="Arial"/>
                <w:sz w:val="20"/>
                <w:szCs w:val="20"/>
              </w:rPr>
              <w:t xml:space="preserve"> </w:t>
            </w:r>
            <w:r w:rsidRPr="001A0D9F">
              <w:rPr>
                <w:rFonts w:ascii="Arial" w:hAnsi="Arial" w:cs="Arial"/>
                <w:sz w:val="20"/>
                <w:szCs w:val="20"/>
              </w:rPr>
              <w:t>they have held no fewer than 60 of the 99 assembly seats.</w:t>
            </w:r>
          </w:p>
          <w:p w14:paraId="516E6B9D" w14:textId="01644B1C" w:rsidR="001E3379" w:rsidRPr="001E3379" w:rsidRDefault="001E3379" w:rsidP="00081FDD">
            <w:pPr>
              <w:pStyle w:val="Default"/>
              <w:numPr>
                <w:ilvl w:val="1"/>
                <w:numId w:val="1"/>
              </w:numPr>
              <w:rPr>
                <w:rFonts w:ascii="Arial" w:hAnsi="Arial" w:cs="Arial"/>
                <w:sz w:val="20"/>
                <w:szCs w:val="20"/>
              </w:rPr>
            </w:pPr>
            <w:r w:rsidRPr="001E3379">
              <w:rPr>
                <w:rFonts w:ascii="Arial" w:hAnsi="Arial" w:cs="Arial"/>
                <w:sz w:val="20"/>
                <w:szCs w:val="20"/>
              </w:rPr>
              <w:t>Second, the Legislature exacerbated the partisan gerrymander with</w:t>
            </w:r>
            <w:r>
              <w:rPr>
                <w:rFonts w:ascii="Arial" w:hAnsi="Arial" w:cs="Arial"/>
                <w:sz w:val="20"/>
                <w:szCs w:val="20"/>
              </w:rPr>
              <w:t xml:space="preserve"> </w:t>
            </w:r>
            <w:r w:rsidRPr="001E3379">
              <w:rPr>
                <w:rFonts w:ascii="Arial" w:hAnsi="Arial" w:cs="Arial"/>
                <w:sz w:val="20"/>
                <w:szCs w:val="20"/>
              </w:rPr>
              <w:t>SB 621—the plan vetoed by the Governor and nevertheless imposed by this Court.</w:t>
            </w:r>
          </w:p>
          <w:p w14:paraId="6B7F492E" w14:textId="77777777" w:rsidR="001E3379" w:rsidRDefault="001E3379" w:rsidP="00081FDD">
            <w:pPr>
              <w:pStyle w:val="Default"/>
              <w:numPr>
                <w:ilvl w:val="2"/>
                <w:numId w:val="1"/>
              </w:numPr>
              <w:rPr>
                <w:rFonts w:ascii="Arial" w:hAnsi="Arial" w:cs="Arial"/>
                <w:sz w:val="20"/>
                <w:szCs w:val="20"/>
              </w:rPr>
            </w:pPr>
            <w:r w:rsidRPr="001E3379">
              <w:rPr>
                <w:rFonts w:ascii="Arial" w:hAnsi="Arial" w:cs="Arial"/>
                <w:sz w:val="20"/>
                <w:szCs w:val="20"/>
              </w:rPr>
              <w:t>It reduced by two (from 37 to 35) the number of assembly districts carried by</w:t>
            </w:r>
            <w:r>
              <w:rPr>
                <w:rFonts w:ascii="Arial" w:hAnsi="Arial" w:cs="Arial"/>
                <w:sz w:val="20"/>
                <w:szCs w:val="20"/>
              </w:rPr>
              <w:t xml:space="preserve"> </w:t>
            </w:r>
            <w:r w:rsidRPr="001E3379">
              <w:rPr>
                <w:rFonts w:ascii="Arial" w:hAnsi="Arial" w:cs="Arial"/>
                <w:sz w:val="20"/>
                <w:szCs w:val="20"/>
              </w:rPr>
              <w:t>President Biden (who won the 2020 election in Wisconsin) and converted districts</w:t>
            </w:r>
            <w:r>
              <w:rPr>
                <w:rFonts w:ascii="Arial" w:hAnsi="Arial" w:cs="Arial"/>
                <w:sz w:val="20"/>
                <w:szCs w:val="20"/>
              </w:rPr>
              <w:t xml:space="preserve"> </w:t>
            </w:r>
            <w:r w:rsidRPr="001E3379">
              <w:rPr>
                <w:rFonts w:ascii="Arial" w:hAnsi="Arial" w:cs="Arial"/>
                <w:sz w:val="20"/>
                <w:szCs w:val="20"/>
              </w:rPr>
              <w:t>that only leaned Republican by the end of the last decade to more safely Republican</w:t>
            </w:r>
            <w:r>
              <w:rPr>
                <w:rFonts w:ascii="Arial" w:hAnsi="Arial" w:cs="Arial"/>
                <w:sz w:val="20"/>
                <w:szCs w:val="20"/>
              </w:rPr>
              <w:t xml:space="preserve"> </w:t>
            </w:r>
            <w:r w:rsidRPr="001E3379">
              <w:rPr>
                <w:rFonts w:ascii="Arial" w:hAnsi="Arial" w:cs="Arial"/>
                <w:sz w:val="20"/>
                <w:szCs w:val="20"/>
              </w:rPr>
              <w:t xml:space="preserve">seats. </w:t>
            </w:r>
          </w:p>
          <w:p w14:paraId="73E62646" w14:textId="6A2A9E32" w:rsidR="001E3379" w:rsidRDefault="001E3379" w:rsidP="00081FDD">
            <w:pPr>
              <w:pStyle w:val="Default"/>
              <w:numPr>
                <w:ilvl w:val="2"/>
                <w:numId w:val="1"/>
              </w:numPr>
              <w:rPr>
                <w:rFonts w:ascii="Arial" w:hAnsi="Arial" w:cs="Arial"/>
                <w:sz w:val="20"/>
                <w:szCs w:val="20"/>
              </w:rPr>
            </w:pPr>
            <w:r w:rsidRPr="001E3379">
              <w:rPr>
                <w:rFonts w:ascii="Arial" w:hAnsi="Arial" w:cs="Arial"/>
                <w:sz w:val="20"/>
                <w:szCs w:val="20"/>
              </w:rPr>
              <w:t>These machinations cannot be explained by any “least-change” rationale, as</w:t>
            </w:r>
            <w:r>
              <w:rPr>
                <w:rFonts w:ascii="Arial" w:hAnsi="Arial" w:cs="Arial"/>
                <w:sz w:val="20"/>
                <w:szCs w:val="20"/>
              </w:rPr>
              <w:t xml:space="preserve"> </w:t>
            </w:r>
            <w:r w:rsidRPr="001E3379">
              <w:rPr>
                <w:rFonts w:ascii="Arial" w:hAnsi="Arial" w:cs="Arial"/>
                <w:sz w:val="20"/>
                <w:szCs w:val="20"/>
              </w:rPr>
              <w:t>they were unnecessary to balance population and frequently were counterproductive</w:t>
            </w:r>
            <w:r>
              <w:rPr>
                <w:rFonts w:ascii="Arial" w:hAnsi="Arial" w:cs="Arial"/>
                <w:sz w:val="20"/>
                <w:szCs w:val="20"/>
              </w:rPr>
              <w:t xml:space="preserve"> </w:t>
            </w:r>
            <w:r w:rsidRPr="001E3379">
              <w:rPr>
                <w:rFonts w:ascii="Arial" w:hAnsi="Arial" w:cs="Arial"/>
                <w:sz w:val="20"/>
                <w:szCs w:val="20"/>
              </w:rPr>
              <w:t>to balancing population.</w:t>
            </w:r>
          </w:p>
          <w:p w14:paraId="2C85108C" w14:textId="0CB7804C" w:rsidR="00472148" w:rsidRDefault="00472148" w:rsidP="00081FDD">
            <w:pPr>
              <w:pStyle w:val="Default"/>
              <w:numPr>
                <w:ilvl w:val="2"/>
                <w:numId w:val="1"/>
              </w:numPr>
              <w:rPr>
                <w:rFonts w:ascii="Arial" w:hAnsi="Arial" w:cs="Arial"/>
                <w:sz w:val="20"/>
                <w:szCs w:val="20"/>
              </w:rPr>
            </w:pPr>
            <w:r w:rsidRPr="00472148">
              <w:rPr>
                <w:rFonts w:ascii="Arial" w:hAnsi="Arial" w:cs="Arial"/>
                <w:sz w:val="20"/>
                <w:szCs w:val="20"/>
              </w:rPr>
              <w:t>Across the state, the Legislature made changes that contravened a goal</w:t>
            </w:r>
            <w:r>
              <w:rPr>
                <w:rFonts w:ascii="Arial" w:hAnsi="Arial" w:cs="Arial"/>
                <w:sz w:val="20"/>
                <w:szCs w:val="20"/>
              </w:rPr>
              <w:t xml:space="preserve"> </w:t>
            </w:r>
            <w:r w:rsidRPr="00472148">
              <w:rPr>
                <w:rFonts w:ascii="Arial" w:hAnsi="Arial" w:cs="Arial"/>
                <w:sz w:val="20"/>
                <w:szCs w:val="20"/>
              </w:rPr>
              <w:t>of population balance in order to target Democratic voters and to prevent them from</w:t>
            </w:r>
            <w:r>
              <w:rPr>
                <w:rFonts w:ascii="Arial" w:hAnsi="Arial" w:cs="Arial"/>
                <w:sz w:val="20"/>
                <w:szCs w:val="20"/>
              </w:rPr>
              <w:t xml:space="preserve"> </w:t>
            </w:r>
            <w:r w:rsidRPr="00472148">
              <w:rPr>
                <w:rFonts w:ascii="Arial" w:hAnsi="Arial" w:cs="Arial"/>
                <w:sz w:val="20"/>
                <w:szCs w:val="20"/>
              </w:rPr>
              <w:t>achieving success at the ballot box in competitive seats.</w:t>
            </w:r>
          </w:p>
          <w:p w14:paraId="2D622585" w14:textId="0200FCF8" w:rsidR="00BE272E" w:rsidRDefault="00BE272E" w:rsidP="00081FDD">
            <w:pPr>
              <w:pStyle w:val="Default"/>
              <w:numPr>
                <w:ilvl w:val="2"/>
                <w:numId w:val="1"/>
              </w:numPr>
              <w:rPr>
                <w:rFonts w:ascii="Arial" w:hAnsi="Arial" w:cs="Arial"/>
                <w:sz w:val="20"/>
                <w:szCs w:val="20"/>
              </w:rPr>
            </w:pPr>
            <w:r w:rsidRPr="00BE272E">
              <w:rPr>
                <w:rFonts w:ascii="Arial" w:hAnsi="Arial" w:cs="Arial"/>
                <w:sz w:val="20"/>
                <w:szCs w:val="20"/>
              </w:rPr>
              <w:t>By every metric, Wisconsin’s legislative plans score among the</w:t>
            </w:r>
            <w:r>
              <w:rPr>
                <w:rFonts w:ascii="Arial" w:hAnsi="Arial" w:cs="Arial"/>
                <w:sz w:val="20"/>
                <w:szCs w:val="20"/>
              </w:rPr>
              <w:t xml:space="preserve"> </w:t>
            </w:r>
            <w:r w:rsidRPr="00BE272E">
              <w:rPr>
                <w:rFonts w:ascii="Arial" w:hAnsi="Arial" w:cs="Arial"/>
                <w:sz w:val="20"/>
                <w:szCs w:val="20"/>
              </w:rPr>
              <w:t>most—if not the most—skewed in the nation.</w:t>
            </w:r>
          </w:p>
          <w:p w14:paraId="67FFAE6F" w14:textId="2250CD9E" w:rsidR="0082730F" w:rsidRDefault="0082730F" w:rsidP="00081FDD">
            <w:pPr>
              <w:pStyle w:val="Default"/>
              <w:numPr>
                <w:ilvl w:val="0"/>
                <w:numId w:val="1"/>
              </w:numPr>
              <w:rPr>
                <w:rFonts w:ascii="Arial" w:hAnsi="Arial" w:cs="Arial"/>
                <w:sz w:val="20"/>
                <w:szCs w:val="20"/>
              </w:rPr>
            </w:pPr>
            <w:r w:rsidRPr="0082730F">
              <w:rPr>
                <w:rFonts w:ascii="Arial" w:hAnsi="Arial" w:cs="Arial"/>
                <w:sz w:val="20"/>
                <w:szCs w:val="20"/>
              </w:rPr>
              <w:t>The SB 621 districts do not consist of “contiguous territory” as required by</w:t>
            </w:r>
            <w:r>
              <w:rPr>
                <w:rFonts w:ascii="Arial" w:hAnsi="Arial" w:cs="Arial"/>
                <w:sz w:val="20"/>
                <w:szCs w:val="20"/>
              </w:rPr>
              <w:t xml:space="preserve"> </w:t>
            </w:r>
            <w:r w:rsidRPr="0082730F">
              <w:rPr>
                <w:rFonts w:ascii="Arial" w:hAnsi="Arial" w:cs="Arial"/>
                <w:sz w:val="20"/>
                <w:szCs w:val="20"/>
              </w:rPr>
              <w:t>the Wisconsin Constitution.</w:t>
            </w:r>
          </w:p>
          <w:p w14:paraId="5F504F94" w14:textId="77777777" w:rsidR="00165EC8" w:rsidRDefault="00165EC8" w:rsidP="00081FDD">
            <w:pPr>
              <w:pStyle w:val="Default"/>
              <w:numPr>
                <w:ilvl w:val="1"/>
                <w:numId w:val="1"/>
              </w:numPr>
              <w:rPr>
                <w:rFonts w:ascii="Arial" w:hAnsi="Arial" w:cs="Arial"/>
                <w:sz w:val="20"/>
                <w:szCs w:val="20"/>
              </w:rPr>
            </w:pPr>
            <w:r w:rsidRPr="00165EC8">
              <w:rPr>
                <w:rFonts w:ascii="Arial" w:hAnsi="Arial" w:cs="Arial"/>
                <w:sz w:val="20"/>
                <w:szCs w:val="20"/>
              </w:rPr>
              <w:t xml:space="preserve">In </w:t>
            </w:r>
            <w:r w:rsidRPr="00165EC8">
              <w:rPr>
                <w:rFonts w:ascii="Arial" w:hAnsi="Arial" w:cs="Arial"/>
                <w:i/>
                <w:iCs/>
                <w:sz w:val="20"/>
                <w:szCs w:val="20"/>
              </w:rPr>
              <w:t>Johnson I</w:t>
            </w:r>
            <w:r w:rsidRPr="00165EC8">
              <w:rPr>
                <w:rFonts w:ascii="Arial" w:hAnsi="Arial" w:cs="Arial"/>
                <w:sz w:val="20"/>
                <w:szCs w:val="20"/>
              </w:rPr>
              <w:t>, this Court assumed, without any analysis of the plain</w:t>
            </w:r>
            <w:r>
              <w:rPr>
                <w:rFonts w:ascii="Arial" w:hAnsi="Arial" w:cs="Arial"/>
                <w:sz w:val="20"/>
                <w:szCs w:val="20"/>
              </w:rPr>
              <w:t xml:space="preserve"> </w:t>
            </w:r>
            <w:r w:rsidRPr="00165EC8">
              <w:rPr>
                <w:rFonts w:ascii="Arial" w:hAnsi="Arial" w:cs="Arial"/>
                <w:sz w:val="20"/>
                <w:szCs w:val="20"/>
              </w:rPr>
              <w:t>text or original meaning of the Constitution’s contiguity requirement, that districts</w:t>
            </w:r>
            <w:r>
              <w:rPr>
                <w:rFonts w:ascii="Arial" w:hAnsi="Arial" w:cs="Arial"/>
                <w:sz w:val="20"/>
                <w:szCs w:val="20"/>
              </w:rPr>
              <w:t xml:space="preserve"> </w:t>
            </w:r>
            <w:r w:rsidRPr="00165EC8">
              <w:rPr>
                <w:rFonts w:ascii="Arial" w:hAnsi="Arial" w:cs="Arial"/>
                <w:sz w:val="20"/>
                <w:szCs w:val="20"/>
              </w:rPr>
              <w:t>could be noncontiguous so as to include “municipal islands” created as a result of</w:t>
            </w:r>
            <w:r>
              <w:rPr>
                <w:rFonts w:ascii="Arial" w:hAnsi="Arial" w:cs="Arial"/>
                <w:sz w:val="20"/>
                <w:szCs w:val="20"/>
              </w:rPr>
              <w:t xml:space="preserve"> </w:t>
            </w:r>
            <w:r w:rsidRPr="00165EC8">
              <w:rPr>
                <w:rFonts w:ascii="Arial" w:hAnsi="Arial" w:cs="Arial"/>
                <w:sz w:val="20"/>
                <w:szCs w:val="20"/>
              </w:rPr>
              <w:t>annexations—a phenomenon that developed a century after the Constitution was</w:t>
            </w:r>
            <w:r>
              <w:rPr>
                <w:rFonts w:ascii="Arial" w:hAnsi="Arial" w:cs="Arial"/>
                <w:sz w:val="20"/>
                <w:szCs w:val="20"/>
              </w:rPr>
              <w:t xml:space="preserve"> </w:t>
            </w:r>
            <w:r w:rsidRPr="00165EC8">
              <w:rPr>
                <w:rFonts w:ascii="Arial" w:hAnsi="Arial" w:cs="Arial"/>
                <w:sz w:val="20"/>
                <w:szCs w:val="20"/>
              </w:rPr>
              <w:t xml:space="preserve">written. </w:t>
            </w:r>
          </w:p>
          <w:p w14:paraId="6B12E52A" w14:textId="29CDDB16" w:rsidR="0082730F" w:rsidRDefault="00165EC8" w:rsidP="00081FDD">
            <w:pPr>
              <w:pStyle w:val="Default"/>
              <w:numPr>
                <w:ilvl w:val="2"/>
                <w:numId w:val="1"/>
              </w:numPr>
              <w:rPr>
                <w:rFonts w:ascii="Arial" w:hAnsi="Arial" w:cs="Arial"/>
                <w:sz w:val="20"/>
                <w:szCs w:val="20"/>
              </w:rPr>
            </w:pPr>
            <w:r w:rsidRPr="00165EC8">
              <w:rPr>
                <w:rFonts w:ascii="Arial" w:hAnsi="Arial" w:cs="Arial"/>
                <w:sz w:val="20"/>
                <w:szCs w:val="20"/>
              </w:rPr>
              <w:t>This conflicts with this Court’s consistent adherence to</w:t>
            </w:r>
            <w:r>
              <w:rPr>
                <w:rFonts w:ascii="Arial" w:hAnsi="Arial" w:cs="Arial"/>
                <w:sz w:val="20"/>
                <w:szCs w:val="20"/>
              </w:rPr>
              <w:t xml:space="preserve"> </w:t>
            </w:r>
            <w:r w:rsidRPr="00165EC8">
              <w:rPr>
                <w:rFonts w:ascii="Arial" w:hAnsi="Arial" w:cs="Arial"/>
                <w:sz w:val="20"/>
                <w:szCs w:val="20"/>
              </w:rPr>
              <w:t>the plain meaning of “contiguous territory” from the earliest days of statehood.</w:t>
            </w:r>
          </w:p>
          <w:p w14:paraId="4E516790" w14:textId="2178BB4C" w:rsidR="00B35C51" w:rsidRDefault="000C71F5" w:rsidP="00081FDD">
            <w:pPr>
              <w:pStyle w:val="Default"/>
              <w:numPr>
                <w:ilvl w:val="3"/>
                <w:numId w:val="1"/>
              </w:numPr>
              <w:rPr>
                <w:rFonts w:ascii="Arial" w:hAnsi="Arial" w:cs="Arial"/>
                <w:sz w:val="20"/>
                <w:szCs w:val="20"/>
              </w:rPr>
            </w:pPr>
            <w:r w:rsidRPr="000C71F5">
              <w:rPr>
                <w:rFonts w:ascii="Arial" w:hAnsi="Arial" w:cs="Arial"/>
                <w:sz w:val="20"/>
                <w:szCs w:val="20"/>
              </w:rPr>
              <w:t>This Court first interpreted the term “contiguous territory” in 1880,</w:t>
            </w:r>
            <w:r>
              <w:rPr>
                <w:rFonts w:ascii="Arial" w:hAnsi="Arial" w:cs="Arial"/>
                <w:sz w:val="20"/>
                <w:szCs w:val="20"/>
              </w:rPr>
              <w:t xml:space="preserve"> </w:t>
            </w:r>
            <w:r w:rsidRPr="000C71F5">
              <w:rPr>
                <w:rFonts w:ascii="Arial" w:hAnsi="Arial" w:cs="Arial"/>
                <w:sz w:val="20"/>
                <w:szCs w:val="20"/>
              </w:rPr>
              <w:t>when it held that several orders of the Board of Supervisors of Oconto County,</w:t>
            </w:r>
            <w:r>
              <w:rPr>
                <w:rFonts w:ascii="Arial" w:hAnsi="Arial" w:cs="Arial"/>
                <w:sz w:val="20"/>
                <w:szCs w:val="20"/>
              </w:rPr>
              <w:t xml:space="preserve"> </w:t>
            </w:r>
            <w:r w:rsidRPr="000C71F5">
              <w:rPr>
                <w:rFonts w:ascii="Arial" w:hAnsi="Arial" w:cs="Arial"/>
                <w:sz w:val="20"/>
                <w:szCs w:val="20"/>
              </w:rPr>
              <w:t>which attached to the Town of Oconto “lands separated and detached, and not</w:t>
            </w:r>
            <w:r>
              <w:rPr>
                <w:rFonts w:ascii="Arial" w:hAnsi="Arial" w:cs="Arial"/>
                <w:sz w:val="20"/>
                <w:szCs w:val="20"/>
              </w:rPr>
              <w:t xml:space="preserve"> </w:t>
            </w:r>
            <w:r w:rsidRPr="000C71F5">
              <w:rPr>
                <w:rFonts w:ascii="Arial" w:hAnsi="Arial" w:cs="Arial"/>
                <w:sz w:val="20"/>
                <w:szCs w:val="20"/>
              </w:rPr>
              <w:t>contiguous to the main body of lands in said town,” violated the constitutional</w:t>
            </w:r>
            <w:r>
              <w:rPr>
                <w:rFonts w:ascii="Arial" w:hAnsi="Arial" w:cs="Arial"/>
                <w:sz w:val="20"/>
                <w:szCs w:val="20"/>
              </w:rPr>
              <w:t xml:space="preserve"> </w:t>
            </w:r>
            <w:r w:rsidRPr="000C71F5">
              <w:rPr>
                <w:rFonts w:ascii="Arial" w:hAnsi="Arial" w:cs="Arial"/>
                <w:sz w:val="20"/>
                <w:szCs w:val="20"/>
              </w:rPr>
              <w:t>requirement that towns must be composed of “contiguous territory.”</w:t>
            </w:r>
          </w:p>
          <w:p w14:paraId="168F9056" w14:textId="5A5D4724" w:rsidR="00C03CCA" w:rsidRDefault="00C03CCA" w:rsidP="00081FDD">
            <w:pPr>
              <w:pStyle w:val="Default"/>
              <w:numPr>
                <w:ilvl w:val="3"/>
                <w:numId w:val="1"/>
              </w:numPr>
              <w:rPr>
                <w:rFonts w:ascii="Arial" w:hAnsi="Arial" w:cs="Arial"/>
                <w:sz w:val="20"/>
                <w:szCs w:val="20"/>
              </w:rPr>
            </w:pPr>
            <w:r w:rsidRPr="00C03CCA">
              <w:rPr>
                <w:rFonts w:ascii="Arial" w:hAnsi="Arial" w:cs="Arial"/>
                <w:sz w:val="20"/>
                <w:szCs w:val="20"/>
              </w:rPr>
              <w:t>The first interpretation of the term “contiguous territory” in the</w:t>
            </w:r>
            <w:r>
              <w:rPr>
                <w:rFonts w:ascii="Arial" w:hAnsi="Arial" w:cs="Arial"/>
                <w:sz w:val="20"/>
                <w:szCs w:val="20"/>
              </w:rPr>
              <w:t xml:space="preserve"> </w:t>
            </w:r>
            <w:r w:rsidRPr="00C03CCA">
              <w:rPr>
                <w:rFonts w:ascii="Arial" w:hAnsi="Arial" w:cs="Arial"/>
                <w:sz w:val="20"/>
                <w:szCs w:val="20"/>
              </w:rPr>
              <w:t xml:space="preserve">redistricting context came in </w:t>
            </w:r>
            <w:r w:rsidRPr="00CD7E3A">
              <w:rPr>
                <w:rFonts w:ascii="Arial" w:hAnsi="Arial" w:cs="Arial"/>
                <w:i/>
                <w:iCs/>
                <w:sz w:val="20"/>
                <w:szCs w:val="20"/>
              </w:rPr>
              <w:t>State ex rel. Lamb v. Cunningham</w:t>
            </w:r>
            <w:r w:rsidRPr="00C03CCA">
              <w:rPr>
                <w:rFonts w:ascii="Arial" w:hAnsi="Arial" w:cs="Arial"/>
                <w:sz w:val="20"/>
                <w:szCs w:val="20"/>
              </w:rPr>
              <w:t>, where this Court,</w:t>
            </w:r>
            <w:r>
              <w:rPr>
                <w:rFonts w:ascii="Arial" w:hAnsi="Arial" w:cs="Arial"/>
                <w:sz w:val="20"/>
                <w:szCs w:val="20"/>
              </w:rPr>
              <w:t xml:space="preserve"> </w:t>
            </w:r>
            <w:r w:rsidRPr="00C03CCA">
              <w:rPr>
                <w:rFonts w:ascii="Arial" w:hAnsi="Arial" w:cs="Arial"/>
                <w:sz w:val="20"/>
                <w:szCs w:val="20"/>
              </w:rPr>
              <w:t>interpreting Article IV, Section 4, held that it “requires that each assembly district</w:t>
            </w:r>
            <w:r>
              <w:rPr>
                <w:rFonts w:ascii="Arial" w:hAnsi="Arial" w:cs="Arial"/>
                <w:sz w:val="20"/>
                <w:szCs w:val="20"/>
              </w:rPr>
              <w:t xml:space="preserve"> </w:t>
            </w:r>
            <w:r w:rsidRPr="00C03CCA">
              <w:rPr>
                <w:rFonts w:ascii="Arial" w:hAnsi="Arial" w:cs="Arial"/>
                <w:sz w:val="20"/>
                <w:szCs w:val="20"/>
              </w:rPr>
              <w:t>must consist of contiguous territory; that is to say it cannot be made up of two or</w:t>
            </w:r>
            <w:r>
              <w:rPr>
                <w:rFonts w:ascii="Arial" w:hAnsi="Arial" w:cs="Arial"/>
                <w:sz w:val="20"/>
                <w:szCs w:val="20"/>
              </w:rPr>
              <w:t xml:space="preserve"> </w:t>
            </w:r>
            <w:r w:rsidRPr="00C03CCA">
              <w:rPr>
                <w:rFonts w:ascii="Arial" w:hAnsi="Arial" w:cs="Arial"/>
                <w:sz w:val="20"/>
                <w:szCs w:val="20"/>
              </w:rPr>
              <w:t>more pieces of detached territory.”</w:t>
            </w:r>
          </w:p>
          <w:p w14:paraId="2F96EE47" w14:textId="6C729877" w:rsidR="006B1E93" w:rsidRDefault="006B1E93" w:rsidP="00081FDD">
            <w:pPr>
              <w:pStyle w:val="Default"/>
              <w:numPr>
                <w:ilvl w:val="4"/>
                <w:numId w:val="1"/>
              </w:numPr>
              <w:rPr>
                <w:rFonts w:ascii="Arial" w:hAnsi="Arial" w:cs="Arial"/>
                <w:sz w:val="20"/>
                <w:szCs w:val="20"/>
              </w:rPr>
            </w:pPr>
            <w:r w:rsidRPr="006B1E93">
              <w:rPr>
                <w:rFonts w:ascii="Arial" w:hAnsi="Arial" w:cs="Arial"/>
                <w:sz w:val="20"/>
                <w:szCs w:val="20"/>
              </w:rPr>
              <w:t>More recently, this Court interpreted the term “contiguous territory”</w:t>
            </w:r>
            <w:r>
              <w:rPr>
                <w:rFonts w:ascii="Arial" w:hAnsi="Arial" w:cs="Arial"/>
                <w:sz w:val="20"/>
                <w:szCs w:val="20"/>
              </w:rPr>
              <w:t xml:space="preserve"> </w:t>
            </w:r>
            <w:r w:rsidRPr="006B1E93">
              <w:rPr>
                <w:rFonts w:ascii="Arial" w:hAnsi="Arial" w:cs="Arial"/>
                <w:sz w:val="20"/>
                <w:szCs w:val="20"/>
              </w:rPr>
              <w:t>when used in a statutory context to have the same meaning.</w:t>
            </w:r>
            <w:r w:rsidR="00815F82">
              <w:rPr>
                <w:rFonts w:ascii="Arial" w:hAnsi="Arial" w:cs="Arial"/>
                <w:sz w:val="20"/>
                <w:szCs w:val="20"/>
              </w:rPr>
              <w:t xml:space="preserve">  (</w:t>
            </w:r>
            <w:r w:rsidR="001102AF" w:rsidRPr="001102AF">
              <w:rPr>
                <w:rFonts w:ascii="Arial" w:hAnsi="Arial" w:cs="Arial"/>
                <w:i/>
                <w:iCs/>
                <w:sz w:val="20"/>
                <w:szCs w:val="20"/>
              </w:rPr>
              <w:t>See</w:t>
            </w:r>
            <w:r w:rsidR="001102AF">
              <w:rPr>
                <w:rFonts w:ascii="Arial" w:hAnsi="Arial" w:cs="Arial"/>
                <w:sz w:val="20"/>
                <w:szCs w:val="20"/>
              </w:rPr>
              <w:t xml:space="preserve"> </w:t>
            </w:r>
            <w:r w:rsidR="00815F82">
              <w:rPr>
                <w:rFonts w:ascii="Arial" w:hAnsi="Arial" w:cs="Arial"/>
                <w:sz w:val="20"/>
                <w:szCs w:val="20"/>
              </w:rPr>
              <w:t>pp.30-31).</w:t>
            </w:r>
          </w:p>
          <w:p w14:paraId="4D1804B1" w14:textId="59163DD7" w:rsidR="00931B2E" w:rsidRDefault="00931B2E" w:rsidP="00081FDD">
            <w:pPr>
              <w:pStyle w:val="Default"/>
              <w:numPr>
                <w:ilvl w:val="3"/>
                <w:numId w:val="1"/>
              </w:numPr>
              <w:rPr>
                <w:rFonts w:ascii="Arial" w:hAnsi="Arial" w:cs="Arial"/>
                <w:sz w:val="20"/>
                <w:szCs w:val="20"/>
              </w:rPr>
            </w:pPr>
            <w:r w:rsidRPr="00931B2E">
              <w:rPr>
                <w:rFonts w:ascii="Arial" w:hAnsi="Arial" w:cs="Arial"/>
                <w:sz w:val="20"/>
                <w:szCs w:val="20"/>
              </w:rPr>
              <w:lastRenderedPageBreak/>
              <w:t>The Legislature has likewise previously understood the Constitution</w:t>
            </w:r>
            <w:r>
              <w:rPr>
                <w:rFonts w:ascii="Arial" w:hAnsi="Arial" w:cs="Arial"/>
                <w:sz w:val="20"/>
                <w:szCs w:val="20"/>
              </w:rPr>
              <w:t xml:space="preserve"> </w:t>
            </w:r>
            <w:r w:rsidRPr="00931B2E">
              <w:rPr>
                <w:rFonts w:ascii="Arial" w:hAnsi="Arial" w:cs="Arial"/>
                <w:sz w:val="20"/>
                <w:szCs w:val="20"/>
              </w:rPr>
              <w:t>to require actual contiguity.</w:t>
            </w:r>
          </w:p>
          <w:p w14:paraId="527C9251" w14:textId="77777777" w:rsidR="00AA2FFA" w:rsidRDefault="00670FE6" w:rsidP="00081FDD">
            <w:pPr>
              <w:pStyle w:val="Default"/>
              <w:numPr>
                <w:ilvl w:val="1"/>
                <w:numId w:val="1"/>
              </w:numPr>
              <w:rPr>
                <w:rFonts w:ascii="Arial" w:hAnsi="Arial" w:cs="Arial"/>
                <w:sz w:val="20"/>
                <w:szCs w:val="20"/>
              </w:rPr>
            </w:pPr>
            <w:r w:rsidRPr="00670FE6">
              <w:rPr>
                <w:rFonts w:ascii="Arial" w:hAnsi="Arial" w:cs="Arial"/>
                <w:sz w:val="20"/>
                <w:szCs w:val="20"/>
              </w:rPr>
              <w:t>The current assembly and senate districts violate this plain text</w:t>
            </w:r>
            <w:r>
              <w:rPr>
                <w:rFonts w:ascii="Arial" w:hAnsi="Arial" w:cs="Arial"/>
                <w:sz w:val="20"/>
                <w:szCs w:val="20"/>
              </w:rPr>
              <w:t xml:space="preserve"> </w:t>
            </w:r>
            <w:r w:rsidRPr="00670FE6">
              <w:rPr>
                <w:rFonts w:ascii="Arial" w:hAnsi="Arial" w:cs="Arial"/>
                <w:sz w:val="20"/>
                <w:szCs w:val="20"/>
              </w:rPr>
              <w:t xml:space="preserve">constitutional requirement. </w:t>
            </w:r>
          </w:p>
          <w:p w14:paraId="4B8F0FAF" w14:textId="77777777" w:rsidR="00670FE6" w:rsidRDefault="00753702" w:rsidP="00081FDD">
            <w:pPr>
              <w:pStyle w:val="Default"/>
              <w:numPr>
                <w:ilvl w:val="2"/>
                <w:numId w:val="1"/>
              </w:numPr>
              <w:rPr>
                <w:rFonts w:ascii="Arial" w:hAnsi="Arial" w:cs="Arial"/>
                <w:sz w:val="20"/>
                <w:szCs w:val="20"/>
              </w:rPr>
            </w:pPr>
            <w:r w:rsidRPr="00753702">
              <w:rPr>
                <w:rFonts w:ascii="Arial" w:hAnsi="Arial" w:cs="Arial"/>
                <w:sz w:val="20"/>
                <w:szCs w:val="20"/>
              </w:rPr>
              <w:t>Remarkably, 55 of the</w:t>
            </w:r>
            <w:r>
              <w:rPr>
                <w:rFonts w:ascii="Arial" w:hAnsi="Arial" w:cs="Arial"/>
                <w:sz w:val="20"/>
                <w:szCs w:val="20"/>
              </w:rPr>
              <w:t xml:space="preserve"> </w:t>
            </w:r>
            <w:r w:rsidRPr="00753702">
              <w:rPr>
                <w:rFonts w:ascii="Arial" w:hAnsi="Arial" w:cs="Arial"/>
                <w:sz w:val="20"/>
                <w:szCs w:val="20"/>
              </w:rPr>
              <w:t>current assembly districts, each consisting of between 2 and 40 disconnected pieces</w:t>
            </w:r>
            <w:r>
              <w:rPr>
                <w:rFonts w:ascii="Arial" w:hAnsi="Arial" w:cs="Arial"/>
                <w:sz w:val="20"/>
                <w:szCs w:val="20"/>
              </w:rPr>
              <w:t xml:space="preserve"> </w:t>
            </w:r>
            <w:r w:rsidRPr="00753702">
              <w:rPr>
                <w:rFonts w:ascii="Arial" w:hAnsi="Arial" w:cs="Arial"/>
                <w:sz w:val="20"/>
                <w:szCs w:val="20"/>
              </w:rPr>
              <w:t>of territory, are noncontiguous.</w:t>
            </w:r>
          </w:p>
          <w:p w14:paraId="22B61C55" w14:textId="77777777" w:rsidR="00AF7CB5" w:rsidRDefault="00AF7CB5" w:rsidP="00081FDD">
            <w:pPr>
              <w:pStyle w:val="Default"/>
              <w:numPr>
                <w:ilvl w:val="2"/>
                <w:numId w:val="1"/>
              </w:numPr>
              <w:rPr>
                <w:rFonts w:ascii="Arial" w:hAnsi="Arial" w:cs="Arial"/>
                <w:sz w:val="20"/>
                <w:szCs w:val="20"/>
              </w:rPr>
            </w:pPr>
            <w:r w:rsidRPr="00AF7CB5">
              <w:rPr>
                <w:rFonts w:ascii="Arial" w:hAnsi="Arial" w:cs="Arial"/>
                <w:sz w:val="20"/>
                <w:szCs w:val="20"/>
              </w:rPr>
              <w:t>And 21 of the current senate districts, each</w:t>
            </w:r>
            <w:r>
              <w:rPr>
                <w:rFonts w:ascii="Arial" w:hAnsi="Arial" w:cs="Arial"/>
                <w:sz w:val="20"/>
                <w:szCs w:val="20"/>
              </w:rPr>
              <w:t xml:space="preserve"> </w:t>
            </w:r>
            <w:r w:rsidRPr="00AF7CB5">
              <w:rPr>
                <w:rFonts w:ascii="Arial" w:hAnsi="Arial" w:cs="Arial"/>
                <w:sz w:val="20"/>
                <w:szCs w:val="20"/>
              </w:rPr>
              <w:t>consisting of between 2 and 34 disconnected pieces</w:t>
            </w:r>
            <w:r>
              <w:rPr>
                <w:rFonts w:ascii="Arial" w:hAnsi="Arial" w:cs="Arial"/>
                <w:sz w:val="20"/>
                <w:szCs w:val="20"/>
              </w:rPr>
              <w:t xml:space="preserve"> </w:t>
            </w:r>
            <w:r w:rsidRPr="00AF7CB5">
              <w:rPr>
                <w:rFonts w:ascii="Arial" w:hAnsi="Arial" w:cs="Arial"/>
                <w:sz w:val="20"/>
                <w:szCs w:val="20"/>
              </w:rPr>
              <w:t>of territory, are noncontiguous.</w:t>
            </w:r>
          </w:p>
          <w:p w14:paraId="39AF6E41" w14:textId="77777777" w:rsidR="00973F9F" w:rsidRDefault="00973F9F" w:rsidP="00081FDD">
            <w:pPr>
              <w:pStyle w:val="Default"/>
              <w:numPr>
                <w:ilvl w:val="2"/>
                <w:numId w:val="1"/>
              </w:numPr>
              <w:rPr>
                <w:rFonts w:ascii="Arial" w:hAnsi="Arial" w:cs="Arial"/>
                <w:sz w:val="20"/>
                <w:szCs w:val="20"/>
              </w:rPr>
            </w:pPr>
            <w:r w:rsidRPr="00973F9F">
              <w:rPr>
                <w:rFonts w:ascii="Arial" w:hAnsi="Arial" w:cs="Arial"/>
                <w:sz w:val="20"/>
                <w:szCs w:val="20"/>
              </w:rPr>
              <w:t>Over two-thirds of Wisconsinites reside in either noncontiguous senate or assembly</w:t>
            </w:r>
            <w:r>
              <w:rPr>
                <w:rFonts w:ascii="Arial" w:hAnsi="Arial" w:cs="Arial"/>
                <w:sz w:val="20"/>
                <w:szCs w:val="20"/>
              </w:rPr>
              <w:t xml:space="preserve"> </w:t>
            </w:r>
            <w:r w:rsidRPr="00973F9F">
              <w:rPr>
                <w:rFonts w:ascii="Arial" w:hAnsi="Arial" w:cs="Arial"/>
                <w:sz w:val="20"/>
                <w:szCs w:val="20"/>
              </w:rPr>
              <w:t>districts.</w:t>
            </w:r>
          </w:p>
          <w:p w14:paraId="71461A7A" w14:textId="5B541784" w:rsidR="0063583D" w:rsidRDefault="00740EC5" w:rsidP="00740EC5">
            <w:pPr>
              <w:pStyle w:val="Default"/>
              <w:numPr>
                <w:ilvl w:val="0"/>
                <w:numId w:val="1"/>
              </w:numPr>
              <w:rPr>
                <w:rFonts w:ascii="Arial" w:hAnsi="Arial" w:cs="Arial"/>
                <w:sz w:val="20"/>
                <w:szCs w:val="20"/>
              </w:rPr>
            </w:pPr>
            <w:r w:rsidRPr="00091574">
              <w:rPr>
                <w:rFonts w:ascii="Arial" w:hAnsi="Arial" w:cs="Arial"/>
                <w:b/>
                <w:bCs/>
                <w:sz w:val="20"/>
                <w:szCs w:val="20"/>
              </w:rPr>
              <w:t>Count One:</w:t>
            </w:r>
            <w:r>
              <w:rPr>
                <w:rFonts w:ascii="Arial" w:hAnsi="Arial" w:cs="Arial"/>
                <w:sz w:val="20"/>
                <w:szCs w:val="20"/>
              </w:rPr>
              <w:t xml:space="preserve"> </w:t>
            </w:r>
            <w:r w:rsidRPr="00740EC5">
              <w:rPr>
                <w:rFonts w:ascii="Arial" w:hAnsi="Arial" w:cs="Arial"/>
                <w:sz w:val="20"/>
                <w:szCs w:val="20"/>
              </w:rPr>
              <w:t>The Current State Assembly and Senate Maps Are Partisan Gerrymanders in</w:t>
            </w:r>
            <w:r>
              <w:rPr>
                <w:rFonts w:ascii="Arial" w:hAnsi="Arial" w:cs="Arial"/>
                <w:sz w:val="20"/>
                <w:szCs w:val="20"/>
              </w:rPr>
              <w:t xml:space="preserve"> </w:t>
            </w:r>
            <w:r w:rsidRPr="00740EC5">
              <w:rPr>
                <w:rFonts w:ascii="Arial" w:hAnsi="Arial" w:cs="Arial"/>
                <w:sz w:val="20"/>
                <w:szCs w:val="20"/>
              </w:rPr>
              <w:t>Violation of the Wisconsin Constitution’s Equal Protection Guarantee</w:t>
            </w:r>
            <w:r>
              <w:rPr>
                <w:rFonts w:ascii="Arial" w:hAnsi="Arial" w:cs="Arial"/>
                <w:sz w:val="20"/>
                <w:szCs w:val="20"/>
              </w:rPr>
              <w:t xml:space="preserve"> </w:t>
            </w:r>
            <w:r w:rsidRPr="00740EC5">
              <w:rPr>
                <w:rFonts w:ascii="Arial" w:hAnsi="Arial" w:cs="Arial"/>
                <w:sz w:val="20"/>
                <w:szCs w:val="20"/>
              </w:rPr>
              <w:t xml:space="preserve">Article I, </w:t>
            </w:r>
            <w:r w:rsidR="00091574">
              <w:rPr>
                <w:rFonts w:ascii="Arial" w:hAnsi="Arial" w:cs="Arial"/>
                <w:sz w:val="20"/>
                <w:szCs w:val="20"/>
              </w:rPr>
              <w:t>§</w:t>
            </w:r>
            <w:r w:rsidRPr="00740EC5">
              <w:rPr>
                <w:rFonts w:ascii="Arial" w:hAnsi="Arial" w:cs="Arial"/>
                <w:sz w:val="20"/>
                <w:szCs w:val="20"/>
              </w:rPr>
              <w:t xml:space="preserve"> 1</w:t>
            </w:r>
            <w:r>
              <w:rPr>
                <w:rFonts w:ascii="Arial" w:hAnsi="Arial" w:cs="Arial"/>
                <w:sz w:val="20"/>
                <w:szCs w:val="20"/>
              </w:rPr>
              <w:t>.</w:t>
            </w:r>
          </w:p>
          <w:p w14:paraId="5167D9F2" w14:textId="2A854DCA" w:rsidR="001A26F0" w:rsidRDefault="00091574" w:rsidP="00915B7A">
            <w:pPr>
              <w:pStyle w:val="Default"/>
              <w:numPr>
                <w:ilvl w:val="1"/>
                <w:numId w:val="1"/>
              </w:numPr>
              <w:rPr>
                <w:rFonts w:ascii="Arial" w:hAnsi="Arial" w:cs="Arial"/>
                <w:sz w:val="20"/>
                <w:szCs w:val="20"/>
              </w:rPr>
            </w:pPr>
            <w:r w:rsidRPr="00091574">
              <w:rPr>
                <w:rFonts w:ascii="Arial" w:hAnsi="Arial" w:cs="Arial"/>
                <w:sz w:val="20"/>
                <w:szCs w:val="20"/>
              </w:rPr>
              <w:t xml:space="preserve">The current maps violate Article I, </w:t>
            </w:r>
            <w:r>
              <w:rPr>
                <w:rFonts w:ascii="Arial" w:hAnsi="Arial" w:cs="Arial"/>
                <w:sz w:val="20"/>
                <w:szCs w:val="20"/>
              </w:rPr>
              <w:t>§</w:t>
            </w:r>
            <w:r w:rsidRPr="00091574">
              <w:rPr>
                <w:rFonts w:ascii="Arial" w:hAnsi="Arial" w:cs="Arial"/>
                <w:sz w:val="20"/>
                <w:szCs w:val="20"/>
              </w:rPr>
              <w:t xml:space="preserve"> 1 of the Wisconsin</w:t>
            </w:r>
            <w:r>
              <w:rPr>
                <w:rFonts w:ascii="Arial" w:hAnsi="Arial" w:cs="Arial"/>
                <w:sz w:val="20"/>
                <w:szCs w:val="20"/>
              </w:rPr>
              <w:t xml:space="preserve"> </w:t>
            </w:r>
            <w:r w:rsidRPr="00091574">
              <w:rPr>
                <w:rFonts w:ascii="Arial" w:hAnsi="Arial" w:cs="Arial"/>
                <w:sz w:val="20"/>
                <w:szCs w:val="20"/>
              </w:rPr>
              <w:t>Constitution because they have the purpose and effect of depriving a disfavored</w:t>
            </w:r>
            <w:r w:rsidR="00915B7A">
              <w:rPr>
                <w:rFonts w:ascii="Arial" w:hAnsi="Arial" w:cs="Arial"/>
                <w:sz w:val="20"/>
                <w:szCs w:val="20"/>
              </w:rPr>
              <w:t xml:space="preserve"> </w:t>
            </w:r>
            <w:r w:rsidR="00915B7A" w:rsidRPr="00915B7A">
              <w:rPr>
                <w:rFonts w:ascii="Arial" w:hAnsi="Arial" w:cs="Arial"/>
                <w:sz w:val="20"/>
                <w:szCs w:val="20"/>
              </w:rPr>
              <w:t>class of Wisconsin voters of an equal opportunity to elect state legislative</w:t>
            </w:r>
            <w:r w:rsidR="00915B7A">
              <w:rPr>
                <w:rFonts w:ascii="Arial" w:hAnsi="Arial" w:cs="Arial"/>
                <w:sz w:val="20"/>
                <w:szCs w:val="20"/>
              </w:rPr>
              <w:t xml:space="preserve"> </w:t>
            </w:r>
            <w:r w:rsidR="00915B7A" w:rsidRPr="00915B7A">
              <w:rPr>
                <w:rFonts w:ascii="Arial" w:hAnsi="Arial" w:cs="Arial"/>
                <w:sz w:val="20"/>
                <w:szCs w:val="20"/>
              </w:rPr>
              <w:t>representatives.</w:t>
            </w:r>
          </w:p>
          <w:p w14:paraId="17CDE3A1" w14:textId="59EEACD0" w:rsidR="001F0499" w:rsidRDefault="00010956" w:rsidP="00E1369E">
            <w:pPr>
              <w:pStyle w:val="Default"/>
              <w:numPr>
                <w:ilvl w:val="1"/>
                <w:numId w:val="1"/>
              </w:numPr>
              <w:rPr>
                <w:rFonts w:ascii="Arial" w:hAnsi="Arial" w:cs="Arial"/>
                <w:sz w:val="20"/>
                <w:szCs w:val="20"/>
              </w:rPr>
            </w:pPr>
            <w:r>
              <w:rPr>
                <w:rFonts w:ascii="Arial" w:hAnsi="Arial" w:cs="Arial"/>
                <w:sz w:val="20"/>
                <w:szCs w:val="20"/>
              </w:rPr>
              <w:t>[T]</w:t>
            </w:r>
            <w:r w:rsidRPr="00010956">
              <w:rPr>
                <w:rFonts w:ascii="Arial" w:hAnsi="Arial" w:cs="Arial"/>
                <w:sz w:val="20"/>
                <w:szCs w:val="20"/>
              </w:rPr>
              <w:t>hey arbitrarily classify voters based on partisan</w:t>
            </w:r>
            <w:r w:rsidR="00E1369E">
              <w:rPr>
                <w:rFonts w:ascii="Arial" w:hAnsi="Arial" w:cs="Arial"/>
                <w:sz w:val="20"/>
                <w:szCs w:val="20"/>
              </w:rPr>
              <w:t xml:space="preserve"> </w:t>
            </w:r>
            <w:r w:rsidRPr="00E1369E">
              <w:rPr>
                <w:rFonts w:ascii="Arial" w:hAnsi="Arial" w:cs="Arial"/>
                <w:sz w:val="20"/>
                <w:szCs w:val="20"/>
              </w:rPr>
              <w:t>affiliation and target the disfavored class of voters for negative differential treatment</w:t>
            </w:r>
            <w:r w:rsidR="00E1369E">
              <w:rPr>
                <w:rFonts w:ascii="Arial" w:hAnsi="Arial" w:cs="Arial"/>
                <w:sz w:val="20"/>
                <w:szCs w:val="20"/>
              </w:rPr>
              <w:t xml:space="preserve"> </w:t>
            </w:r>
            <w:r w:rsidRPr="00E1369E">
              <w:rPr>
                <w:rFonts w:ascii="Arial" w:hAnsi="Arial" w:cs="Arial"/>
                <w:sz w:val="20"/>
                <w:szCs w:val="20"/>
              </w:rPr>
              <w:t>compared to other similarly situated Wisconsinites.</w:t>
            </w:r>
          </w:p>
          <w:p w14:paraId="56A9971A" w14:textId="654DD785" w:rsidR="004E6C56" w:rsidRDefault="004E6C56" w:rsidP="004E6C56">
            <w:pPr>
              <w:pStyle w:val="Default"/>
              <w:numPr>
                <w:ilvl w:val="1"/>
                <w:numId w:val="1"/>
              </w:numPr>
              <w:rPr>
                <w:rFonts w:ascii="Arial" w:hAnsi="Arial" w:cs="Arial"/>
                <w:sz w:val="20"/>
                <w:szCs w:val="20"/>
              </w:rPr>
            </w:pPr>
            <w:r w:rsidRPr="004E6C56">
              <w:rPr>
                <w:rFonts w:ascii="Arial" w:hAnsi="Arial" w:cs="Arial"/>
                <w:sz w:val="20"/>
                <w:szCs w:val="20"/>
              </w:rPr>
              <w:t>Heightened scrutiny applies because the current maps implicate</w:t>
            </w:r>
            <w:r>
              <w:rPr>
                <w:rFonts w:ascii="Arial" w:hAnsi="Arial" w:cs="Arial"/>
                <w:sz w:val="20"/>
                <w:szCs w:val="20"/>
              </w:rPr>
              <w:t xml:space="preserve"> </w:t>
            </w:r>
            <w:r w:rsidRPr="004E6C56">
              <w:rPr>
                <w:rFonts w:ascii="Arial" w:hAnsi="Arial" w:cs="Arial"/>
                <w:sz w:val="20"/>
                <w:szCs w:val="20"/>
              </w:rPr>
              <w:t>Petitioners’ fundamental right to vote</w:t>
            </w:r>
            <w:r>
              <w:rPr>
                <w:rFonts w:ascii="Arial" w:hAnsi="Arial" w:cs="Arial"/>
                <w:sz w:val="20"/>
                <w:szCs w:val="20"/>
              </w:rPr>
              <w:t xml:space="preserve"> … </w:t>
            </w:r>
            <w:r w:rsidRPr="004E6C56">
              <w:rPr>
                <w:rFonts w:ascii="Arial" w:hAnsi="Arial" w:cs="Arial"/>
                <w:sz w:val="20"/>
                <w:szCs w:val="20"/>
              </w:rPr>
              <w:t>and create</w:t>
            </w:r>
            <w:r>
              <w:rPr>
                <w:rFonts w:ascii="Arial" w:hAnsi="Arial" w:cs="Arial"/>
                <w:sz w:val="20"/>
                <w:szCs w:val="20"/>
              </w:rPr>
              <w:t xml:space="preserve"> </w:t>
            </w:r>
            <w:r w:rsidRPr="004E6C56">
              <w:rPr>
                <w:rFonts w:ascii="Arial" w:hAnsi="Arial" w:cs="Arial"/>
                <w:sz w:val="20"/>
                <w:szCs w:val="20"/>
              </w:rPr>
              <w:t>impermissible and suspect classifications.</w:t>
            </w:r>
          </w:p>
          <w:p w14:paraId="406F4495" w14:textId="406C91A1" w:rsidR="00ED4CB2" w:rsidRDefault="00ED4CB2" w:rsidP="00ED4CB2">
            <w:pPr>
              <w:pStyle w:val="Default"/>
              <w:numPr>
                <w:ilvl w:val="2"/>
                <w:numId w:val="1"/>
              </w:numPr>
              <w:rPr>
                <w:rFonts w:ascii="Arial" w:hAnsi="Arial" w:cs="Arial"/>
                <w:sz w:val="20"/>
                <w:szCs w:val="20"/>
              </w:rPr>
            </w:pPr>
            <w:r w:rsidRPr="00ED4CB2">
              <w:rPr>
                <w:rFonts w:ascii="Arial" w:hAnsi="Arial" w:cs="Arial"/>
                <w:sz w:val="20"/>
                <w:szCs w:val="20"/>
              </w:rPr>
              <w:t>Respondents lack a compelling, or even reasonable, justification for</w:t>
            </w:r>
            <w:r>
              <w:rPr>
                <w:rFonts w:ascii="Arial" w:hAnsi="Arial" w:cs="Arial"/>
                <w:sz w:val="20"/>
                <w:szCs w:val="20"/>
              </w:rPr>
              <w:t xml:space="preserve"> </w:t>
            </w:r>
            <w:r w:rsidRPr="00ED4CB2">
              <w:rPr>
                <w:rFonts w:ascii="Arial" w:hAnsi="Arial" w:cs="Arial"/>
                <w:sz w:val="20"/>
                <w:szCs w:val="20"/>
              </w:rPr>
              <w:t>the adverse differential treatment of Petitioners in the current state legislative maps.</w:t>
            </w:r>
          </w:p>
          <w:p w14:paraId="36113FF2" w14:textId="0B166885" w:rsidR="001924A7" w:rsidRDefault="001924A7" w:rsidP="001924A7">
            <w:pPr>
              <w:pStyle w:val="Default"/>
              <w:numPr>
                <w:ilvl w:val="0"/>
                <w:numId w:val="1"/>
              </w:numPr>
              <w:rPr>
                <w:rFonts w:ascii="Arial" w:hAnsi="Arial" w:cs="Arial"/>
                <w:sz w:val="20"/>
                <w:szCs w:val="20"/>
              </w:rPr>
            </w:pPr>
            <w:r w:rsidRPr="00154DF8">
              <w:rPr>
                <w:rFonts w:ascii="Arial" w:hAnsi="Arial" w:cs="Arial"/>
                <w:b/>
                <w:bCs/>
                <w:sz w:val="20"/>
                <w:szCs w:val="20"/>
              </w:rPr>
              <w:t>Count Two:</w:t>
            </w:r>
            <w:r>
              <w:rPr>
                <w:rFonts w:ascii="Arial" w:hAnsi="Arial" w:cs="Arial"/>
                <w:sz w:val="20"/>
                <w:szCs w:val="20"/>
              </w:rPr>
              <w:t xml:space="preserve"> </w:t>
            </w:r>
            <w:r w:rsidRPr="001924A7">
              <w:rPr>
                <w:rFonts w:ascii="Arial" w:hAnsi="Arial" w:cs="Arial"/>
                <w:sz w:val="20"/>
                <w:szCs w:val="20"/>
              </w:rPr>
              <w:t>The Current State Assembly and Senate Maps Are Partisa</w:t>
            </w:r>
            <w:r>
              <w:rPr>
                <w:rFonts w:ascii="Arial" w:hAnsi="Arial" w:cs="Arial"/>
                <w:sz w:val="20"/>
                <w:szCs w:val="20"/>
              </w:rPr>
              <w:t xml:space="preserve">n </w:t>
            </w:r>
            <w:r w:rsidRPr="001924A7">
              <w:rPr>
                <w:rFonts w:ascii="Arial" w:hAnsi="Arial" w:cs="Arial"/>
                <w:sz w:val="20"/>
                <w:szCs w:val="20"/>
              </w:rPr>
              <w:t>Gerrymanders in Violation of the Wisconsin Constitution’s Free</w:t>
            </w:r>
            <w:r>
              <w:rPr>
                <w:rFonts w:ascii="Arial" w:hAnsi="Arial" w:cs="Arial"/>
                <w:sz w:val="20"/>
                <w:szCs w:val="20"/>
              </w:rPr>
              <w:t xml:space="preserve"> </w:t>
            </w:r>
            <w:r w:rsidRPr="001924A7">
              <w:rPr>
                <w:rFonts w:ascii="Arial" w:hAnsi="Arial" w:cs="Arial"/>
                <w:sz w:val="20"/>
                <w:szCs w:val="20"/>
              </w:rPr>
              <w:t>Speech and Association Guarantees</w:t>
            </w:r>
            <w:r>
              <w:rPr>
                <w:rFonts w:ascii="Arial" w:hAnsi="Arial" w:cs="Arial"/>
                <w:sz w:val="20"/>
                <w:szCs w:val="20"/>
              </w:rPr>
              <w:t xml:space="preserve"> </w:t>
            </w:r>
            <w:r w:rsidRPr="001924A7">
              <w:rPr>
                <w:rFonts w:ascii="Arial" w:hAnsi="Arial" w:cs="Arial"/>
                <w:sz w:val="20"/>
                <w:szCs w:val="20"/>
              </w:rPr>
              <w:t>Article I, Sections 3 and 4</w:t>
            </w:r>
            <w:r>
              <w:rPr>
                <w:rFonts w:ascii="Arial" w:hAnsi="Arial" w:cs="Arial"/>
                <w:sz w:val="20"/>
                <w:szCs w:val="20"/>
              </w:rPr>
              <w:t>.</w:t>
            </w:r>
          </w:p>
          <w:p w14:paraId="28817D6F" w14:textId="08ED13E8" w:rsidR="001924A7" w:rsidRDefault="0084519A" w:rsidP="0057453C">
            <w:pPr>
              <w:pStyle w:val="Default"/>
              <w:numPr>
                <w:ilvl w:val="1"/>
                <w:numId w:val="1"/>
              </w:numPr>
              <w:rPr>
                <w:rFonts w:ascii="Arial" w:hAnsi="Arial" w:cs="Arial"/>
                <w:sz w:val="20"/>
                <w:szCs w:val="20"/>
              </w:rPr>
            </w:pPr>
            <w:r w:rsidRPr="0084519A">
              <w:rPr>
                <w:rFonts w:ascii="Arial" w:hAnsi="Arial" w:cs="Arial"/>
                <w:sz w:val="20"/>
                <w:szCs w:val="20"/>
              </w:rPr>
              <w:t>The current legislative maps violate Petitioners’ free speech and</w:t>
            </w:r>
            <w:r>
              <w:rPr>
                <w:rFonts w:ascii="Arial" w:hAnsi="Arial" w:cs="Arial"/>
                <w:sz w:val="20"/>
                <w:szCs w:val="20"/>
              </w:rPr>
              <w:t xml:space="preserve"> </w:t>
            </w:r>
            <w:r w:rsidRPr="0084519A">
              <w:rPr>
                <w:rFonts w:ascii="Arial" w:hAnsi="Arial" w:cs="Arial"/>
                <w:sz w:val="20"/>
                <w:szCs w:val="20"/>
              </w:rPr>
              <w:t>association rights because they retaliate against Petitioners based on their protected</w:t>
            </w:r>
            <w:r w:rsidR="0057453C">
              <w:rPr>
                <w:rFonts w:ascii="Arial" w:hAnsi="Arial" w:cs="Arial"/>
                <w:sz w:val="20"/>
                <w:szCs w:val="20"/>
              </w:rPr>
              <w:t xml:space="preserve"> </w:t>
            </w:r>
            <w:r w:rsidR="0057453C" w:rsidRPr="0057453C">
              <w:rPr>
                <w:rFonts w:ascii="Arial" w:hAnsi="Arial" w:cs="Arial"/>
                <w:sz w:val="20"/>
                <w:szCs w:val="20"/>
              </w:rPr>
              <w:t>political views and past votes, restrain their ability to express their viewpoints, and</w:t>
            </w:r>
            <w:r w:rsidR="0057453C">
              <w:rPr>
                <w:rFonts w:ascii="Arial" w:hAnsi="Arial" w:cs="Arial"/>
                <w:sz w:val="20"/>
                <w:szCs w:val="20"/>
              </w:rPr>
              <w:t xml:space="preserve"> </w:t>
            </w:r>
            <w:r w:rsidR="0057453C" w:rsidRPr="0057453C">
              <w:rPr>
                <w:rFonts w:ascii="Arial" w:hAnsi="Arial" w:cs="Arial"/>
                <w:sz w:val="20"/>
                <w:szCs w:val="20"/>
              </w:rPr>
              <w:t>abridge their ability to band together with others to advance their political beliefs.</w:t>
            </w:r>
          </w:p>
          <w:p w14:paraId="045B21B7" w14:textId="5856E104" w:rsidR="005677B7" w:rsidRDefault="00EC1EFC" w:rsidP="00EC1EFC">
            <w:pPr>
              <w:pStyle w:val="Default"/>
              <w:numPr>
                <w:ilvl w:val="1"/>
                <w:numId w:val="1"/>
              </w:numPr>
              <w:rPr>
                <w:rFonts w:ascii="Arial" w:hAnsi="Arial" w:cs="Arial"/>
                <w:sz w:val="20"/>
                <w:szCs w:val="20"/>
              </w:rPr>
            </w:pPr>
            <w:r w:rsidRPr="00EC1EFC">
              <w:rPr>
                <w:rFonts w:ascii="Arial" w:hAnsi="Arial" w:cs="Arial"/>
                <w:sz w:val="20"/>
                <w:szCs w:val="20"/>
              </w:rPr>
              <w:t>The current legislative maps divide voters of opposing political</w:t>
            </w:r>
            <w:r>
              <w:rPr>
                <w:rFonts w:ascii="Arial" w:hAnsi="Arial" w:cs="Arial"/>
                <w:sz w:val="20"/>
                <w:szCs w:val="20"/>
              </w:rPr>
              <w:t xml:space="preserve"> </w:t>
            </w:r>
            <w:r w:rsidRPr="00EC1EFC">
              <w:rPr>
                <w:rFonts w:ascii="Arial" w:hAnsi="Arial" w:cs="Arial"/>
                <w:sz w:val="20"/>
                <w:szCs w:val="20"/>
              </w:rPr>
              <w:t>viewpoints and guarantee less-favored voters are not represented in any meaningful</w:t>
            </w:r>
            <w:r>
              <w:rPr>
                <w:rFonts w:ascii="Arial" w:hAnsi="Arial" w:cs="Arial"/>
                <w:sz w:val="20"/>
                <w:szCs w:val="20"/>
              </w:rPr>
              <w:t xml:space="preserve"> </w:t>
            </w:r>
            <w:r w:rsidRPr="00EC1EFC">
              <w:rPr>
                <w:rFonts w:ascii="Arial" w:hAnsi="Arial" w:cs="Arial"/>
                <w:sz w:val="20"/>
                <w:szCs w:val="20"/>
              </w:rPr>
              <w:t>way because of their disfavored views.</w:t>
            </w:r>
          </w:p>
          <w:p w14:paraId="1F0A7EEF" w14:textId="07D2C639" w:rsidR="00EA088E" w:rsidRDefault="00EA088E" w:rsidP="00EA088E">
            <w:pPr>
              <w:pStyle w:val="Default"/>
              <w:numPr>
                <w:ilvl w:val="1"/>
                <w:numId w:val="1"/>
              </w:numPr>
              <w:rPr>
                <w:rFonts w:ascii="Arial" w:hAnsi="Arial" w:cs="Arial"/>
                <w:sz w:val="20"/>
                <w:szCs w:val="20"/>
              </w:rPr>
            </w:pPr>
            <w:r w:rsidRPr="00EA088E">
              <w:rPr>
                <w:rFonts w:ascii="Arial" w:hAnsi="Arial" w:cs="Arial"/>
                <w:sz w:val="20"/>
                <w:szCs w:val="20"/>
              </w:rPr>
              <w:t>Heightened scrutiny applies because the current maps implicate</w:t>
            </w:r>
            <w:r>
              <w:rPr>
                <w:rFonts w:ascii="Arial" w:hAnsi="Arial" w:cs="Arial"/>
                <w:sz w:val="20"/>
                <w:szCs w:val="20"/>
              </w:rPr>
              <w:t xml:space="preserve"> </w:t>
            </w:r>
            <w:r w:rsidRPr="00EA088E">
              <w:rPr>
                <w:rFonts w:ascii="Arial" w:hAnsi="Arial" w:cs="Arial"/>
                <w:sz w:val="20"/>
                <w:szCs w:val="20"/>
              </w:rPr>
              <w:t>Petitioners’ fundamental rights to free speech and association</w:t>
            </w:r>
            <w:r>
              <w:rPr>
                <w:rFonts w:ascii="Arial" w:hAnsi="Arial" w:cs="Arial"/>
                <w:sz w:val="20"/>
                <w:szCs w:val="20"/>
              </w:rPr>
              <w:t xml:space="preserve">…. </w:t>
            </w:r>
            <w:r w:rsidRPr="00EA088E">
              <w:rPr>
                <w:rFonts w:ascii="Arial" w:hAnsi="Arial" w:cs="Arial"/>
                <w:sz w:val="20"/>
                <w:szCs w:val="20"/>
              </w:rPr>
              <w:t>Defendants have no legitimate, much less compelling, interest in</w:t>
            </w:r>
            <w:r>
              <w:rPr>
                <w:rFonts w:ascii="Arial" w:hAnsi="Arial" w:cs="Arial"/>
                <w:sz w:val="20"/>
                <w:szCs w:val="20"/>
              </w:rPr>
              <w:t xml:space="preserve"> </w:t>
            </w:r>
            <w:r w:rsidRPr="00EA088E">
              <w:rPr>
                <w:rFonts w:ascii="Arial" w:hAnsi="Arial" w:cs="Arial"/>
                <w:sz w:val="20"/>
                <w:szCs w:val="20"/>
              </w:rPr>
              <w:t>restraining, abridging, or retaliating against Petitioners for their political views and</w:t>
            </w:r>
            <w:r>
              <w:rPr>
                <w:rFonts w:ascii="Arial" w:hAnsi="Arial" w:cs="Arial"/>
                <w:sz w:val="20"/>
                <w:szCs w:val="20"/>
              </w:rPr>
              <w:t xml:space="preserve"> </w:t>
            </w:r>
            <w:r w:rsidRPr="00EA088E">
              <w:rPr>
                <w:rFonts w:ascii="Arial" w:hAnsi="Arial" w:cs="Arial"/>
                <w:sz w:val="20"/>
                <w:szCs w:val="20"/>
              </w:rPr>
              <w:t>associations.</w:t>
            </w:r>
          </w:p>
          <w:p w14:paraId="49960930" w14:textId="6D739315" w:rsidR="00343D73" w:rsidRDefault="00343D73" w:rsidP="00343D73">
            <w:pPr>
              <w:pStyle w:val="Default"/>
              <w:numPr>
                <w:ilvl w:val="0"/>
                <w:numId w:val="1"/>
              </w:numPr>
              <w:rPr>
                <w:rFonts w:ascii="Arial" w:hAnsi="Arial" w:cs="Arial"/>
                <w:sz w:val="20"/>
                <w:szCs w:val="20"/>
              </w:rPr>
            </w:pPr>
            <w:r w:rsidRPr="00343D73">
              <w:rPr>
                <w:rFonts w:ascii="Arial" w:hAnsi="Arial" w:cs="Arial"/>
                <w:b/>
                <w:bCs/>
                <w:sz w:val="20"/>
                <w:szCs w:val="20"/>
              </w:rPr>
              <w:t>Count Three:</w:t>
            </w:r>
            <w:r>
              <w:rPr>
                <w:rFonts w:ascii="Arial" w:hAnsi="Arial" w:cs="Arial"/>
                <w:sz w:val="20"/>
                <w:szCs w:val="20"/>
              </w:rPr>
              <w:t xml:space="preserve"> </w:t>
            </w:r>
            <w:r w:rsidRPr="00343D73">
              <w:rPr>
                <w:rFonts w:ascii="Arial" w:hAnsi="Arial" w:cs="Arial"/>
                <w:sz w:val="20"/>
                <w:szCs w:val="20"/>
              </w:rPr>
              <w:t>The Current State Assembly and Senate Maps Are Partisan Gerrymanders in</w:t>
            </w:r>
            <w:r>
              <w:rPr>
                <w:rFonts w:ascii="Arial" w:hAnsi="Arial" w:cs="Arial"/>
                <w:sz w:val="20"/>
                <w:szCs w:val="20"/>
              </w:rPr>
              <w:t xml:space="preserve"> </w:t>
            </w:r>
            <w:r w:rsidRPr="00343D73">
              <w:rPr>
                <w:rFonts w:ascii="Arial" w:hAnsi="Arial" w:cs="Arial"/>
                <w:sz w:val="20"/>
                <w:szCs w:val="20"/>
              </w:rPr>
              <w:t>Violation of the Wisconsin Constitution’s Free Government Guarantee</w:t>
            </w:r>
            <w:r>
              <w:rPr>
                <w:rFonts w:ascii="Arial" w:hAnsi="Arial" w:cs="Arial"/>
                <w:sz w:val="20"/>
                <w:szCs w:val="20"/>
              </w:rPr>
              <w:t xml:space="preserve"> </w:t>
            </w:r>
            <w:r w:rsidRPr="00343D73">
              <w:rPr>
                <w:rFonts w:ascii="Arial" w:hAnsi="Arial" w:cs="Arial"/>
                <w:sz w:val="20"/>
                <w:szCs w:val="20"/>
              </w:rPr>
              <w:t>Article I, Section 22</w:t>
            </w:r>
            <w:r>
              <w:rPr>
                <w:rFonts w:ascii="Arial" w:hAnsi="Arial" w:cs="Arial"/>
                <w:sz w:val="20"/>
                <w:szCs w:val="20"/>
              </w:rPr>
              <w:t>.</w:t>
            </w:r>
          </w:p>
          <w:p w14:paraId="4124AEB9" w14:textId="47A3C8BD" w:rsidR="00343D73" w:rsidRDefault="004176FF" w:rsidP="004176FF">
            <w:pPr>
              <w:pStyle w:val="Default"/>
              <w:numPr>
                <w:ilvl w:val="1"/>
                <w:numId w:val="1"/>
              </w:numPr>
              <w:rPr>
                <w:rFonts w:ascii="Arial" w:hAnsi="Arial" w:cs="Arial"/>
                <w:sz w:val="20"/>
                <w:szCs w:val="20"/>
              </w:rPr>
            </w:pPr>
            <w:r w:rsidRPr="004176FF">
              <w:rPr>
                <w:rFonts w:ascii="Arial" w:hAnsi="Arial" w:cs="Arial"/>
                <w:sz w:val="20"/>
                <w:szCs w:val="20"/>
              </w:rPr>
              <w:t>The current maps violate Article I, Section 22 of the Wisconsin</w:t>
            </w:r>
            <w:r>
              <w:rPr>
                <w:rFonts w:ascii="Arial" w:hAnsi="Arial" w:cs="Arial"/>
                <w:sz w:val="20"/>
                <w:szCs w:val="20"/>
              </w:rPr>
              <w:t xml:space="preserve"> </w:t>
            </w:r>
            <w:r w:rsidRPr="004176FF">
              <w:rPr>
                <w:rFonts w:ascii="Arial" w:hAnsi="Arial" w:cs="Arial"/>
                <w:sz w:val="20"/>
                <w:szCs w:val="20"/>
              </w:rPr>
              <w:t>Constitution because they are an extreme departure from a “firm adherence to</w:t>
            </w:r>
            <w:r>
              <w:rPr>
                <w:rFonts w:ascii="Arial" w:hAnsi="Arial" w:cs="Arial"/>
                <w:sz w:val="20"/>
                <w:szCs w:val="20"/>
              </w:rPr>
              <w:t xml:space="preserve"> </w:t>
            </w:r>
            <w:r w:rsidRPr="004176FF">
              <w:rPr>
                <w:rFonts w:ascii="Arial" w:hAnsi="Arial" w:cs="Arial"/>
                <w:sz w:val="20"/>
                <w:szCs w:val="20"/>
              </w:rPr>
              <w:t>justice, moderation, temperance, frugality and virtue” and a “frequent recurrence to</w:t>
            </w:r>
            <w:r>
              <w:rPr>
                <w:rFonts w:ascii="Arial" w:hAnsi="Arial" w:cs="Arial"/>
                <w:sz w:val="20"/>
                <w:szCs w:val="20"/>
              </w:rPr>
              <w:t xml:space="preserve"> </w:t>
            </w:r>
            <w:r w:rsidRPr="004176FF">
              <w:rPr>
                <w:rFonts w:ascii="Arial" w:hAnsi="Arial" w:cs="Arial"/>
                <w:sz w:val="20"/>
                <w:szCs w:val="20"/>
              </w:rPr>
              <w:t>fundamental principles.”</w:t>
            </w:r>
          </w:p>
          <w:p w14:paraId="38037209" w14:textId="3A197726" w:rsidR="005E1879" w:rsidRDefault="005E1879" w:rsidP="005E1879">
            <w:pPr>
              <w:pStyle w:val="Default"/>
              <w:numPr>
                <w:ilvl w:val="1"/>
                <w:numId w:val="1"/>
              </w:numPr>
              <w:rPr>
                <w:rFonts w:ascii="Arial" w:hAnsi="Arial" w:cs="Arial"/>
                <w:sz w:val="20"/>
                <w:szCs w:val="20"/>
              </w:rPr>
            </w:pPr>
            <w:r w:rsidRPr="005E1879">
              <w:rPr>
                <w:rFonts w:ascii="Arial" w:hAnsi="Arial" w:cs="Arial"/>
                <w:sz w:val="20"/>
                <w:szCs w:val="20"/>
              </w:rPr>
              <w:t>The current legislative maps violate Article I, Section 22 by</w:t>
            </w:r>
            <w:r>
              <w:rPr>
                <w:rFonts w:ascii="Arial" w:hAnsi="Arial" w:cs="Arial"/>
                <w:sz w:val="20"/>
                <w:szCs w:val="20"/>
              </w:rPr>
              <w:t xml:space="preserve"> </w:t>
            </w:r>
            <w:r w:rsidRPr="005E1879">
              <w:rPr>
                <w:rFonts w:ascii="Arial" w:hAnsi="Arial" w:cs="Arial"/>
                <w:sz w:val="20"/>
                <w:szCs w:val="20"/>
              </w:rPr>
              <w:t>disfavoring Democratic-supporting voters and preventing them from having an</w:t>
            </w:r>
            <w:r>
              <w:rPr>
                <w:rFonts w:ascii="Arial" w:hAnsi="Arial" w:cs="Arial"/>
                <w:sz w:val="20"/>
                <w:szCs w:val="20"/>
              </w:rPr>
              <w:t xml:space="preserve"> </w:t>
            </w:r>
            <w:r w:rsidRPr="005E1879">
              <w:rPr>
                <w:rFonts w:ascii="Arial" w:hAnsi="Arial" w:cs="Arial"/>
                <w:sz w:val="20"/>
                <w:szCs w:val="20"/>
              </w:rPr>
              <w:t>equal opportunity to participate in the political process.</w:t>
            </w:r>
          </w:p>
          <w:p w14:paraId="0BB12BDB" w14:textId="0B981859" w:rsidR="002941E3" w:rsidRDefault="002941E3" w:rsidP="002941E3">
            <w:pPr>
              <w:pStyle w:val="Default"/>
              <w:numPr>
                <w:ilvl w:val="1"/>
                <w:numId w:val="1"/>
              </w:numPr>
              <w:rPr>
                <w:rFonts w:ascii="Arial" w:hAnsi="Arial" w:cs="Arial"/>
                <w:sz w:val="20"/>
                <w:szCs w:val="20"/>
              </w:rPr>
            </w:pPr>
            <w:r w:rsidRPr="002941E3">
              <w:rPr>
                <w:rFonts w:ascii="Arial" w:hAnsi="Arial" w:cs="Arial"/>
                <w:sz w:val="20"/>
                <w:szCs w:val="20"/>
              </w:rPr>
              <w:lastRenderedPageBreak/>
              <w:t>Seeking partisan advantage in the drawing of state legislative districts</w:t>
            </w:r>
            <w:r>
              <w:rPr>
                <w:rFonts w:ascii="Arial" w:hAnsi="Arial" w:cs="Arial"/>
                <w:sz w:val="20"/>
                <w:szCs w:val="20"/>
              </w:rPr>
              <w:t xml:space="preserve"> </w:t>
            </w:r>
            <w:r w:rsidRPr="002941E3">
              <w:rPr>
                <w:rFonts w:ascii="Arial" w:hAnsi="Arial" w:cs="Arial"/>
                <w:sz w:val="20"/>
                <w:szCs w:val="20"/>
              </w:rPr>
              <w:t>is not moderate, and furthers no rational state interest, let alone a compelling state</w:t>
            </w:r>
            <w:r>
              <w:rPr>
                <w:rFonts w:ascii="Arial" w:hAnsi="Arial" w:cs="Arial"/>
                <w:sz w:val="20"/>
                <w:szCs w:val="20"/>
              </w:rPr>
              <w:t xml:space="preserve"> </w:t>
            </w:r>
            <w:r w:rsidRPr="002941E3">
              <w:rPr>
                <w:rFonts w:ascii="Arial" w:hAnsi="Arial" w:cs="Arial"/>
                <w:sz w:val="20"/>
                <w:szCs w:val="20"/>
              </w:rPr>
              <w:t>interest.</w:t>
            </w:r>
          </w:p>
          <w:p w14:paraId="04E0305A" w14:textId="3D9120A6" w:rsidR="00F85D8B" w:rsidRDefault="00F85D8B" w:rsidP="00F85D8B">
            <w:pPr>
              <w:pStyle w:val="Default"/>
              <w:numPr>
                <w:ilvl w:val="0"/>
                <w:numId w:val="1"/>
              </w:numPr>
              <w:rPr>
                <w:rFonts w:ascii="Arial" w:hAnsi="Arial" w:cs="Arial"/>
                <w:sz w:val="20"/>
                <w:szCs w:val="20"/>
              </w:rPr>
            </w:pPr>
            <w:r w:rsidRPr="00F85D8B">
              <w:rPr>
                <w:rFonts w:ascii="Arial" w:hAnsi="Arial" w:cs="Arial"/>
                <w:b/>
                <w:bCs/>
                <w:sz w:val="20"/>
                <w:szCs w:val="20"/>
              </w:rPr>
              <w:t>Count Four:</w:t>
            </w:r>
            <w:r>
              <w:rPr>
                <w:rFonts w:ascii="Arial" w:hAnsi="Arial" w:cs="Arial"/>
                <w:sz w:val="20"/>
                <w:szCs w:val="20"/>
              </w:rPr>
              <w:t xml:space="preserve"> </w:t>
            </w:r>
            <w:r w:rsidRPr="00F85D8B">
              <w:rPr>
                <w:rFonts w:ascii="Arial" w:hAnsi="Arial" w:cs="Arial"/>
                <w:sz w:val="20"/>
                <w:szCs w:val="20"/>
              </w:rPr>
              <w:t>The Current State Assembly and Senate Maps Violate</w:t>
            </w:r>
            <w:r>
              <w:rPr>
                <w:rFonts w:ascii="Arial" w:hAnsi="Arial" w:cs="Arial"/>
                <w:sz w:val="20"/>
                <w:szCs w:val="20"/>
              </w:rPr>
              <w:t xml:space="preserve"> </w:t>
            </w:r>
            <w:r w:rsidRPr="00F85D8B">
              <w:rPr>
                <w:rFonts w:ascii="Arial" w:hAnsi="Arial" w:cs="Arial"/>
                <w:sz w:val="20"/>
                <w:szCs w:val="20"/>
              </w:rPr>
              <w:t>the Contiguity Requirement</w:t>
            </w:r>
            <w:r>
              <w:rPr>
                <w:rFonts w:ascii="Arial" w:hAnsi="Arial" w:cs="Arial"/>
                <w:sz w:val="20"/>
                <w:szCs w:val="20"/>
              </w:rPr>
              <w:t xml:space="preserve"> </w:t>
            </w:r>
            <w:r w:rsidRPr="00F85D8B">
              <w:rPr>
                <w:rFonts w:ascii="Arial" w:hAnsi="Arial" w:cs="Arial"/>
                <w:sz w:val="20"/>
                <w:szCs w:val="20"/>
              </w:rPr>
              <w:t>Article IV, Sections 4 and 5</w:t>
            </w:r>
            <w:r>
              <w:rPr>
                <w:rFonts w:ascii="Arial" w:hAnsi="Arial" w:cs="Arial"/>
                <w:sz w:val="20"/>
                <w:szCs w:val="20"/>
              </w:rPr>
              <w:t>.</w:t>
            </w:r>
          </w:p>
          <w:p w14:paraId="696E77B8" w14:textId="5CADA777" w:rsidR="00F85D8B" w:rsidRDefault="00604B3E" w:rsidP="00604B3E">
            <w:pPr>
              <w:pStyle w:val="Default"/>
              <w:numPr>
                <w:ilvl w:val="1"/>
                <w:numId w:val="1"/>
              </w:numPr>
              <w:rPr>
                <w:rFonts w:ascii="Arial" w:hAnsi="Arial" w:cs="Arial"/>
                <w:sz w:val="20"/>
                <w:szCs w:val="20"/>
              </w:rPr>
            </w:pPr>
            <w:r w:rsidRPr="00604B3E">
              <w:rPr>
                <w:rFonts w:ascii="Arial" w:hAnsi="Arial" w:cs="Arial"/>
                <w:sz w:val="20"/>
                <w:szCs w:val="20"/>
              </w:rPr>
              <w:t>The current maps violate Article IV, Sections 4 and 5 on their face</w:t>
            </w:r>
            <w:r>
              <w:rPr>
                <w:rFonts w:ascii="Arial" w:hAnsi="Arial" w:cs="Arial"/>
                <w:sz w:val="20"/>
                <w:szCs w:val="20"/>
              </w:rPr>
              <w:t xml:space="preserve"> </w:t>
            </w:r>
            <w:r w:rsidRPr="00604B3E">
              <w:rPr>
                <w:rFonts w:ascii="Arial" w:hAnsi="Arial" w:cs="Arial"/>
                <w:sz w:val="20"/>
                <w:szCs w:val="20"/>
              </w:rPr>
              <w:t>because they contain 55 assembly districts and 21 senate districts that have</w:t>
            </w:r>
            <w:r>
              <w:rPr>
                <w:rFonts w:ascii="Arial" w:hAnsi="Arial" w:cs="Arial"/>
                <w:sz w:val="20"/>
                <w:szCs w:val="20"/>
              </w:rPr>
              <w:t xml:space="preserve"> </w:t>
            </w:r>
            <w:r w:rsidRPr="00604B3E">
              <w:rPr>
                <w:rFonts w:ascii="Arial" w:hAnsi="Arial" w:cs="Arial"/>
                <w:sz w:val="20"/>
                <w:szCs w:val="20"/>
              </w:rPr>
              <w:t>detached, noncontiguous territory.</w:t>
            </w:r>
          </w:p>
          <w:p w14:paraId="3B8456F6" w14:textId="67A447DB" w:rsidR="005062C8" w:rsidRDefault="005062C8" w:rsidP="005062C8">
            <w:pPr>
              <w:pStyle w:val="Default"/>
              <w:numPr>
                <w:ilvl w:val="1"/>
                <w:numId w:val="1"/>
              </w:numPr>
              <w:rPr>
                <w:rFonts w:ascii="Arial" w:hAnsi="Arial" w:cs="Arial"/>
                <w:sz w:val="20"/>
                <w:szCs w:val="20"/>
              </w:rPr>
            </w:pPr>
            <w:r w:rsidRPr="005062C8">
              <w:rPr>
                <w:rFonts w:ascii="Arial" w:hAnsi="Arial" w:cs="Arial"/>
                <w:sz w:val="20"/>
                <w:szCs w:val="20"/>
              </w:rPr>
              <w:t>The noncontiguous districts in the current maps are not necessary, as</w:t>
            </w:r>
            <w:r>
              <w:rPr>
                <w:rFonts w:ascii="Arial" w:hAnsi="Arial" w:cs="Arial"/>
                <w:sz w:val="20"/>
                <w:szCs w:val="20"/>
              </w:rPr>
              <w:t xml:space="preserve"> </w:t>
            </w:r>
            <w:r w:rsidRPr="005062C8">
              <w:rPr>
                <w:rFonts w:ascii="Arial" w:hAnsi="Arial" w:cs="Arial"/>
                <w:sz w:val="20"/>
                <w:szCs w:val="20"/>
              </w:rPr>
              <w:t>it is possible to draw maps that are “bounded by county, precinct, town or ward</w:t>
            </w:r>
            <w:r>
              <w:rPr>
                <w:rFonts w:ascii="Arial" w:hAnsi="Arial" w:cs="Arial"/>
                <w:sz w:val="20"/>
                <w:szCs w:val="20"/>
              </w:rPr>
              <w:t xml:space="preserve"> </w:t>
            </w:r>
            <w:r w:rsidRPr="005062C8">
              <w:rPr>
                <w:rFonts w:ascii="Arial" w:hAnsi="Arial" w:cs="Arial"/>
                <w:sz w:val="20"/>
                <w:szCs w:val="20"/>
              </w:rPr>
              <w:t>lines” and contiguous.</w:t>
            </w:r>
          </w:p>
          <w:p w14:paraId="58E09E2B" w14:textId="51305713" w:rsidR="00C9294F" w:rsidRDefault="00C9294F" w:rsidP="00C9294F">
            <w:pPr>
              <w:pStyle w:val="Default"/>
              <w:numPr>
                <w:ilvl w:val="0"/>
                <w:numId w:val="1"/>
              </w:numPr>
              <w:rPr>
                <w:rFonts w:ascii="Arial" w:hAnsi="Arial" w:cs="Arial"/>
                <w:sz w:val="20"/>
                <w:szCs w:val="20"/>
              </w:rPr>
            </w:pPr>
            <w:r w:rsidRPr="00C9294F">
              <w:rPr>
                <w:rFonts w:ascii="Arial" w:hAnsi="Arial" w:cs="Arial"/>
                <w:b/>
                <w:bCs/>
                <w:sz w:val="20"/>
                <w:szCs w:val="20"/>
              </w:rPr>
              <w:t>Count Five:</w:t>
            </w:r>
            <w:r>
              <w:rPr>
                <w:rFonts w:ascii="Arial" w:hAnsi="Arial" w:cs="Arial"/>
                <w:sz w:val="20"/>
                <w:szCs w:val="20"/>
              </w:rPr>
              <w:t xml:space="preserve"> </w:t>
            </w:r>
            <w:r w:rsidRPr="00C9294F">
              <w:rPr>
                <w:rFonts w:ascii="Arial" w:hAnsi="Arial" w:cs="Arial"/>
                <w:sz w:val="20"/>
                <w:szCs w:val="20"/>
              </w:rPr>
              <w:t>Violation of Separation of Powers Doctrine</w:t>
            </w:r>
          </w:p>
          <w:p w14:paraId="397BDE4B" w14:textId="706BB981" w:rsidR="00C9294F" w:rsidRPr="00C9294F" w:rsidRDefault="00C9294F" w:rsidP="00C9294F">
            <w:pPr>
              <w:pStyle w:val="Default"/>
              <w:numPr>
                <w:ilvl w:val="1"/>
                <w:numId w:val="1"/>
              </w:numPr>
              <w:rPr>
                <w:rFonts w:ascii="Arial" w:hAnsi="Arial" w:cs="Arial"/>
                <w:sz w:val="20"/>
                <w:szCs w:val="20"/>
              </w:rPr>
            </w:pPr>
            <w:r w:rsidRPr="00C9294F">
              <w:rPr>
                <w:rFonts w:ascii="Arial" w:hAnsi="Arial" w:cs="Arial"/>
                <w:sz w:val="20"/>
                <w:szCs w:val="20"/>
              </w:rPr>
              <w:t>The Governor’s power to veto legislation and the Legislature’s power</w:t>
            </w:r>
            <w:r>
              <w:rPr>
                <w:rFonts w:ascii="Arial" w:hAnsi="Arial" w:cs="Arial"/>
                <w:sz w:val="20"/>
                <w:szCs w:val="20"/>
              </w:rPr>
              <w:t xml:space="preserve"> </w:t>
            </w:r>
            <w:r w:rsidRPr="00C9294F">
              <w:rPr>
                <w:rFonts w:ascii="Arial" w:hAnsi="Arial" w:cs="Arial"/>
                <w:sz w:val="20"/>
                <w:szCs w:val="20"/>
              </w:rPr>
              <w:t>to override that veto are core powers of both branches of government that are</w:t>
            </w:r>
            <w:r>
              <w:rPr>
                <w:rFonts w:ascii="Arial" w:hAnsi="Arial" w:cs="Arial"/>
                <w:sz w:val="20"/>
                <w:szCs w:val="20"/>
              </w:rPr>
              <w:t xml:space="preserve"> </w:t>
            </w:r>
            <w:r w:rsidRPr="00C9294F">
              <w:rPr>
                <w:rFonts w:ascii="Arial" w:hAnsi="Arial" w:cs="Arial"/>
                <w:sz w:val="20"/>
                <w:szCs w:val="20"/>
              </w:rPr>
              <w:t>protected by the Wisconsin Constitution.</w:t>
            </w:r>
          </w:p>
          <w:p w14:paraId="1D6F7893" w14:textId="0C1FBB46" w:rsidR="00C9294F" w:rsidRDefault="00C9294F" w:rsidP="00C9294F">
            <w:pPr>
              <w:pStyle w:val="Default"/>
              <w:numPr>
                <w:ilvl w:val="1"/>
                <w:numId w:val="1"/>
              </w:numPr>
              <w:rPr>
                <w:rFonts w:ascii="Arial" w:hAnsi="Arial" w:cs="Arial"/>
                <w:sz w:val="20"/>
                <w:szCs w:val="20"/>
              </w:rPr>
            </w:pPr>
            <w:r w:rsidRPr="00C9294F">
              <w:rPr>
                <w:rFonts w:ascii="Arial" w:hAnsi="Arial" w:cs="Arial"/>
                <w:sz w:val="20"/>
                <w:szCs w:val="20"/>
              </w:rPr>
              <w:t xml:space="preserve">This Court usurped these powers in </w:t>
            </w:r>
            <w:r w:rsidRPr="00C9294F">
              <w:rPr>
                <w:rFonts w:ascii="Arial" w:hAnsi="Arial" w:cs="Arial"/>
                <w:i/>
                <w:iCs/>
                <w:sz w:val="20"/>
                <w:szCs w:val="20"/>
              </w:rPr>
              <w:t xml:space="preserve">Johnson III </w:t>
            </w:r>
            <w:r w:rsidRPr="00C9294F">
              <w:rPr>
                <w:rFonts w:ascii="Arial" w:hAnsi="Arial" w:cs="Arial"/>
                <w:sz w:val="20"/>
                <w:szCs w:val="20"/>
              </w:rPr>
              <w:t>by imposing the exact</w:t>
            </w:r>
            <w:r>
              <w:rPr>
                <w:rFonts w:ascii="Arial" w:hAnsi="Arial" w:cs="Arial"/>
                <w:sz w:val="20"/>
                <w:szCs w:val="20"/>
              </w:rPr>
              <w:t xml:space="preserve"> </w:t>
            </w:r>
            <w:r w:rsidRPr="00C9294F">
              <w:rPr>
                <w:rFonts w:ascii="Arial" w:hAnsi="Arial" w:cs="Arial"/>
                <w:sz w:val="20"/>
                <w:szCs w:val="20"/>
              </w:rPr>
              <w:t>legislation vetoed by Governor Evers in violation of the Constitution.</w:t>
            </w:r>
          </w:p>
          <w:p w14:paraId="2755E016" w14:textId="2D5ABF2B" w:rsidR="00090C36" w:rsidRDefault="00090C36" w:rsidP="00090C36">
            <w:pPr>
              <w:pStyle w:val="Default"/>
              <w:numPr>
                <w:ilvl w:val="0"/>
                <w:numId w:val="1"/>
              </w:numPr>
              <w:rPr>
                <w:rFonts w:ascii="Arial" w:hAnsi="Arial" w:cs="Arial"/>
                <w:sz w:val="20"/>
                <w:szCs w:val="20"/>
              </w:rPr>
            </w:pPr>
            <w:r w:rsidRPr="00090C36">
              <w:rPr>
                <w:rFonts w:ascii="Arial" w:hAnsi="Arial" w:cs="Arial"/>
                <w:sz w:val="20"/>
                <w:szCs w:val="20"/>
              </w:rPr>
              <w:t>Reasons Why This Court Should Take</w:t>
            </w:r>
            <w:r>
              <w:rPr>
                <w:rFonts w:ascii="Arial" w:hAnsi="Arial" w:cs="Arial"/>
                <w:sz w:val="20"/>
                <w:szCs w:val="20"/>
              </w:rPr>
              <w:t xml:space="preserve"> </w:t>
            </w:r>
            <w:r w:rsidRPr="00090C36">
              <w:rPr>
                <w:rFonts w:ascii="Arial" w:hAnsi="Arial" w:cs="Arial"/>
                <w:sz w:val="20"/>
                <w:szCs w:val="20"/>
              </w:rPr>
              <w:t>Jurisdiction</w:t>
            </w:r>
            <w:r w:rsidR="004C38A7">
              <w:rPr>
                <w:rFonts w:ascii="Arial" w:hAnsi="Arial" w:cs="Arial"/>
                <w:sz w:val="20"/>
                <w:szCs w:val="20"/>
              </w:rPr>
              <w:t>.</w:t>
            </w:r>
          </w:p>
          <w:p w14:paraId="14F6957C" w14:textId="7341AF02" w:rsidR="00090C36" w:rsidRDefault="00B63BD9" w:rsidP="00B63BD9">
            <w:pPr>
              <w:pStyle w:val="Default"/>
              <w:numPr>
                <w:ilvl w:val="1"/>
                <w:numId w:val="1"/>
              </w:numPr>
              <w:rPr>
                <w:rFonts w:ascii="Arial" w:hAnsi="Arial" w:cs="Arial"/>
                <w:sz w:val="20"/>
                <w:szCs w:val="20"/>
              </w:rPr>
            </w:pPr>
            <w:r w:rsidRPr="00B63BD9">
              <w:rPr>
                <w:rFonts w:ascii="Arial" w:hAnsi="Arial" w:cs="Arial"/>
                <w:sz w:val="20"/>
                <w:szCs w:val="20"/>
              </w:rPr>
              <w:t>Original jurisdiction is appropriate where “the questions presented</w:t>
            </w:r>
            <w:r>
              <w:rPr>
                <w:rFonts w:ascii="Arial" w:hAnsi="Arial" w:cs="Arial"/>
                <w:sz w:val="20"/>
                <w:szCs w:val="20"/>
              </w:rPr>
              <w:t xml:space="preserve"> </w:t>
            </w:r>
            <w:r w:rsidRPr="00B63BD9">
              <w:rPr>
                <w:rFonts w:ascii="Arial" w:hAnsi="Arial" w:cs="Arial"/>
                <w:sz w:val="20"/>
                <w:szCs w:val="20"/>
              </w:rPr>
              <w:t>are of such importance as under the circumstances to call for [a] speedy and</w:t>
            </w:r>
            <w:r>
              <w:rPr>
                <w:rFonts w:ascii="Arial" w:hAnsi="Arial" w:cs="Arial"/>
                <w:sz w:val="20"/>
                <w:szCs w:val="20"/>
              </w:rPr>
              <w:t xml:space="preserve"> </w:t>
            </w:r>
            <w:r w:rsidRPr="00B63BD9">
              <w:rPr>
                <w:rFonts w:ascii="Arial" w:hAnsi="Arial" w:cs="Arial"/>
                <w:sz w:val="20"/>
                <w:szCs w:val="20"/>
              </w:rPr>
              <w:t xml:space="preserve">authoritative determination by this court in the first instance” jurisdiction. </w:t>
            </w:r>
          </w:p>
          <w:p w14:paraId="73803CBF" w14:textId="186832E0" w:rsidR="00B63BD9" w:rsidRDefault="00174406" w:rsidP="00174406">
            <w:pPr>
              <w:pStyle w:val="Default"/>
              <w:numPr>
                <w:ilvl w:val="2"/>
                <w:numId w:val="1"/>
              </w:numPr>
              <w:rPr>
                <w:rFonts w:ascii="Arial" w:hAnsi="Arial" w:cs="Arial"/>
                <w:sz w:val="20"/>
                <w:szCs w:val="20"/>
              </w:rPr>
            </w:pPr>
            <w:r w:rsidRPr="00174406">
              <w:rPr>
                <w:rFonts w:ascii="Arial" w:hAnsi="Arial" w:cs="Arial"/>
                <w:sz w:val="20"/>
                <w:szCs w:val="20"/>
              </w:rPr>
              <w:t>This Court should grant</w:t>
            </w:r>
            <w:r>
              <w:rPr>
                <w:rFonts w:ascii="Arial" w:hAnsi="Arial" w:cs="Arial"/>
                <w:sz w:val="20"/>
                <w:szCs w:val="20"/>
              </w:rPr>
              <w:t xml:space="preserve"> </w:t>
            </w:r>
            <w:r w:rsidRPr="00174406">
              <w:rPr>
                <w:rFonts w:ascii="Arial" w:hAnsi="Arial" w:cs="Arial"/>
                <w:sz w:val="20"/>
                <w:szCs w:val="20"/>
              </w:rPr>
              <w:t>such a petition when the case is a matter of significant public concern and</w:t>
            </w:r>
            <w:r>
              <w:rPr>
                <w:rFonts w:ascii="Arial" w:hAnsi="Arial" w:cs="Arial"/>
                <w:sz w:val="20"/>
                <w:szCs w:val="20"/>
              </w:rPr>
              <w:t xml:space="preserve"> </w:t>
            </w:r>
            <w:r w:rsidRPr="00174406">
              <w:rPr>
                <w:rFonts w:ascii="Arial" w:hAnsi="Arial" w:cs="Arial"/>
                <w:sz w:val="20"/>
                <w:szCs w:val="20"/>
              </w:rPr>
              <w:t>importance, such that it affects the entire state.</w:t>
            </w:r>
          </w:p>
          <w:p w14:paraId="3CF2FCB2" w14:textId="05AA7F10" w:rsidR="00174406" w:rsidRDefault="00D24915" w:rsidP="00D24915">
            <w:pPr>
              <w:pStyle w:val="Default"/>
              <w:numPr>
                <w:ilvl w:val="1"/>
                <w:numId w:val="1"/>
              </w:numPr>
              <w:rPr>
                <w:rFonts w:ascii="Arial" w:hAnsi="Arial" w:cs="Arial"/>
                <w:sz w:val="20"/>
                <w:szCs w:val="20"/>
              </w:rPr>
            </w:pPr>
            <w:r w:rsidRPr="00D24915">
              <w:rPr>
                <w:rFonts w:ascii="Arial" w:hAnsi="Arial" w:cs="Arial"/>
                <w:sz w:val="20"/>
                <w:szCs w:val="20"/>
              </w:rPr>
              <w:t>Only two years ago, this Court explained that cases involving the</w:t>
            </w:r>
            <w:r>
              <w:rPr>
                <w:rFonts w:ascii="Arial" w:hAnsi="Arial" w:cs="Arial"/>
                <w:sz w:val="20"/>
                <w:szCs w:val="20"/>
              </w:rPr>
              <w:t xml:space="preserve"> </w:t>
            </w:r>
            <w:r w:rsidRPr="00D24915">
              <w:rPr>
                <w:rFonts w:ascii="Arial" w:hAnsi="Arial" w:cs="Arial"/>
                <w:sz w:val="20"/>
                <w:szCs w:val="20"/>
              </w:rPr>
              <w:t>composition of Wisconsin’s legislative districts should be heard as original actions:</w:t>
            </w:r>
            <w:r>
              <w:rPr>
                <w:rFonts w:ascii="Arial" w:hAnsi="Arial" w:cs="Arial"/>
                <w:sz w:val="20"/>
                <w:szCs w:val="20"/>
              </w:rPr>
              <w:t xml:space="preserve"> </w:t>
            </w:r>
            <w:r w:rsidRPr="00D24915">
              <w:rPr>
                <w:rFonts w:ascii="Arial" w:hAnsi="Arial" w:cs="Arial"/>
                <w:sz w:val="20"/>
                <w:szCs w:val="20"/>
              </w:rPr>
              <w:t>“We granted the petition in this case because ‘[t]here is no question ... that this</w:t>
            </w:r>
            <w:r>
              <w:rPr>
                <w:rFonts w:ascii="Arial" w:hAnsi="Arial" w:cs="Arial"/>
                <w:sz w:val="20"/>
                <w:szCs w:val="20"/>
              </w:rPr>
              <w:t xml:space="preserve"> </w:t>
            </w:r>
            <w:r w:rsidRPr="00D24915">
              <w:rPr>
                <w:rFonts w:ascii="Arial" w:hAnsi="Arial" w:cs="Arial"/>
                <w:sz w:val="20"/>
                <w:szCs w:val="20"/>
              </w:rPr>
              <w:t>matter warrants this court's original jurisdiction; any reapportionment or</w:t>
            </w:r>
            <w:r>
              <w:rPr>
                <w:rFonts w:ascii="Arial" w:hAnsi="Arial" w:cs="Arial"/>
                <w:sz w:val="20"/>
                <w:szCs w:val="20"/>
              </w:rPr>
              <w:t xml:space="preserve"> </w:t>
            </w:r>
            <w:r w:rsidRPr="00D24915">
              <w:rPr>
                <w:rFonts w:ascii="Arial" w:hAnsi="Arial" w:cs="Arial"/>
                <w:sz w:val="20"/>
                <w:szCs w:val="20"/>
              </w:rPr>
              <w:t xml:space="preserve">redistricting case is, by definition </w:t>
            </w:r>
            <w:r w:rsidRPr="00B60DA7">
              <w:rPr>
                <w:rFonts w:ascii="Arial" w:hAnsi="Arial" w:cs="Arial"/>
                <w:i/>
                <w:iCs/>
                <w:sz w:val="20"/>
                <w:szCs w:val="20"/>
              </w:rPr>
              <w:t>publici juris</w:t>
            </w:r>
            <w:r w:rsidRPr="00D24915">
              <w:rPr>
                <w:rFonts w:ascii="Arial" w:hAnsi="Arial" w:cs="Arial"/>
                <w:sz w:val="20"/>
                <w:szCs w:val="20"/>
              </w:rPr>
              <w:t>, implicating the sovereign rights of</w:t>
            </w:r>
            <w:r>
              <w:rPr>
                <w:rFonts w:ascii="Arial" w:hAnsi="Arial" w:cs="Arial"/>
                <w:sz w:val="20"/>
                <w:szCs w:val="20"/>
              </w:rPr>
              <w:t xml:space="preserve"> </w:t>
            </w:r>
            <w:r w:rsidRPr="00D24915">
              <w:rPr>
                <w:rFonts w:ascii="Arial" w:hAnsi="Arial" w:cs="Arial"/>
                <w:sz w:val="20"/>
                <w:szCs w:val="20"/>
              </w:rPr>
              <w:t xml:space="preserve">the people of this state.’” </w:t>
            </w:r>
            <w:r w:rsidRPr="00B60DA7">
              <w:rPr>
                <w:rFonts w:ascii="Arial" w:hAnsi="Arial" w:cs="Arial"/>
                <w:i/>
                <w:iCs/>
                <w:sz w:val="20"/>
                <w:szCs w:val="20"/>
              </w:rPr>
              <w:t>Johnson I</w:t>
            </w:r>
            <w:r w:rsidR="00B60DA7">
              <w:rPr>
                <w:rFonts w:ascii="Arial" w:hAnsi="Arial" w:cs="Arial"/>
                <w:sz w:val="20"/>
                <w:szCs w:val="20"/>
              </w:rPr>
              <w:t>.</w:t>
            </w:r>
          </w:p>
          <w:p w14:paraId="64E178C4" w14:textId="7319BEE5" w:rsidR="00B565C5" w:rsidRPr="00B565C5" w:rsidRDefault="00B565C5" w:rsidP="00B565C5">
            <w:pPr>
              <w:pStyle w:val="Default"/>
              <w:numPr>
                <w:ilvl w:val="1"/>
                <w:numId w:val="1"/>
              </w:numPr>
              <w:rPr>
                <w:rFonts w:ascii="Arial" w:hAnsi="Arial" w:cs="Arial"/>
                <w:sz w:val="20"/>
                <w:szCs w:val="20"/>
              </w:rPr>
            </w:pPr>
            <w:r w:rsidRPr="00B565C5">
              <w:rPr>
                <w:rFonts w:ascii="Arial" w:hAnsi="Arial" w:cs="Arial"/>
                <w:sz w:val="20"/>
                <w:szCs w:val="20"/>
              </w:rPr>
              <w:t>In addition to these general reasons favoring original jurisdiction,</w:t>
            </w:r>
            <w:r>
              <w:rPr>
                <w:rFonts w:ascii="Arial" w:hAnsi="Arial" w:cs="Arial"/>
                <w:sz w:val="20"/>
                <w:szCs w:val="20"/>
              </w:rPr>
              <w:t xml:space="preserve"> </w:t>
            </w:r>
            <w:r w:rsidRPr="00B565C5">
              <w:rPr>
                <w:rFonts w:ascii="Arial" w:hAnsi="Arial" w:cs="Arial"/>
                <w:sz w:val="20"/>
                <w:szCs w:val="20"/>
              </w:rPr>
              <w:t>Petitioner’s Memorandum of Law provides four reasons why only this Court can</w:t>
            </w:r>
            <w:r>
              <w:rPr>
                <w:rFonts w:ascii="Arial" w:hAnsi="Arial" w:cs="Arial"/>
                <w:sz w:val="20"/>
                <w:szCs w:val="20"/>
              </w:rPr>
              <w:t xml:space="preserve"> </w:t>
            </w:r>
            <w:r w:rsidRPr="00B565C5">
              <w:rPr>
                <w:rFonts w:ascii="Arial" w:hAnsi="Arial" w:cs="Arial"/>
                <w:sz w:val="20"/>
                <w:szCs w:val="20"/>
              </w:rPr>
              <w:t>fully and efficiently adjudicate Petitioners’ constitutional challenges to the existing</w:t>
            </w:r>
            <w:r>
              <w:rPr>
                <w:rFonts w:ascii="Arial" w:hAnsi="Arial" w:cs="Arial"/>
                <w:sz w:val="20"/>
                <w:szCs w:val="20"/>
              </w:rPr>
              <w:t xml:space="preserve"> </w:t>
            </w:r>
            <w:r w:rsidRPr="00B565C5">
              <w:rPr>
                <w:rFonts w:ascii="Arial" w:hAnsi="Arial" w:cs="Arial"/>
                <w:sz w:val="20"/>
                <w:szCs w:val="20"/>
              </w:rPr>
              <w:t>legislative districts and provide an appropriate remedy that ensures that all future</w:t>
            </w:r>
            <w:r>
              <w:rPr>
                <w:rFonts w:ascii="Arial" w:hAnsi="Arial" w:cs="Arial"/>
                <w:sz w:val="20"/>
                <w:szCs w:val="20"/>
              </w:rPr>
              <w:t xml:space="preserve"> </w:t>
            </w:r>
            <w:r w:rsidRPr="00B565C5">
              <w:rPr>
                <w:rFonts w:ascii="Arial" w:hAnsi="Arial" w:cs="Arial"/>
                <w:sz w:val="20"/>
                <w:szCs w:val="20"/>
              </w:rPr>
              <w:t>Wisconsin legislative elections are conducted in accordance with our Constitution.</w:t>
            </w:r>
          </w:p>
          <w:p w14:paraId="2B5C0BDB" w14:textId="0DD5C622" w:rsidR="00EB504A" w:rsidRPr="00973F9F" w:rsidRDefault="00EB504A" w:rsidP="00EB504A">
            <w:pPr>
              <w:pStyle w:val="Default"/>
              <w:rPr>
                <w:rFonts w:ascii="Arial" w:hAnsi="Arial" w:cs="Arial"/>
                <w:sz w:val="20"/>
                <w:szCs w:val="20"/>
              </w:rPr>
            </w:pPr>
          </w:p>
        </w:tc>
      </w:tr>
      <w:tr w:rsidR="00ED671F" w:rsidRPr="008D467C" w14:paraId="657474FF" w14:textId="77777777" w:rsidTr="00B07787">
        <w:trPr>
          <w:trHeight w:val="1692"/>
        </w:trPr>
        <w:tc>
          <w:tcPr>
            <w:tcW w:w="1998" w:type="dxa"/>
            <w:tcBorders>
              <w:left w:val="nil"/>
              <w:bottom w:val="nil"/>
            </w:tcBorders>
          </w:tcPr>
          <w:p w14:paraId="37041526" w14:textId="77777777"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lastRenderedPageBreak/>
              <w:t xml:space="preserve">Notes/ </w:t>
            </w:r>
          </w:p>
          <w:p w14:paraId="58605F49" w14:textId="32AC2F7E" w:rsidR="00ED671F" w:rsidRPr="008D467C" w:rsidRDefault="00ED671F" w:rsidP="00ED671F">
            <w:pPr>
              <w:pStyle w:val="Default"/>
              <w:rPr>
                <w:rFonts w:ascii="Arial" w:hAnsi="Arial" w:cs="Arial"/>
                <w:b/>
                <w:bCs/>
                <w:sz w:val="20"/>
                <w:szCs w:val="20"/>
              </w:rPr>
            </w:pPr>
            <w:r w:rsidRPr="008D467C">
              <w:rPr>
                <w:rFonts w:ascii="Arial" w:hAnsi="Arial" w:cs="Arial"/>
                <w:b/>
                <w:bCs/>
                <w:sz w:val="20"/>
                <w:szCs w:val="20"/>
              </w:rPr>
              <w:t xml:space="preserve">Reactions </w:t>
            </w:r>
          </w:p>
        </w:tc>
        <w:tc>
          <w:tcPr>
            <w:tcW w:w="7470" w:type="dxa"/>
            <w:tcBorders>
              <w:bottom w:val="nil"/>
              <w:right w:val="nil"/>
            </w:tcBorders>
          </w:tcPr>
          <w:p w14:paraId="04344CD7" w14:textId="0056963F" w:rsidR="00ED671F" w:rsidRPr="008D467C" w:rsidRDefault="00512A2E" w:rsidP="00ED671F">
            <w:pPr>
              <w:pStyle w:val="Default"/>
              <w:numPr>
                <w:ilvl w:val="0"/>
                <w:numId w:val="1"/>
              </w:numPr>
              <w:rPr>
                <w:rFonts w:ascii="Arial" w:hAnsi="Arial" w:cs="Arial"/>
                <w:sz w:val="20"/>
                <w:szCs w:val="20"/>
              </w:rPr>
            </w:pPr>
            <w:r>
              <w:rPr>
                <w:rFonts w:ascii="Arial" w:hAnsi="Arial" w:cs="Arial"/>
                <w:sz w:val="20"/>
                <w:szCs w:val="20"/>
              </w:rPr>
              <w:t>N/a.</w:t>
            </w:r>
          </w:p>
        </w:tc>
      </w:tr>
    </w:tbl>
    <w:p w14:paraId="6EE97782" w14:textId="77777777" w:rsidR="00CA7970" w:rsidRPr="00750AC1" w:rsidRDefault="00CA7970">
      <w:pPr>
        <w:rPr>
          <w:color w:val="FF0000"/>
          <w:szCs w:val="20"/>
        </w:rPr>
      </w:pPr>
    </w:p>
    <w:sectPr w:rsidR="00CA7970" w:rsidRPr="00750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5F5E" w14:textId="77777777" w:rsidR="002C02B3" w:rsidRDefault="002C02B3" w:rsidP="00ED2BCF">
      <w:pPr>
        <w:spacing w:line="240" w:lineRule="auto"/>
      </w:pPr>
      <w:r>
        <w:separator/>
      </w:r>
    </w:p>
  </w:endnote>
  <w:endnote w:type="continuationSeparator" w:id="0">
    <w:p w14:paraId="0384D094" w14:textId="77777777" w:rsidR="002C02B3" w:rsidRDefault="002C02B3" w:rsidP="00ED2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0300" w14:textId="77777777" w:rsidR="002C02B3" w:rsidRDefault="002C02B3" w:rsidP="00ED2BCF">
      <w:pPr>
        <w:spacing w:line="240" w:lineRule="auto"/>
      </w:pPr>
      <w:r>
        <w:separator/>
      </w:r>
    </w:p>
  </w:footnote>
  <w:footnote w:type="continuationSeparator" w:id="0">
    <w:p w14:paraId="7E7D53E1" w14:textId="77777777" w:rsidR="002C02B3" w:rsidRDefault="002C02B3" w:rsidP="00ED2BCF">
      <w:pPr>
        <w:spacing w:line="240" w:lineRule="auto"/>
      </w:pPr>
      <w:r>
        <w:continuationSeparator/>
      </w:r>
    </w:p>
  </w:footnote>
  <w:footnote w:id="1">
    <w:p w14:paraId="67C4C4C7" w14:textId="6D3D23D6" w:rsidR="00A43192" w:rsidRDefault="0072211C" w:rsidP="000D27C3">
      <w:pPr>
        <w:pStyle w:val="FootnoteText"/>
      </w:pPr>
      <w:r>
        <w:rPr>
          <w:rStyle w:val="FootnoteReference"/>
        </w:rPr>
        <w:footnoteRef/>
      </w:r>
      <w:r>
        <w:t xml:space="preserve"> </w:t>
      </w:r>
      <w:r w:rsidR="009A5F37">
        <w:t>In 2023, t</w:t>
      </w:r>
      <w:r w:rsidR="009577CA">
        <w:t xml:space="preserve">he Wisconsin Supreme Court </w:t>
      </w:r>
      <w:r w:rsidR="000B45A7">
        <w:t>“</w:t>
      </w:r>
      <w:r w:rsidR="009577CA">
        <w:t>flipped</w:t>
      </w:r>
      <w:r w:rsidR="00395666">
        <w:t xml:space="preserve">,” becoming </w:t>
      </w:r>
      <w:r w:rsidR="009577CA">
        <w:t>a liberal majority</w:t>
      </w:r>
      <w:r w:rsidR="00BC3082">
        <w:t xml:space="preserve">.  The court is comprised </w:t>
      </w:r>
      <w:r w:rsidR="009577CA">
        <w:t xml:space="preserve">as follows: </w:t>
      </w:r>
    </w:p>
    <w:p w14:paraId="4F2306C6" w14:textId="77777777" w:rsidR="00A43192" w:rsidRDefault="00A43192" w:rsidP="000D27C3">
      <w:pPr>
        <w:pStyle w:val="FootnoteText"/>
      </w:pPr>
    </w:p>
    <w:p w14:paraId="708F4BEA" w14:textId="3EA3F138" w:rsidR="000D27C3" w:rsidRDefault="000D27C3" w:rsidP="006C554C">
      <w:pPr>
        <w:pStyle w:val="FootnoteText"/>
        <w:ind w:left="720"/>
      </w:pPr>
      <w:r>
        <w:t>Chief Justice Annette Kingsland Ziegler</w:t>
      </w:r>
      <w:r w:rsidR="00107572">
        <w:t xml:space="preserve"> (R)</w:t>
      </w:r>
      <w:r>
        <w:t>, Justice Ann Walsh Bradley</w:t>
      </w:r>
      <w:r w:rsidR="005A7E5C">
        <w:t xml:space="preserve"> (D)</w:t>
      </w:r>
      <w:r>
        <w:t>, Justice Rebecca Grassl Bradley</w:t>
      </w:r>
      <w:r w:rsidR="001D5EB5">
        <w:t xml:space="preserve"> (R)</w:t>
      </w:r>
      <w:r>
        <w:t>, Justice Rebecca Frank Dallet</w:t>
      </w:r>
      <w:r w:rsidR="00C86577">
        <w:t xml:space="preserve"> (D)</w:t>
      </w:r>
      <w:r>
        <w:t>, Justice Brian Hagedorn</w:t>
      </w:r>
      <w:r w:rsidR="00894DC0">
        <w:t xml:space="preserve"> (R)</w:t>
      </w:r>
      <w:r>
        <w:t>, Justice Jill J. Karofsky</w:t>
      </w:r>
      <w:r w:rsidR="009D0C2B">
        <w:t xml:space="preserve"> (D)</w:t>
      </w:r>
      <w:r>
        <w:t xml:space="preserve">, </w:t>
      </w:r>
      <w:r w:rsidR="005800EC">
        <w:t xml:space="preserve">and </w:t>
      </w:r>
      <w:r>
        <w:t>Justice Janet C. Protasiewicz</w:t>
      </w:r>
      <w:r w:rsidR="002E4185">
        <w:t xml:space="preserve"> (D)</w:t>
      </w:r>
      <w:r w:rsidR="007A728E">
        <w:t>.</w:t>
      </w:r>
      <w:r w:rsidR="0094033F">
        <w:t xml:space="preserve">  </w:t>
      </w:r>
    </w:p>
    <w:p w14:paraId="1FF51821" w14:textId="77777777" w:rsidR="0094033F" w:rsidRDefault="0094033F" w:rsidP="006C554C">
      <w:pPr>
        <w:pStyle w:val="FootnoteText"/>
        <w:ind w:left="720"/>
      </w:pPr>
    </w:p>
    <w:p w14:paraId="0110B133" w14:textId="077D5CB8" w:rsidR="0094033F" w:rsidRDefault="0094033F" w:rsidP="0094033F">
      <w:pPr>
        <w:pStyle w:val="FootnoteText"/>
      </w:pPr>
      <w:r w:rsidRPr="0094033F">
        <w:rPr>
          <w:i/>
          <w:iCs/>
        </w:rPr>
        <w:t>See</w:t>
      </w:r>
      <w:r>
        <w:t xml:space="preserve"> Dee J. Hall, </w:t>
      </w:r>
      <w:r w:rsidRPr="0094033F">
        <w:rPr>
          <w:i/>
          <w:iCs/>
        </w:rPr>
        <w:t>Who are the liberal and conservative members of the Wisconsin Supreme Court?</w:t>
      </w:r>
      <w:r>
        <w:t xml:space="preserve">, </w:t>
      </w:r>
      <w:r w:rsidRPr="003F2E6A">
        <w:rPr>
          <w:smallCaps/>
        </w:rPr>
        <w:t>Wisconsin Watch</w:t>
      </w:r>
      <w:r>
        <w:t xml:space="preserve"> (Apr. 5, 2023), </w:t>
      </w:r>
      <w:hyperlink r:id="rId1" w:history="1">
        <w:r w:rsidRPr="00203C34">
          <w:rPr>
            <w:rStyle w:val="Hyperlink"/>
          </w:rPr>
          <w:t>https://wisconsinwatch.org/2023/04/who-are-the-liberal-and-conservative-members-of-the-wisconsin-supreme-court/</w:t>
        </w:r>
      </w:hyperlink>
      <w:r>
        <w:t xml:space="preserve">. </w:t>
      </w:r>
    </w:p>
    <w:p w14:paraId="478AE034" w14:textId="77777777" w:rsidR="00E367E8" w:rsidRDefault="00E367E8">
      <w:pPr>
        <w:pStyle w:val="FootnoteText"/>
      </w:pPr>
    </w:p>
    <w:p w14:paraId="56B7BC9A" w14:textId="77777777" w:rsidR="00E367E8" w:rsidRDefault="00E367E8">
      <w:pPr>
        <w:pStyle w:val="FootnoteText"/>
      </w:pPr>
    </w:p>
  </w:footnote>
  <w:footnote w:id="2">
    <w:p w14:paraId="4AADAD0F" w14:textId="2D9E0427" w:rsidR="003E208E" w:rsidRDefault="003E208E" w:rsidP="003E208E">
      <w:pPr>
        <w:pStyle w:val="FootnoteText"/>
      </w:pPr>
      <w:r>
        <w:rPr>
          <w:rStyle w:val="FootnoteReference"/>
        </w:rPr>
        <w:footnoteRef/>
      </w:r>
      <w:r>
        <w:t xml:space="preserve"> “Gerrylaundering” occurs when “mapmakers seek to perpetuate their favorable position by carrying forward key elements of the existing map.”  </w:t>
      </w:r>
      <w:r w:rsidRPr="00197B9B">
        <w:rPr>
          <w:i/>
          <w:iCs/>
        </w:rPr>
        <w:t>See</w:t>
      </w:r>
      <w:r>
        <w:t xml:space="preserve"> Robert Yablon, </w:t>
      </w:r>
      <w:r w:rsidRPr="003E208E">
        <w:rPr>
          <w:i/>
          <w:iCs/>
        </w:rPr>
        <w:t>Gerrylaundering</w:t>
      </w:r>
      <w:r>
        <w:t xml:space="preserve">, 97 N.Y.U. </w:t>
      </w:r>
      <w:r w:rsidRPr="003E208E">
        <w:rPr>
          <w:smallCaps/>
        </w:rPr>
        <w:t>L. Rev.</w:t>
      </w:r>
      <w:r>
        <w:t xml:space="preserve"> 985</w:t>
      </w:r>
      <w:r w:rsidR="00A50C26">
        <w:t>, 987</w:t>
      </w:r>
      <w:r w:rsidR="00FC122B">
        <w:t xml:space="preserve"> </w:t>
      </w:r>
      <w:r>
        <w:t xml:space="preserve">(2022).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907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0D"/>
    <w:rsid w:val="000011E4"/>
    <w:rsid w:val="00004553"/>
    <w:rsid w:val="000064BE"/>
    <w:rsid w:val="00010956"/>
    <w:rsid w:val="00012F88"/>
    <w:rsid w:val="0001332F"/>
    <w:rsid w:val="000147E5"/>
    <w:rsid w:val="00021A1C"/>
    <w:rsid w:val="00025264"/>
    <w:rsid w:val="00025532"/>
    <w:rsid w:val="00031879"/>
    <w:rsid w:val="00031BFF"/>
    <w:rsid w:val="0003271E"/>
    <w:rsid w:val="0003439B"/>
    <w:rsid w:val="00034B98"/>
    <w:rsid w:val="000423F8"/>
    <w:rsid w:val="00050EFA"/>
    <w:rsid w:val="00053DC6"/>
    <w:rsid w:val="00057EAB"/>
    <w:rsid w:val="000609E5"/>
    <w:rsid w:val="000612B8"/>
    <w:rsid w:val="00061766"/>
    <w:rsid w:val="00061BAC"/>
    <w:rsid w:val="00061BC9"/>
    <w:rsid w:val="000628B3"/>
    <w:rsid w:val="00071148"/>
    <w:rsid w:val="00073E67"/>
    <w:rsid w:val="00077BBE"/>
    <w:rsid w:val="00081FDD"/>
    <w:rsid w:val="00086AFA"/>
    <w:rsid w:val="0009049E"/>
    <w:rsid w:val="00090C36"/>
    <w:rsid w:val="00091574"/>
    <w:rsid w:val="000920DA"/>
    <w:rsid w:val="00092E2C"/>
    <w:rsid w:val="00097D4B"/>
    <w:rsid w:val="000A1779"/>
    <w:rsid w:val="000A457C"/>
    <w:rsid w:val="000A4FC3"/>
    <w:rsid w:val="000A57D0"/>
    <w:rsid w:val="000B2553"/>
    <w:rsid w:val="000B2A3E"/>
    <w:rsid w:val="000B45A7"/>
    <w:rsid w:val="000B79FB"/>
    <w:rsid w:val="000C017C"/>
    <w:rsid w:val="000C5240"/>
    <w:rsid w:val="000C62F3"/>
    <w:rsid w:val="000C6405"/>
    <w:rsid w:val="000C6E68"/>
    <w:rsid w:val="000C71F5"/>
    <w:rsid w:val="000C7EFA"/>
    <w:rsid w:val="000D18B7"/>
    <w:rsid w:val="000D27C3"/>
    <w:rsid w:val="000D6927"/>
    <w:rsid w:val="000E1185"/>
    <w:rsid w:val="000E2B5F"/>
    <w:rsid w:val="000E6A00"/>
    <w:rsid w:val="000E7E25"/>
    <w:rsid w:val="000F06B0"/>
    <w:rsid w:val="000F4D9E"/>
    <w:rsid w:val="000F6456"/>
    <w:rsid w:val="000F7680"/>
    <w:rsid w:val="000F7880"/>
    <w:rsid w:val="00102082"/>
    <w:rsid w:val="001021BD"/>
    <w:rsid w:val="00102A79"/>
    <w:rsid w:val="00105E45"/>
    <w:rsid w:val="00107572"/>
    <w:rsid w:val="001102AF"/>
    <w:rsid w:val="001125CE"/>
    <w:rsid w:val="00113CE1"/>
    <w:rsid w:val="00114328"/>
    <w:rsid w:val="001215A1"/>
    <w:rsid w:val="00127B03"/>
    <w:rsid w:val="001315C8"/>
    <w:rsid w:val="001355F9"/>
    <w:rsid w:val="00135B6D"/>
    <w:rsid w:val="00137226"/>
    <w:rsid w:val="0014230D"/>
    <w:rsid w:val="001455D2"/>
    <w:rsid w:val="00147D58"/>
    <w:rsid w:val="0015052D"/>
    <w:rsid w:val="00154DF8"/>
    <w:rsid w:val="0015616A"/>
    <w:rsid w:val="0016027D"/>
    <w:rsid w:val="001618C3"/>
    <w:rsid w:val="00162E20"/>
    <w:rsid w:val="00165EC8"/>
    <w:rsid w:val="00166C13"/>
    <w:rsid w:val="00167ED0"/>
    <w:rsid w:val="001703E2"/>
    <w:rsid w:val="00170A3C"/>
    <w:rsid w:val="00174406"/>
    <w:rsid w:val="00174F04"/>
    <w:rsid w:val="00181207"/>
    <w:rsid w:val="0018239E"/>
    <w:rsid w:val="00191BE3"/>
    <w:rsid w:val="001924A7"/>
    <w:rsid w:val="00197B9B"/>
    <w:rsid w:val="001A027A"/>
    <w:rsid w:val="001A0D9F"/>
    <w:rsid w:val="001A26F0"/>
    <w:rsid w:val="001A3FC8"/>
    <w:rsid w:val="001B41BF"/>
    <w:rsid w:val="001B45BC"/>
    <w:rsid w:val="001B4B71"/>
    <w:rsid w:val="001B4B8F"/>
    <w:rsid w:val="001B51A9"/>
    <w:rsid w:val="001B6DAF"/>
    <w:rsid w:val="001D29D5"/>
    <w:rsid w:val="001D5EB5"/>
    <w:rsid w:val="001D6910"/>
    <w:rsid w:val="001E3379"/>
    <w:rsid w:val="001E6844"/>
    <w:rsid w:val="001F0499"/>
    <w:rsid w:val="001F32D6"/>
    <w:rsid w:val="001F6BD0"/>
    <w:rsid w:val="00200213"/>
    <w:rsid w:val="0020289F"/>
    <w:rsid w:val="00206228"/>
    <w:rsid w:val="00207D95"/>
    <w:rsid w:val="00210D49"/>
    <w:rsid w:val="00211E23"/>
    <w:rsid w:val="00212664"/>
    <w:rsid w:val="0021437E"/>
    <w:rsid w:val="002145A9"/>
    <w:rsid w:val="00215EC7"/>
    <w:rsid w:val="0022426A"/>
    <w:rsid w:val="00225810"/>
    <w:rsid w:val="00225D6E"/>
    <w:rsid w:val="002275D9"/>
    <w:rsid w:val="00227DFD"/>
    <w:rsid w:val="00234092"/>
    <w:rsid w:val="00252B2F"/>
    <w:rsid w:val="0025370D"/>
    <w:rsid w:val="00256F8A"/>
    <w:rsid w:val="0026469E"/>
    <w:rsid w:val="00264C5A"/>
    <w:rsid w:val="00266ABC"/>
    <w:rsid w:val="00266FF1"/>
    <w:rsid w:val="00267920"/>
    <w:rsid w:val="00271211"/>
    <w:rsid w:val="00274CBB"/>
    <w:rsid w:val="00276A04"/>
    <w:rsid w:val="002812E1"/>
    <w:rsid w:val="0028289C"/>
    <w:rsid w:val="00284B1A"/>
    <w:rsid w:val="002856A4"/>
    <w:rsid w:val="00290BB0"/>
    <w:rsid w:val="00292548"/>
    <w:rsid w:val="002930DC"/>
    <w:rsid w:val="002941E3"/>
    <w:rsid w:val="002B5446"/>
    <w:rsid w:val="002B562A"/>
    <w:rsid w:val="002C02B3"/>
    <w:rsid w:val="002C1FB3"/>
    <w:rsid w:val="002C20F4"/>
    <w:rsid w:val="002C2AAC"/>
    <w:rsid w:val="002C37F9"/>
    <w:rsid w:val="002D0826"/>
    <w:rsid w:val="002D134A"/>
    <w:rsid w:val="002D3F7A"/>
    <w:rsid w:val="002D68FB"/>
    <w:rsid w:val="002E0856"/>
    <w:rsid w:val="002E4185"/>
    <w:rsid w:val="002F086B"/>
    <w:rsid w:val="002F6361"/>
    <w:rsid w:val="00307115"/>
    <w:rsid w:val="00311971"/>
    <w:rsid w:val="00320C02"/>
    <w:rsid w:val="003229A0"/>
    <w:rsid w:val="00324073"/>
    <w:rsid w:val="0032595F"/>
    <w:rsid w:val="00327BFA"/>
    <w:rsid w:val="00330EC1"/>
    <w:rsid w:val="00334C92"/>
    <w:rsid w:val="00337DD2"/>
    <w:rsid w:val="003400F4"/>
    <w:rsid w:val="00341267"/>
    <w:rsid w:val="00341CBE"/>
    <w:rsid w:val="0034242C"/>
    <w:rsid w:val="003427AD"/>
    <w:rsid w:val="003437D0"/>
    <w:rsid w:val="00343D73"/>
    <w:rsid w:val="00351772"/>
    <w:rsid w:val="003543FB"/>
    <w:rsid w:val="00357F59"/>
    <w:rsid w:val="003601C1"/>
    <w:rsid w:val="00360B00"/>
    <w:rsid w:val="0036289D"/>
    <w:rsid w:val="00362F7B"/>
    <w:rsid w:val="0036326E"/>
    <w:rsid w:val="00366659"/>
    <w:rsid w:val="00372F65"/>
    <w:rsid w:val="00376691"/>
    <w:rsid w:val="0038342B"/>
    <w:rsid w:val="0038375A"/>
    <w:rsid w:val="00387631"/>
    <w:rsid w:val="003904D4"/>
    <w:rsid w:val="00395666"/>
    <w:rsid w:val="003A40E8"/>
    <w:rsid w:val="003B0509"/>
    <w:rsid w:val="003B22BD"/>
    <w:rsid w:val="003B3C16"/>
    <w:rsid w:val="003C71AA"/>
    <w:rsid w:val="003D31FF"/>
    <w:rsid w:val="003D381C"/>
    <w:rsid w:val="003D4197"/>
    <w:rsid w:val="003D65B4"/>
    <w:rsid w:val="003E208E"/>
    <w:rsid w:val="003E37D3"/>
    <w:rsid w:val="003F251C"/>
    <w:rsid w:val="003F2E6A"/>
    <w:rsid w:val="0040070E"/>
    <w:rsid w:val="004017C9"/>
    <w:rsid w:val="00413BE4"/>
    <w:rsid w:val="00414906"/>
    <w:rsid w:val="004176FF"/>
    <w:rsid w:val="0041780A"/>
    <w:rsid w:val="00424ED7"/>
    <w:rsid w:val="00447FEE"/>
    <w:rsid w:val="00451A98"/>
    <w:rsid w:val="0045618C"/>
    <w:rsid w:val="004701B0"/>
    <w:rsid w:val="0047192B"/>
    <w:rsid w:val="00471CFA"/>
    <w:rsid w:val="00472148"/>
    <w:rsid w:val="00472FED"/>
    <w:rsid w:val="00474A3C"/>
    <w:rsid w:val="004767F1"/>
    <w:rsid w:val="0047710B"/>
    <w:rsid w:val="004926AB"/>
    <w:rsid w:val="004952F7"/>
    <w:rsid w:val="00496BFC"/>
    <w:rsid w:val="004A2C87"/>
    <w:rsid w:val="004A2D82"/>
    <w:rsid w:val="004A5582"/>
    <w:rsid w:val="004A58D8"/>
    <w:rsid w:val="004B0223"/>
    <w:rsid w:val="004B037A"/>
    <w:rsid w:val="004B1D2F"/>
    <w:rsid w:val="004C38A7"/>
    <w:rsid w:val="004C7E14"/>
    <w:rsid w:val="004D31B0"/>
    <w:rsid w:val="004D451F"/>
    <w:rsid w:val="004E1054"/>
    <w:rsid w:val="004E28B0"/>
    <w:rsid w:val="004E57B1"/>
    <w:rsid w:val="004E6C56"/>
    <w:rsid w:val="004F541C"/>
    <w:rsid w:val="005062C8"/>
    <w:rsid w:val="00510393"/>
    <w:rsid w:val="00512A2E"/>
    <w:rsid w:val="00515521"/>
    <w:rsid w:val="0052532C"/>
    <w:rsid w:val="00526D57"/>
    <w:rsid w:val="00536A9F"/>
    <w:rsid w:val="00537B72"/>
    <w:rsid w:val="00543CD8"/>
    <w:rsid w:val="00551CCE"/>
    <w:rsid w:val="005616AB"/>
    <w:rsid w:val="005677B7"/>
    <w:rsid w:val="0057453C"/>
    <w:rsid w:val="005771D8"/>
    <w:rsid w:val="005800EC"/>
    <w:rsid w:val="00583AE3"/>
    <w:rsid w:val="005860AA"/>
    <w:rsid w:val="00591B3C"/>
    <w:rsid w:val="005952B1"/>
    <w:rsid w:val="005979F7"/>
    <w:rsid w:val="005A0373"/>
    <w:rsid w:val="005A4170"/>
    <w:rsid w:val="005A75C9"/>
    <w:rsid w:val="005A7E5C"/>
    <w:rsid w:val="005B421F"/>
    <w:rsid w:val="005B7FFE"/>
    <w:rsid w:val="005D56EF"/>
    <w:rsid w:val="005D746D"/>
    <w:rsid w:val="005E1879"/>
    <w:rsid w:val="005E6692"/>
    <w:rsid w:val="005E7360"/>
    <w:rsid w:val="005F4BD1"/>
    <w:rsid w:val="005F539F"/>
    <w:rsid w:val="005F5F74"/>
    <w:rsid w:val="005F7580"/>
    <w:rsid w:val="005F7C1D"/>
    <w:rsid w:val="00604B3E"/>
    <w:rsid w:val="006160FC"/>
    <w:rsid w:val="00616232"/>
    <w:rsid w:val="00621808"/>
    <w:rsid w:val="00621B8D"/>
    <w:rsid w:val="00623E9A"/>
    <w:rsid w:val="006265E2"/>
    <w:rsid w:val="00631797"/>
    <w:rsid w:val="0063583D"/>
    <w:rsid w:val="006366F4"/>
    <w:rsid w:val="00637904"/>
    <w:rsid w:val="00637B96"/>
    <w:rsid w:val="00640AAB"/>
    <w:rsid w:val="006413D8"/>
    <w:rsid w:val="00643A05"/>
    <w:rsid w:val="00644CEA"/>
    <w:rsid w:val="00645C98"/>
    <w:rsid w:val="00645E46"/>
    <w:rsid w:val="006502FF"/>
    <w:rsid w:val="006535B1"/>
    <w:rsid w:val="006576D4"/>
    <w:rsid w:val="00660AC1"/>
    <w:rsid w:val="0066556F"/>
    <w:rsid w:val="00665B43"/>
    <w:rsid w:val="00667452"/>
    <w:rsid w:val="00670FE6"/>
    <w:rsid w:val="00671155"/>
    <w:rsid w:val="0067223B"/>
    <w:rsid w:val="006740AC"/>
    <w:rsid w:val="00683A58"/>
    <w:rsid w:val="0068505E"/>
    <w:rsid w:val="00686FE9"/>
    <w:rsid w:val="00690472"/>
    <w:rsid w:val="00693FCA"/>
    <w:rsid w:val="00694E79"/>
    <w:rsid w:val="006A08C1"/>
    <w:rsid w:val="006A0C8D"/>
    <w:rsid w:val="006A6220"/>
    <w:rsid w:val="006B0C51"/>
    <w:rsid w:val="006B198A"/>
    <w:rsid w:val="006B1C61"/>
    <w:rsid w:val="006B1E93"/>
    <w:rsid w:val="006B2D20"/>
    <w:rsid w:val="006B398D"/>
    <w:rsid w:val="006B4821"/>
    <w:rsid w:val="006C554C"/>
    <w:rsid w:val="006C5EEC"/>
    <w:rsid w:val="006E1A6A"/>
    <w:rsid w:val="006E66F4"/>
    <w:rsid w:val="006E7025"/>
    <w:rsid w:val="006E7409"/>
    <w:rsid w:val="006F2C19"/>
    <w:rsid w:val="006F3DD1"/>
    <w:rsid w:val="006F7030"/>
    <w:rsid w:val="00702B3E"/>
    <w:rsid w:val="00704362"/>
    <w:rsid w:val="00706ADE"/>
    <w:rsid w:val="00713799"/>
    <w:rsid w:val="0072211C"/>
    <w:rsid w:val="00724773"/>
    <w:rsid w:val="007310E0"/>
    <w:rsid w:val="00734C81"/>
    <w:rsid w:val="00740EC5"/>
    <w:rsid w:val="007477D2"/>
    <w:rsid w:val="00750AC1"/>
    <w:rsid w:val="00753702"/>
    <w:rsid w:val="00756326"/>
    <w:rsid w:val="00760CFE"/>
    <w:rsid w:val="007610C4"/>
    <w:rsid w:val="0076220D"/>
    <w:rsid w:val="00765D3C"/>
    <w:rsid w:val="007713C1"/>
    <w:rsid w:val="0077407E"/>
    <w:rsid w:val="0078504B"/>
    <w:rsid w:val="00785E46"/>
    <w:rsid w:val="00787386"/>
    <w:rsid w:val="00791D64"/>
    <w:rsid w:val="0079288A"/>
    <w:rsid w:val="0079324F"/>
    <w:rsid w:val="00793CC2"/>
    <w:rsid w:val="00794087"/>
    <w:rsid w:val="00795EBC"/>
    <w:rsid w:val="0079722E"/>
    <w:rsid w:val="007A3AD4"/>
    <w:rsid w:val="007A728E"/>
    <w:rsid w:val="007B3BD2"/>
    <w:rsid w:val="007B4380"/>
    <w:rsid w:val="007B75FE"/>
    <w:rsid w:val="007B78F0"/>
    <w:rsid w:val="007C220E"/>
    <w:rsid w:val="007C66DC"/>
    <w:rsid w:val="007C790C"/>
    <w:rsid w:val="007D21D3"/>
    <w:rsid w:val="007D6285"/>
    <w:rsid w:val="007D63B1"/>
    <w:rsid w:val="007E1ABC"/>
    <w:rsid w:val="007E39AC"/>
    <w:rsid w:val="007F1FE6"/>
    <w:rsid w:val="007F4C02"/>
    <w:rsid w:val="007F5B5C"/>
    <w:rsid w:val="007F73F2"/>
    <w:rsid w:val="008042C7"/>
    <w:rsid w:val="0080439A"/>
    <w:rsid w:val="00804BED"/>
    <w:rsid w:val="00804DC1"/>
    <w:rsid w:val="00812F95"/>
    <w:rsid w:val="008141C4"/>
    <w:rsid w:val="00815F82"/>
    <w:rsid w:val="0082097F"/>
    <w:rsid w:val="00822A30"/>
    <w:rsid w:val="0082403E"/>
    <w:rsid w:val="008252B0"/>
    <w:rsid w:val="00825E45"/>
    <w:rsid w:val="0082730F"/>
    <w:rsid w:val="00827C55"/>
    <w:rsid w:val="00834F2C"/>
    <w:rsid w:val="00835B30"/>
    <w:rsid w:val="0084519A"/>
    <w:rsid w:val="00847385"/>
    <w:rsid w:val="0084773C"/>
    <w:rsid w:val="00852EA3"/>
    <w:rsid w:val="00853FF2"/>
    <w:rsid w:val="00855625"/>
    <w:rsid w:val="00861E4A"/>
    <w:rsid w:val="00864205"/>
    <w:rsid w:val="0087014A"/>
    <w:rsid w:val="00875C35"/>
    <w:rsid w:val="00875F40"/>
    <w:rsid w:val="008775BD"/>
    <w:rsid w:val="00877A52"/>
    <w:rsid w:val="00887DFA"/>
    <w:rsid w:val="0089084A"/>
    <w:rsid w:val="008928F6"/>
    <w:rsid w:val="00894DC0"/>
    <w:rsid w:val="00895E30"/>
    <w:rsid w:val="0089629B"/>
    <w:rsid w:val="00896B37"/>
    <w:rsid w:val="008A01C6"/>
    <w:rsid w:val="008A284E"/>
    <w:rsid w:val="008A4779"/>
    <w:rsid w:val="008A4D5F"/>
    <w:rsid w:val="008A505D"/>
    <w:rsid w:val="008B1CAA"/>
    <w:rsid w:val="008B2553"/>
    <w:rsid w:val="008C6054"/>
    <w:rsid w:val="008D0285"/>
    <w:rsid w:val="008D467C"/>
    <w:rsid w:val="008D66FD"/>
    <w:rsid w:val="008D6C9D"/>
    <w:rsid w:val="008E1661"/>
    <w:rsid w:val="008E6D44"/>
    <w:rsid w:val="008F5BE4"/>
    <w:rsid w:val="00903B65"/>
    <w:rsid w:val="00905D1D"/>
    <w:rsid w:val="00906592"/>
    <w:rsid w:val="009108BB"/>
    <w:rsid w:val="00912155"/>
    <w:rsid w:val="00915B7A"/>
    <w:rsid w:val="00917887"/>
    <w:rsid w:val="00926704"/>
    <w:rsid w:val="00926A8F"/>
    <w:rsid w:val="00926DE5"/>
    <w:rsid w:val="00931B2E"/>
    <w:rsid w:val="00932873"/>
    <w:rsid w:val="00934D7E"/>
    <w:rsid w:val="0094033F"/>
    <w:rsid w:val="00946582"/>
    <w:rsid w:val="009529F4"/>
    <w:rsid w:val="009577CA"/>
    <w:rsid w:val="00964149"/>
    <w:rsid w:val="00964516"/>
    <w:rsid w:val="0097390A"/>
    <w:rsid w:val="00973EDA"/>
    <w:rsid w:val="00973F9F"/>
    <w:rsid w:val="009741AD"/>
    <w:rsid w:val="0098281D"/>
    <w:rsid w:val="00986100"/>
    <w:rsid w:val="00987C78"/>
    <w:rsid w:val="0099185A"/>
    <w:rsid w:val="00992B19"/>
    <w:rsid w:val="009A5F37"/>
    <w:rsid w:val="009A6F30"/>
    <w:rsid w:val="009A72E8"/>
    <w:rsid w:val="009A7417"/>
    <w:rsid w:val="009B1A73"/>
    <w:rsid w:val="009B1D07"/>
    <w:rsid w:val="009B6A6C"/>
    <w:rsid w:val="009B6CC1"/>
    <w:rsid w:val="009C6C77"/>
    <w:rsid w:val="009D093C"/>
    <w:rsid w:val="009D0C2B"/>
    <w:rsid w:val="009D5EB4"/>
    <w:rsid w:val="009E0842"/>
    <w:rsid w:val="009E192E"/>
    <w:rsid w:val="009E63C0"/>
    <w:rsid w:val="009E69ED"/>
    <w:rsid w:val="009F04CC"/>
    <w:rsid w:val="009F79E8"/>
    <w:rsid w:val="00A016A7"/>
    <w:rsid w:val="00A04E56"/>
    <w:rsid w:val="00A07FD8"/>
    <w:rsid w:val="00A10326"/>
    <w:rsid w:val="00A11504"/>
    <w:rsid w:val="00A14EB7"/>
    <w:rsid w:val="00A175AC"/>
    <w:rsid w:val="00A22BD7"/>
    <w:rsid w:val="00A25010"/>
    <w:rsid w:val="00A2746A"/>
    <w:rsid w:val="00A30892"/>
    <w:rsid w:val="00A317C4"/>
    <w:rsid w:val="00A33A59"/>
    <w:rsid w:val="00A40A5E"/>
    <w:rsid w:val="00A419F4"/>
    <w:rsid w:val="00A43192"/>
    <w:rsid w:val="00A4466A"/>
    <w:rsid w:val="00A44BA2"/>
    <w:rsid w:val="00A454C1"/>
    <w:rsid w:val="00A50C26"/>
    <w:rsid w:val="00A522D6"/>
    <w:rsid w:val="00A56902"/>
    <w:rsid w:val="00A61043"/>
    <w:rsid w:val="00A648FB"/>
    <w:rsid w:val="00A64C3F"/>
    <w:rsid w:val="00A71C57"/>
    <w:rsid w:val="00A72616"/>
    <w:rsid w:val="00A737EE"/>
    <w:rsid w:val="00A75DBD"/>
    <w:rsid w:val="00A90B0E"/>
    <w:rsid w:val="00A925AD"/>
    <w:rsid w:val="00A9657A"/>
    <w:rsid w:val="00A9672F"/>
    <w:rsid w:val="00AA2FFA"/>
    <w:rsid w:val="00AB7083"/>
    <w:rsid w:val="00AB79E0"/>
    <w:rsid w:val="00AC1E63"/>
    <w:rsid w:val="00AC36D1"/>
    <w:rsid w:val="00AC57A6"/>
    <w:rsid w:val="00AD083C"/>
    <w:rsid w:val="00AE131F"/>
    <w:rsid w:val="00AE1D45"/>
    <w:rsid w:val="00AE1FFA"/>
    <w:rsid w:val="00AE419A"/>
    <w:rsid w:val="00AE7E30"/>
    <w:rsid w:val="00AF20C5"/>
    <w:rsid w:val="00AF229C"/>
    <w:rsid w:val="00AF7CB5"/>
    <w:rsid w:val="00B00396"/>
    <w:rsid w:val="00B01256"/>
    <w:rsid w:val="00B07787"/>
    <w:rsid w:val="00B113BE"/>
    <w:rsid w:val="00B11B08"/>
    <w:rsid w:val="00B156D2"/>
    <w:rsid w:val="00B17476"/>
    <w:rsid w:val="00B20949"/>
    <w:rsid w:val="00B21129"/>
    <w:rsid w:val="00B225AF"/>
    <w:rsid w:val="00B354E9"/>
    <w:rsid w:val="00B35C51"/>
    <w:rsid w:val="00B371F9"/>
    <w:rsid w:val="00B401E4"/>
    <w:rsid w:val="00B44B83"/>
    <w:rsid w:val="00B46465"/>
    <w:rsid w:val="00B536BA"/>
    <w:rsid w:val="00B565C5"/>
    <w:rsid w:val="00B60DA7"/>
    <w:rsid w:val="00B63BD9"/>
    <w:rsid w:val="00B665A3"/>
    <w:rsid w:val="00B66B83"/>
    <w:rsid w:val="00B72AFA"/>
    <w:rsid w:val="00B80F13"/>
    <w:rsid w:val="00B8151E"/>
    <w:rsid w:val="00B8273D"/>
    <w:rsid w:val="00B8711F"/>
    <w:rsid w:val="00B932D8"/>
    <w:rsid w:val="00BA12A1"/>
    <w:rsid w:val="00BA4FAC"/>
    <w:rsid w:val="00BB098F"/>
    <w:rsid w:val="00BB2C11"/>
    <w:rsid w:val="00BB5538"/>
    <w:rsid w:val="00BB64F1"/>
    <w:rsid w:val="00BC15DD"/>
    <w:rsid w:val="00BC193C"/>
    <w:rsid w:val="00BC3082"/>
    <w:rsid w:val="00BC696E"/>
    <w:rsid w:val="00BD2987"/>
    <w:rsid w:val="00BD424A"/>
    <w:rsid w:val="00BD4C65"/>
    <w:rsid w:val="00BD5190"/>
    <w:rsid w:val="00BD5F8B"/>
    <w:rsid w:val="00BD6000"/>
    <w:rsid w:val="00BE272E"/>
    <w:rsid w:val="00BE28C8"/>
    <w:rsid w:val="00BE5985"/>
    <w:rsid w:val="00C02676"/>
    <w:rsid w:val="00C03CCA"/>
    <w:rsid w:val="00C079C5"/>
    <w:rsid w:val="00C11D0A"/>
    <w:rsid w:val="00C16B4F"/>
    <w:rsid w:val="00C16C8D"/>
    <w:rsid w:val="00C22A04"/>
    <w:rsid w:val="00C3151D"/>
    <w:rsid w:val="00C31E3A"/>
    <w:rsid w:val="00C42C32"/>
    <w:rsid w:val="00C434A3"/>
    <w:rsid w:val="00C452B9"/>
    <w:rsid w:val="00C45E78"/>
    <w:rsid w:val="00C47548"/>
    <w:rsid w:val="00C53297"/>
    <w:rsid w:val="00C552C0"/>
    <w:rsid w:val="00C55689"/>
    <w:rsid w:val="00C607D9"/>
    <w:rsid w:val="00C61AB6"/>
    <w:rsid w:val="00C6281C"/>
    <w:rsid w:val="00C72793"/>
    <w:rsid w:val="00C73E50"/>
    <w:rsid w:val="00C74570"/>
    <w:rsid w:val="00C751FE"/>
    <w:rsid w:val="00C77F6D"/>
    <w:rsid w:val="00C8077A"/>
    <w:rsid w:val="00C831DF"/>
    <w:rsid w:val="00C842DB"/>
    <w:rsid w:val="00C86577"/>
    <w:rsid w:val="00C91E67"/>
    <w:rsid w:val="00C9294F"/>
    <w:rsid w:val="00C94E3C"/>
    <w:rsid w:val="00C95696"/>
    <w:rsid w:val="00CA1CBF"/>
    <w:rsid w:val="00CA7970"/>
    <w:rsid w:val="00CB1DF5"/>
    <w:rsid w:val="00CB336F"/>
    <w:rsid w:val="00CB51AA"/>
    <w:rsid w:val="00CB72F7"/>
    <w:rsid w:val="00CC1707"/>
    <w:rsid w:val="00CC3FDC"/>
    <w:rsid w:val="00CC527C"/>
    <w:rsid w:val="00CC527E"/>
    <w:rsid w:val="00CC6C05"/>
    <w:rsid w:val="00CC771A"/>
    <w:rsid w:val="00CD451E"/>
    <w:rsid w:val="00CD7A15"/>
    <w:rsid w:val="00CD7E3A"/>
    <w:rsid w:val="00CE1B07"/>
    <w:rsid w:val="00CF1A7C"/>
    <w:rsid w:val="00CF2210"/>
    <w:rsid w:val="00CF452E"/>
    <w:rsid w:val="00CF51EF"/>
    <w:rsid w:val="00D0094E"/>
    <w:rsid w:val="00D11522"/>
    <w:rsid w:val="00D16F9C"/>
    <w:rsid w:val="00D24915"/>
    <w:rsid w:val="00D269D4"/>
    <w:rsid w:val="00D34421"/>
    <w:rsid w:val="00D3457E"/>
    <w:rsid w:val="00D35FA4"/>
    <w:rsid w:val="00D36535"/>
    <w:rsid w:val="00D40A68"/>
    <w:rsid w:val="00D41F63"/>
    <w:rsid w:val="00D421FB"/>
    <w:rsid w:val="00D46032"/>
    <w:rsid w:val="00D561DC"/>
    <w:rsid w:val="00D57823"/>
    <w:rsid w:val="00D61314"/>
    <w:rsid w:val="00D62571"/>
    <w:rsid w:val="00D632BA"/>
    <w:rsid w:val="00D67E4B"/>
    <w:rsid w:val="00D71D09"/>
    <w:rsid w:val="00D73B91"/>
    <w:rsid w:val="00D77E60"/>
    <w:rsid w:val="00D83EE8"/>
    <w:rsid w:val="00D851B9"/>
    <w:rsid w:val="00D866BD"/>
    <w:rsid w:val="00D90943"/>
    <w:rsid w:val="00D90BD4"/>
    <w:rsid w:val="00D90C14"/>
    <w:rsid w:val="00D92528"/>
    <w:rsid w:val="00D935FD"/>
    <w:rsid w:val="00D93880"/>
    <w:rsid w:val="00DA3847"/>
    <w:rsid w:val="00DA74BF"/>
    <w:rsid w:val="00DB5A54"/>
    <w:rsid w:val="00DC2189"/>
    <w:rsid w:val="00DC2CEB"/>
    <w:rsid w:val="00DC318D"/>
    <w:rsid w:val="00DC36D4"/>
    <w:rsid w:val="00DC6F51"/>
    <w:rsid w:val="00DD66C7"/>
    <w:rsid w:val="00DD7F5E"/>
    <w:rsid w:val="00DE1886"/>
    <w:rsid w:val="00DE2078"/>
    <w:rsid w:val="00DE6D51"/>
    <w:rsid w:val="00DF053E"/>
    <w:rsid w:val="00DF0717"/>
    <w:rsid w:val="00DF34CC"/>
    <w:rsid w:val="00DF450D"/>
    <w:rsid w:val="00E03579"/>
    <w:rsid w:val="00E124D6"/>
    <w:rsid w:val="00E1369E"/>
    <w:rsid w:val="00E163AE"/>
    <w:rsid w:val="00E17536"/>
    <w:rsid w:val="00E21002"/>
    <w:rsid w:val="00E2103D"/>
    <w:rsid w:val="00E2275E"/>
    <w:rsid w:val="00E22B20"/>
    <w:rsid w:val="00E367E8"/>
    <w:rsid w:val="00E36A1E"/>
    <w:rsid w:val="00E37B34"/>
    <w:rsid w:val="00E4050B"/>
    <w:rsid w:val="00E42E53"/>
    <w:rsid w:val="00E46A7B"/>
    <w:rsid w:val="00E52F24"/>
    <w:rsid w:val="00E56D00"/>
    <w:rsid w:val="00E57D59"/>
    <w:rsid w:val="00E643F3"/>
    <w:rsid w:val="00E72722"/>
    <w:rsid w:val="00E72929"/>
    <w:rsid w:val="00E81990"/>
    <w:rsid w:val="00E92EB9"/>
    <w:rsid w:val="00E94148"/>
    <w:rsid w:val="00E94EB6"/>
    <w:rsid w:val="00E9616B"/>
    <w:rsid w:val="00EA03C1"/>
    <w:rsid w:val="00EA088E"/>
    <w:rsid w:val="00EA7B88"/>
    <w:rsid w:val="00EA7F8C"/>
    <w:rsid w:val="00EB1403"/>
    <w:rsid w:val="00EB2A35"/>
    <w:rsid w:val="00EB4075"/>
    <w:rsid w:val="00EB4F60"/>
    <w:rsid w:val="00EB504A"/>
    <w:rsid w:val="00EC1152"/>
    <w:rsid w:val="00EC1EFC"/>
    <w:rsid w:val="00EC53CA"/>
    <w:rsid w:val="00EC6F59"/>
    <w:rsid w:val="00ED2BCF"/>
    <w:rsid w:val="00ED32B3"/>
    <w:rsid w:val="00ED4CB2"/>
    <w:rsid w:val="00ED4ED8"/>
    <w:rsid w:val="00ED671F"/>
    <w:rsid w:val="00ED7473"/>
    <w:rsid w:val="00EE2D91"/>
    <w:rsid w:val="00EE4689"/>
    <w:rsid w:val="00EE6AFB"/>
    <w:rsid w:val="00EE7C6C"/>
    <w:rsid w:val="00EF02F0"/>
    <w:rsid w:val="00EF0CAA"/>
    <w:rsid w:val="00EF6A31"/>
    <w:rsid w:val="00EF6ECA"/>
    <w:rsid w:val="00F0345A"/>
    <w:rsid w:val="00F1414C"/>
    <w:rsid w:val="00F2036E"/>
    <w:rsid w:val="00F21798"/>
    <w:rsid w:val="00F27DB3"/>
    <w:rsid w:val="00F31CE6"/>
    <w:rsid w:val="00F34496"/>
    <w:rsid w:val="00F36DBB"/>
    <w:rsid w:val="00F407AC"/>
    <w:rsid w:val="00F423C6"/>
    <w:rsid w:val="00F451A3"/>
    <w:rsid w:val="00F47825"/>
    <w:rsid w:val="00F50C84"/>
    <w:rsid w:val="00F60991"/>
    <w:rsid w:val="00F61108"/>
    <w:rsid w:val="00F70D98"/>
    <w:rsid w:val="00F70F6D"/>
    <w:rsid w:val="00F73E82"/>
    <w:rsid w:val="00F773E7"/>
    <w:rsid w:val="00F85205"/>
    <w:rsid w:val="00F85D8B"/>
    <w:rsid w:val="00F865CC"/>
    <w:rsid w:val="00F91089"/>
    <w:rsid w:val="00F917BF"/>
    <w:rsid w:val="00FB0228"/>
    <w:rsid w:val="00FB1865"/>
    <w:rsid w:val="00FB3CDD"/>
    <w:rsid w:val="00FC122B"/>
    <w:rsid w:val="00FC1FCB"/>
    <w:rsid w:val="00FC6131"/>
    <w:rsid w:val="00FC74A1"/>
    <w:rsid w:val="00FD0BC0"/>
    <w:rsid w:val="00FD7B38"/>
    <w:rsid w:val="00FE0588"/>
    <w:rsid w:val="00FE2F6B"/>
    <w:rsid w:val="00FE4207"/>
    <w:rsid w:val="00FE48BC"/>
    <w:rsid w:val="00FE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A9EB"/>
  <w15:chartTrackingRefBased/>
  <w15:docId w15:val="{41018933-86A3-4997-AF5C-B16DF926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3B91"/>
    <w:pPr>
      <w:autoSpaceDE w:val="0"/>
      <w:autoSpaceDN w:val="0"/>
      <w:adjustRightInd w:val="0"/>
      <w:spacing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ED2BCF"/>
    <w:pPr>
      <w:spacing w:line="240" w:lineRule="auto"/>
    </w:pPr>
    <w:rPr>
      <w:szCs w:val="20"/>
    </w:rPr>
  </w:style>
  <w:style w:type="character" w:customStyle="1" w:styleId="FootnoteTextChar">
    <w:name w:val="Footnote Text Char"/>
    <w:basedOn w:val="DefaultParagraphFont"/>
    <w:link w:val="FootnoteText"/>
    <w:uiPriority w:val="99"/>
    <w:rsid w:val="00ED2BCF"/>
    <w:rPr>
      <w:szCs w:val="20"/>
    </w:rPr>
  </w:style>
  <w:style w:type="character" w:styleId="FootnoteReference">
    <w:name w:val="footnote reference"/>
    <w:basedOn w:val="DefaultParagraphFont"/>
    <w:uiPriority w:val="99"/>
    <w:semiHidden/>
    <w:unhideWhenUsed/>
    <w:rsid w:val="00ED2BCF"/>
    <w:rPr>
      <w:vertAlign w:val="superscript"/>
    </w:rPr>
  </w:style>
  <w:style w:type="character" w:styleId="Hyperlink">
    <w:name w:val="Hyperlink"/>
    <w:basedOn w:val="DefaultParagraphFont"/>
    <w:uiPriority w:val="99"/>
    <w:unhideWhenUsed/>
    <w:rsid w:val="0094033F"/>
    <w:rPr>
      <w:color w:val="0563C1" w:themeColor="hyperlink"/>
      <w:u w:val="single"/>
    </w:rPr>
  </w:style>
  <w:style w:type="character" w:styleId="UnresolvedMention">
    <w:name w:val="Unresolved Mention"/>
    <w:basedOn w:val="DefaultParagraphFont"/>
    <w:uiPriority w:val="99"/>
    <w:semiHidden/>
    <w:unhideWhenUsed/>
    <w:rsid w:val="00940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6657">
      <w:bodyDiv w:val="1"/>
      <w:marLeft w:val="0"/>
      <w:marRight w:val="0"/>
      <w:marTop w:val="0"/>
      <w:marBottom w:val="0"/>
      <w:divBdr>
        <w:top w:val="none" w:sz="0" w:space="0" w:color="auto"/>
        <w:left w:val="none" w:sz="0" w:space="0" w:color="auto"/>
        <w:bottom w:val="none" w:sz="0" w:space="0" w:color="auto"/>
        <w:right w:val="none" w:sz="0" w:space="0" w:color="auto"/>
      </w:divBdr>
    </w:div>
    <w:div w:id="1025405032">
      <w:bodyDiv w:val="1"/>
      <w:marLeft w:val="0"/>
      <w:marRight w:val="0"/>
      <w:marTop w:val="0"/>
      <w:marBottom w:val="0"/>
      <w:divBdr>
        <w:top w:val="none" w:sz="0" w:space="0" w:color="auto"/>
        <w:left w:val="none" w:sz="0" w:space="0" w:color="auto"/>
        <w:bottom w:val="none" w:sz="0" w:space="0" w:color="auto"/>
        <w:right w:val="none" w:sz="0" w:space="0" w:color="auto"/>
      </w:divBdr>
      <w:divsChild>
        <w:div w:id="908539717">
          <w:marLeft w:val="0"/>
          <w:marRight w:val="0"/>
          <w:marTop w:val="0"/>
          <w:marBottom w:val="750"/>
          <w:divBdr>
            <w:top w:val="none" w:sz="0" w:space="0" w:color="auto"/>
            <w:left w:val="none" w:sz="0" w:space="0" w:color="auto"/>
            <w:bottom w:val="none" w:sz="0" w:space="0" w:color="auto"/>
            <w:right w:val="none" w:sz="0" w:space="0" w:color="auto"/>
          </w:divBdr>
          <w:divsChild>
            <w:div w:id="457143025">
              <w:marLeft w:val="0"/>
              <w:marRight w:val="0"/>
              <w:marTop w:val="0"/>
              <w:marBottom w:val="0"/>
              <w:divBdr>
                <w:top w:val="none" w:sz="0" w:space="0" w:color="auto"/>
                <w:left w:val="none" w:sz="0" w:space="0" w:color="auto"/>
                <w:bottom w:val="none" w:sz="0" w:space="0" w:color="auto"/>
                <w:right w:val="none" w:sz="0" w:space="0" w:color="auto"/>
              </w:divBdr>
              <w:divsChild>
                <w:div w:id="10079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09">
          <w:marLeft w:val="0"/>
          <w:marRight w:val="0"/>
          <w:marTop w:val="0"/>
          <w:marBottom w:val="750"/>
          <w:divBdr>
            <w:top w:val="none" w:sz="0" w:space="0" w:color="auto"/>
            <w:left w:val="none" w:sz="0" w:space="0" w:color="auto"/>
            <w:bottom w:val="none" w:sz="0" w:space="0" w:color="auto"/>
            <w:right w:val="none" w:sz="0" w:space="0" w:color="auto"/>
          </w:divBdr>
          <w:divsChild>
            <w:div w:id="1881088667">
              <w:marLeft w:val="0"/>
              <w:marRight w:val="0"/>
              <w:marTop w:val="0"/>
              <w:marBottom w:val="0"/>
              <w:divBdr>
                <w:top w:val="none" w:sz="0" w:space="0" w:color="auto"/>
                <w:left w:val="none" w:sz="0" w:space="0" w:color="auto"/>
                <w:bottom w:val="none" w:sz="0" w:space="0" w:color="auto"/>
                <w:right w:val="none" w:sz="0" w:space="0" w:color="auto"/>
              </w:divBdr>
              <w:divsChild>
                <w:div w:id="2100516693">
                  <w:marLeft w:val="0"/>
                  <w:marRight w:val="0"/>
                  <w:marTop w:val="0"/>
                  <w:marBottom w:val="0"/>
                  <w:divBdr>
                    <w:top w:val="none" w:sz="0" w:space="0" w:color="auto"/>
                    <w:left w:val="none" w:sz="0" w:space="0" w:color="auto"/>
                    <w:bottom w:val="none" w:sz="0" w:space="0" w:color="auto"/>
                    <w:right w:val="none" w:sz="0" w:space="0" w:color="auto"/>
                  </w:divBdr>
                </w:div>
                <w:div w:id="777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490">
          <w:marLeft w:val="0"/>
          <w:marRight w:val="0"/>
          <w:marTop w:val="0"/>
          <w:marBottom w:val="750"/>
          <w:divBdr>
            <w:top w:val="none" w:sz="0" w:space="0" w:color="auto"/>
            <w:left w:val="none" w:sz="0" w:space="0" w:color="auto"/>
            <w:bottom w:val="none" w:sz="0" w:space="0" w:color="auto"/>
            <w:right w:val="none" w:sz="0" w:space="0" w:color="auto"/>
          </w:divBdr>
          <w:divsChild>
            <w:div w:id="1818647824">
              <w:marLeft w:val="0"/>
              <w:marRight w:val="0"/>
              <w:marTop w:val="0"/>
              <w:marBottom w:val="0"/>
              <w:divBdr>
                <w:top w:val="none" w:sz="0" w:space="0" w:color="auto"/>
                <w:left w:val="none" w:sz="0" w:space="0" w:color="auto"/>
                <w:bottom w:val="none" w:sz="0" w:space="0" w:color="auto"/>
                <w:right w:val="none" w:sz="0" w:space="0" w:color="auto"/>
              </w:divBdr>
              <w:divsChild>
                <w:div w:id="196816750">
                  <w:marLeft w:val="0"/>
                  <w:marRight w:val="0"/>
                  <w:marTop w:val="0"/>
                  <w:marBottom w:val="0"/>
                  <w:divBdr>
                    <w:top w:val="none" w:sz="0" w:space="0" w:color="auto"/>
                    <w:left w:val="none" w:sz="0" w:space="0" w:color="auto"/>
                    <w:bottom w:val="none" w:sz="0" w:space="0" w:color="auto"/>
                    <w:right w:val="none" w:sz="0" w:space="0" w:color="auto"/>
                  </w:divBdr>
                </w:div>
                <w:div w:id="6071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3880">
      <w:bodyDiv w:val="1"/>
      <w:marLeft w:val="0"/>
      <w:marRight w:val="0"/>
      <w:marTop w:val="0"/>
      <w:marBottom w:val="0"/>
      <w:divBdr>
        <w:top w:val="none" w:sz="0" w:space="0" w:color="auto"/>
        <w:left w:val="none" w:sz="0" w:space="0" w:color="auto"/>
        <w:bottom w:val="none" w:sz="0" w:space="0" w:color="auto"/>
        <w:right w:val="none" w:sz="0" w:space="0" w:color="auto"/>
      </w:divBdr>
      <w:divsChild>
        <w:div w:id="967050344">
          <w:marLeft w:val="0"/>
          <w:marRight w:val="0"/>
          <w:marTop w:val="0"/>
          <w:marBottom w:val="750"/>
          <w:divBdr>
            <w:top w:val="none" w:sz="0" w:space="0" w:color="auto"/>
            <w:left w:val="none" w:sz="0" w:space="0" w:color="auto"/>
            <w:bottom w:val="none" w:sz="0" w:space="0" w:color="auto"/>
            <w:right w:val="none" w:sz="0" w:space="0" w:color="auto"/>
          </w:divBdr>
          <w:divsChild>
            <w:div w:id="918104111">
              <w:marLeft w:val="0"/>
              <w:marRight w:val="0"/>
              <w:marTop w:val="0"/>
              <w:marBottom w:val="0"/>
              <w:divBdr>
                <w:top w:val="none" w:sz="0" w:space="0" w:color="auto"/>
                <w:left w:val="none" w:sz="0" w:space="0" w:color="auto"/>
                <w:bottom w:val="none" w:sz="0" w:space="0" w:color="auto"/>
                <w:right w:val="none" w:sz="0" w:space="0" w:color="auto"/>
              </w:divBdr>
              <w:divsChild>
                <w:div w:id="83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6936">
          <w:marLeft w:val="0"/>
          <w:marRight w:val="0"/>
          <w:marTop w:val="0"/>
          <w:marBottom w:val="750"/>
          <w:divBdr>
            <w:top w:val="none" w:sz="0" w:space="0" w:color="auto"/>
            <w:left w:val="none" w:sz="0" w:space="0" w:color="auto"/>
            <w:bottom w:val="none" w:sz="0" w:space="0" w:color="auto"/>
            <w:right w:val="none" w:sz="0" w:space="0" w:color="auto"/>
          </w:divBdr>
          <w:divsChild>
            <w:div w:id="1614365140">
              <w:marLeft w:val="0"/>
              <w:marRight w:val="0"/>
              <w:marTop w:val="0"/>
              <w:marBottom w:val="0"/>
              <w:divBdr>
                <w:top w:val="none" w:sz="0" w:space="0" w:color="auto"/>
                <w:left w:val="none" w:sz="0" w:space="0" w:color="auto"/>
                <w:bottom w:val="none" w:sz="0" w:space="0" w:color="auto"/>
                <w:right w:val="none" w:sz="0" w:space="0" w:color="auto"/>
              </w:divBdr>
              <w:divsChild>
                <w:div w:id="73548620">
                  <w:marLeft w:val="0"/>
                  <w:marRight w:val="0"/>
                  <w:marTop w:val="0"/>
                  <w:marBottom w:val="0"/>
                  <w:divBdr>
                    <w:top w:val="none" w:sz="0" w:space="0" w:color="auto"/>
                    <w:left w:val="none" w:sz="0" w:space="0" w:color="auto"/>
                    <w:bottom w:val="none" w:sz="0" w:space="0" w:color="auto"/>
                    <w:right w:val="none" w:sz="0" w:space="0" w:color="auto"/>
                  </w:divBdr>
                </w:div>
                <w:div w:id="15960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395">
          <w:marLeft w:val="0"/>
          <w:marRight w:val="0"/>
          <w:marTop w:val="0"/>
          <w:marBottom w:val="750"/>
          <w:divBdr>
            <w:top w:val="none" w:sz="0" w:space="0" w:color="auto"/>
            <w:left w:val="none" w:sz="0" w:space="0" w:color="auto"/>
            <w:bottom w:val="none" w:sz="0" w:space="0" w:color="auto"/>
            <w:right w:val="none" w:sz="0" w:space="0" w:color="auto"/>
          </w:divBdr>
          <w:divsChild>
            <w:div w:id="1452434139">
              <w:marLeft w:val="0"/>
              <w:marRight w:val="0"/>
              <w:marTop w:val="0"/>
              <w:marBottom w:val="0"/>
              <w:divBdr>
                <w:top w:val="none" w:sz="0" w:space="0" w:color="auto"/>
                <w:left w:val="none" w:sz="0" w:space="0" w:color="auto"/>
                <w:bottom w:val="none" w:sz="0" w:space="0" w:color="auto"/>
                <w:right w:val="none" w:sz="0" w:space="0" w:color="auto"/>
              </w:divBdr>
              <w:divsChild>
                <w:div w:id="1269774221">
                  <w:marLeft w:val="0"/>
                  <w:marRight w:val="0"/>
                  <w:marTop w:val="0"/>
                  <w:marBottom w:val="0"/>
                  <w:divBdr>
                    <w:top w:val="none" w:sz="0" w:space="0" w:color="auto"/>
                    <w:left w:val="none" w:sz="0" w:space="0" w:color="auto"/>
                    <w:bottom w:val="none" w:sz="0" w:space="0" w:color="auto"/>
                    <w:right w:val="none" w:sz="0" w:space="0" w:color="auto"/>
                  </w:divBdr>
                </w:div>
                <w:div w:id="11406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0536">
          <w:marLeft w:val="0"/>
          <w:marRight w:val="0"/>
          <w:marTop w:val="0"/>
          <w:marBottom w:val="750"/>
          <w:divBdr>
            <w:top w:val="none" w:sz="0" w:space="0" w:color="auto"/>
            <w:left w:val="none" w:sz="0" w:space="0" w:color="auto"/>
            <w:bottom w:val="none" w:sz="0" w:space="0" w:color="auto"/>
            <w:right w:val="none" w:sz="0" w:space="0" w:color="auto"/>
          </w:divBdr>
          <w:divsChild>
            <w:div w:id="1092120317">
              <w:marLeft w:val="0"/>
              <w:marRight w:val="0"/>
              <w:marTop w:val="0"/>
              <w:marBottom w:val="0"/>
              <w:divBdr>
                <w:top w:val="none" w:sz="0" w:space="0" w:color="auto"/>
                <w:left w:val="none" w:sz="0" w:space="0" w:color="auto"/>
                <w:bottom w:val="none" w:sz="0" w:space="0" w:color="auto"/>
                <w:right w:val="none" w:sz="0" w:space="0" w:color="auto"/>
              </w:divBdr>
              <w:divsChild>
                <w:div w:id="571936286">
                  <w:marLeft w:val="0"/>
                  <w:marRight w:val="0"/>
                  <w:marTop w:val="0"/>
                  <w:marBottom w:val="0"/>
                  <w:divBdr>
                    <w:top w:val="none" w:sz="0" w:space="0" w:color="auto"/>
                    <w:left w:val="none" w:sz="0" w:space="0" w:color="auto"/>
                    <w:bottom w:val="none" w:sz="0" w:space="0" w:color="auto"/>
                    <w:right w:val="none" w:sz="0" w:space="0" w:color="auto"/>
                  </w:divBdr>
                </w:div>
                <w:div w:id="723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isconsinwatch.org/2023/04/who-are-the-liberal-and-conservative-members-of-the-wisconsin-supreme-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FB093-FBA0-4C54-8E2F-B1472617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Matsuda</dc:creator>
  <cp:keywords/>
  <dc:description/>
  <cp:lastModifiedBy>Scott Matsuda</cp:lastModifiedBy>
  <cp:revision>275</cp:revision>
  <dcterms:created xsi:type="dcterms:W3CDTF">2023-08-03T07:08:00Z</dcterms:created>
  <dcterms:modified xsi:type="dcterms:W3CDTF">2023-08-04T17:36:00Z</dcterms:modified>
</cp:coreProperties>
</file>