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FA253" w14:textId="4398A9F9" w:rsidR="00F63BF9" w:rsidRPr="00732B06" w:rsidRDefault="00AD4848" w:rsidP="00C42F7B">
      <w:pPr>
        <w:pStyle w:val="UNHLRUNHlogo"/>
      </w:pPr>
      <w:r w:rsidRPr="00732B06">
        <w:rPr>
          <w:noProof/>
        </w:rPr>
        <w:drawing>
          <wp:inline distT="0" distB="0" distL="0" distR="0" wp14:anchorId="2FC8CFCA" wp14:editId="01CDB386">
            <wp:extent cx="457200" cy="55721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lemBlue_CMYK.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557213"/>
                    </a:xfrm>
                    <a:prstGeom prst="rect">
                      <a:avLst/>
                    </a:prstGeom>
                  </pic:spPr>
                </pic:pic>
              </a:graphicData>
            </a:graphic>
          </wp:inline>
        </w:drawing>
      </w:r>
    </w:p>
    <w:p w14:paraId="52BD9FDB" w14:textId="0A7E7DC1" w:rsidR="00AD4848" w:rsidRPr="00AD4848" w:rsidRDefault="008D681D" w:rsidP="00732B06">
      <w:pPr>
        <w:pStyle w:val="UNHLRAuthorName"/>
      </w:pPr>
      <w:r>
        <w:t>Jonathan Cervas, Bernard Grofman, &amp; S</w:t>
      </w:r>
      <w:del w:id="0" w:author="Jonathan Cervas" w:date="2023-06-18T17:24:00Z">
        <w:r w:rsidDel="00680191">
          <w:delText>a</w:delText>
        </w:r>
      </w:del>
      <w:r>
        <w:t>cott Matsuda</w:t>
      </w:r>
    </w:p>
    <w:p w14:paraId="462D327B" w14:textId="4B9A5707" w:rsidR="00AD4848" w:rsidRPr="00310C4B" w:rsidRDefault="008D681D" w:rsidP="00732B06">
      <w:pPr>
        <w:pStyle w:val="Title"/>
      </w:pPr>
      <w:r>
        <w:t>The Role of State Courts in Constraining Partisan Gerrymandering in Congressional Elections</w:t>
      </w:r>
    </w:p>
    <w:p w14:paraId="48A89AC2" w14:textId="132FBD33" w:rsidR="00AD4848" w:rsidRDefault="008D681D" w:rsidP="00310C4B">
      <w:pPr>
        <w:pStyle w:val="UNHLRFront-PageCitation"/>
      </w:pPr>
      <w:r>
        <w:t>21</w:t>
      </w:r>
      <w:r w:rsidR="00AD4848" w:rsidRPr="00310C4B">
        <w:t xml:space="preserve"> U.N.H. L. Rev. </w:t>
      </w:r>
      <w:r w:rsidR="00D779E2">
        <w:t>__</w:t>
      </w:r>
      <w:r w:rsidR="00AD4848" w:rsidRPr="00310C4B">
        <w:t xml:space="preserve"> (20</w:t>
      </w:r>
      <w:r>
        <w:t>23</w:t>
      </w:r>
      <w:r w:rsidR="00AD4848" w:rsidRPr="00310C4B">
        <w:t>)</w:t>
      </w:r>
    </w:p>
    <w:p w14:paraId="1A30E686" w14:textId="77777777" w:rsidR="008D681D" w:rsidRPr="008D681D" w:rsidRDefault="007B7652" w:rsidP="008D681D">
      <w:pPr>
        <w:pStyle w:val="UNHLRAbstractbiofirstparagraph"/>
      </w:pPr>
      <w:r w:rsidRPr="007B7652">
        <w:rPr>
          <w:rStyle w:val="UNHLRAbstractbiotitle"/>
        </w:rPr>
        <w:t>Abstract.</w:t>
      </w:r>
      <w:r>
        <w:t xml:space="preserve"> </w:t>
      </w:r>
      <w:bookmarkStart w:id="1" w:name="_Hlk527562390"/>
      <w:r w:rsidR="008D681D" w:rsidRPr="008D681D">
        <w:t xml:space="preserve">Federal courts were once seen as the place for partisan gerrymandering challenges to be lodged, but after thirty-plus years of failing to find any redistricting plan to be a partisan gerrymander, even while holding partisan gerrymandering to be justiciable, the Supreme Court announced in </w:t>
      </w:r>
      <w:r w:rsidR="008D681D" w:rsidRPr="008D681D">
        <w:rPr>
          <w:i/>
          <w:iCs/>
        </w:rPr>
        <w:t>Rucho v. Common Cause</w:t>
      </w:r>
      <w:r w:rsidR="008D681D" w:rsidRPr="008D681D">
        <w:t>, 588 U.S.</w:t>
      </w:r>
      <w:commentRangeStart w:id="2"/>
      <w:commentRangeStart w:id="3"/>
      <w:r w:rsidR="008D681D" w:rsidRPr="008D681D">
        <w:t xml:space="preserve"> ___ </w:t>
      </w:r>
      <w:commentRangeEnd w:id="2"/>
      <w:r w:rsidR="008D681D" w:rsidRPr="008D681D">
        <w:commentReference w:id="2"/>
      </w:r>
      <w:commentRangeEnd w:id="3"/>
      <w:r w:rsidR="00680191">
        <w:rPr>
          <w:rStyle w:val="CommentReference"/>
          <w:rFonts w:ascii="Times New Roman" w:hAnsi="Times New Roman"/>
          <w:szCs w:val="20"/>
        </w:rPr>
        <w:commentReference w:id="3"/>
      </w:r>
      <w:r w:rsidR="008D681D" w:rsidRPr="008D681D">
        <w:t xml:space="preserve">(2019), that partisan gerrymandering is not justiciable in federal courts. State 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find that partisan gerrymandering claims, while almost entirely in federal courts in the 2010 and earlier rounds of redistricting, are now brought in state courts. We also expect that state courts would look to state constitutional provisions to evaluate partisan gerrymandering claims, especially language added in recent constitutional amendments that affected the procedures and criteria for redistricting.  However, we also see some state courts creatively reevaluating older language in their state’s constitution to find a way to hold egregious gerrymanders in violation of that constitution. Moreover, we see various state court justices relying on a variety of statistical tests proposed by academic specialists, and/or examining the extent to which proposed maps satisfied traditional good government standards.  Thus, they are implicitly challenging the Supreme Court’s view in </w:t>
      </w:r>
      <w:r w:rsidR="008D681D" w:rsidRPr="008D681D">
        <w:rPr>
          <w:i/>
        </w:rPr>
        <w:t>Rucho</w:t>
      </w:r>
      <w:r w:rsidR="008D681D" w:rsidRPr="008D681D">
        <w:t xml:space="preserve"> that no manageable standard for egregious partisan gerrymandering existed.</w:t>
      </w:r>
    </w:p>
    <w:bookmarkEnd w:id="1"/>
    <w:p w14:paraId="2F8151AC" w14:textId="63FF4716" w:rsidR="008D703D" w:rsidRPr="008D703D" w:rsidRDefault="007B7652" w:rsidP="008D703D">
      <w:pPr>
        <w:pStyle w:val="UNHLRAbstractbiofirstparagraph"/>
      </w:pPr>
      <w:r w:rsidRPr="007B7652">
        <w:rPr>
          <w:rStyle w:val="UNHLRAbstractbiotitle"/>
        </w:rPr>
        <w:t>Author</w:t>
      </w:r>
      <w:r w:rsidR="008D681D">
        <w:rPr>
          <w:rStyle w:val="UNHLRAbstractbiotitle"/>
        </w:rPr>
        <w:t>S</w:t>
      </w:r>
      <w:r w:rsidRPr="007B7652">
        <w:rPr>
          <w:rStyle w:val="UNHLRAbstractbiotitle"/>
        </w:rPr>
        <w:t>.</w:t>
      </w:r>
      <w:r>
        <w:t xml:space="preserve"> </w:t>
      </w:r>
      <w:r w:rsidR="008D703D" w:rsidRPr="008D703D">
        <w:t>Cervas is a postdoctoral fellow, Carnegie Mellon University</w:t>
      </w:r>
      <w:r w:rsidR="008D703D">
        <w:t xml:space="preserve">.  </w:t>
      </w:r>
      <w:r w:rsidR="008D703D" w:rsidRPr="008D703D">
        <w:t xml:space="preserve">Grofman is a Distinguished Professor, Department of Political Science, University of California </w:t>
      </w:r>
      <w:proofErr w:type="gramStart"/>
      <w:r w:rsidR="008D703D" w:rsidRPr="008D703D">
        <w:t>Irvine</w:t>
      </w:r>
      <w:proofErr w:type="gramEnd"/>
      <w:r w:rsidR="008D703D" w:rsidRPr="008D703D">
        <w:t xml:space="preserve"> and inaugural Jack W. Peltason Chair of Democracy Studies emeritus.</w:t>
      </w:r>
      <w:r w:rsidR="008D703D">
        <w:t xml:space="preserve">  </w:t>
      </w:r>
      <w:r w:rsidR="008D703D" w:rsidRPr="008D703D">
        <w:t>Matsuda is a Legislative Research Attorney and graduate of New York Law School.</w:t>
      </w:r>
    </w:p>
    <w:p w14:paraId="1E0202A5" w14:textId="0F2705E9" w:rsidR="00310C4B" w:rsidRDefault="00310C4B" w:rsidP="007B7652">
      <w:pPr>
        <w:pStyle w:val="UNHLRAbstractbiofirstparagraph"/>
      </w:pPr>
    </w:p>
    <w:p w14:paraId="7250429B" w14:textId="34491E44" w:rsidR="00D272E9" w:rsidRDefault="00D37744">
      <w:pPr>
        <w:pStyle w:val="TOC1"/>
        <w:rPr>
          <w:ins w:id="4" w:author="Jonathan Cervas" w:date="2023-06-29T16:06:00Z"/>
          <w:rFonts w:asciiTheme="minorHAnsi" w:eastAsiaTheme="minorEastAsia" w:hAnsiTheme="minorHAnsi" w:cstheme="minorBidi"/>
          <w:caps w:val="0"/>
          <w:spacing w:val="0"/>
          <w:kern w:val="2"/>
          <w:szCs w:val="24"/>
          <w14:ligatures w14:val="standardContextual"/>
        </w:rPr>
      </w:pPr>
      <w:r w:rsidRPr="00D37744">
        <w:rPr>
          <w:sz w:val="21"/>
        </w:rPr>
        <w:lastRenderedPageBreak/>
        <w:fldChar w:fldCharType="begin"/>
      </w:r>
      <w:r w:rsidRPr="00D37744">
        <w:instrText xml:space="preserve"> TOC \o "1-2" \h \z \u </w:instrText>
      </w:r>
      <w:r w:rsidRPr="00D37744">
        <w:rPr>
          <w:sz w:val="21"/>
        </w:rPr>
        <w:fldChar w:fldCharType="separate"/>
      </w:r>
      <w:ins w:id="5" w:author="Jonathan Cervas" w:date="2023-06-29T16:06:00Z">
        <w:r w:rsidR="00D272E9" w:rsidRPr="00312871">
          <w:rPr>
            <w:rStyle w:val="Hyperlink"/>
            <w:rFonts w:eastAsiaTheme="minorEastAsia"/>
          </w:rPr>
          <w:fldChar w:fldCharType="begin"/>
        </w:r>
        <w:r w:rsidR="00D272E9" w:rsidRPr="00312871">
          <w:rPr>
            <w:rStyle w:val="Hyperlink"/>
            <w:rFonts w:eastAsiaTheme="minorEastAsia"/>
          </w:rPr>
          <w:instrText xml:space="preserve"> </w:instrText>
        </w:r>
        <w:r w:rsidR="00D272E9">
          <w:instrText>HYPERLINK \l "_Toc138947176"</w:instrText>
        </w:r>
        <w:r w:rsidR="00D272E9" w:rsidRPr="00312871">
          <w:rPr>
            <w:rStyle w:val="Hyperlink"/>
            <w:rFonts w:eastAsiaTheme="minorEastAsia"/>
          </w:rPr>
          <w:instrText xml:space="preserve"> </w:instrText>
        </w:r>
        <w:r w:rsidR="00D272E9" w:rsidRPr="00312871">
          <w:rPr>
            <w:rStyle w:val="Hyperlink"/>
            <w:rFonts w:eastAsiaTheme="minorEastAsia"/>
          </w:rPr>
        </w:r>
        <w:r w:rsidR="00D272E9" w:rsidRPr="00312871">
          <w:rPr>
            <w:rStyle w:val="Hyperlink"/>
            <w:rFonts w:eastAsiaTheme="minorEastAsia"/>
          </w:rPr>
          <w:fldChar w:fldCharType="separate"/>
        </w:r>
        <w:r w:rsidR="00D272E9" w:rsidRPr="00312871">
          <w:rPr>
            <w:rStyle w:val="Hyperlink"/>
            <w:rFonts w:eastAsiaTheme="minorEastAsia"/>
          </w:rPr>
          <w:t>Introduction</w:t>
        </w:r>
        <w:r w:rsidR="00D272E9">
          <w:rPr>
            <w:webHidden/>
          </w:rPr>
          <w:tab/>
        </w:r>
        <w:r w:rsidR="00D272E9">
          <w:rPr>
            <w:webHidden/>
          </w:rPr>
          <w:fldChar w:fldCharType="begin"/>
        </w:r>
        <w:r w:rsidR="00D272E9">
          <w:rPr>
            <w:webHidden/>
          </w:rPr>
          <w:instrText xml:space="preserve"> PAGEREF _Toc138947176 \h </w:instrText>
        </w:r>
        <w:r w:rsidR="00D272E9">
          <w:rPr>
            <w:webHidden/>
          </w:rPr>
        </w:r>
      </w:ins>
      <w:r w:rsidR="00D272E9">
        <w:rPr>
          <w:webHidden/>
        </w:rPr>
        <w:fldChar w:fldCharType="separate"/>
      </w:r>
      <w:ins w:id="6" w:author="Jonathan Cervas" w:date="2023-06-29T16:06:00Z">
        <w:r w:rsidR="00D272E9">
          <w:rPr>
            <w:webHidden/>
          </w:rPr>
          <w:t>2</w:t>
        </w:r>
        <w:r w:rsidR="00D272E9">
          <w:rPr>
            <w:webHidden/>
          </w:rPr>
          <w:fldChar w:fldCharType="end"/>
        </w:r>
        <w:r w:rsidR="00D272E9" w:rsidRPr="00312871">
          <w:rPr>
            <w:rStyle w:val="Hyperlink"/>
            <w:rFonts w:eastAsiaTheme="minorEastAsia"/>
          </w:rPr>
          <w:fldChar w:fldCharType="end"/>
        </w:r>
      </w:ins>
    </w:p>
    <w:p w14:paraId="0C182694" w14:textId="7A1700FF" w:rsidR="00D272E9" w:rsidRDefault="00D272E9">
      <w:pPr>
        <w:pStyle w:val="TOC1"/>
        <w:rPr>
          <w:ins w:id="7" w:author="Jonathan Cervas" w:date="2023-06-29T16:06:00Z"/>
          <w:rFonts w:asciiTheme="minorHAnsi" w:eastAsiaTheme="minorEastAsia" w:hAnsiTheme="minorHAnsi" w:cstheme="minorBidi"/>
          <w:caps w:val="0"/>
          <w:spacing w:val="0"/>
          <w:kern w:val="2"/>
          <w:szCs w:val="24"/>
          <w14:ligatures w14:val="standardContextual"/>
        </w:rPr>
      </w:pPr>
      <w:ins w:id="8" w:author="Jonathan Cervas" w:date="2023-06-29T16:06:00Z">
        <w:r w:rsidRPr="00312871">
          <w:rPr>
            <w:rStyle w:val="Hyperlink"/>
            <w:rFonts w:eastAsiaTheme="minorEastAsia"/>
          </w:rPr>
          <w:fldChar w:fldCharType="begin"/>
        </w:r>
        <w:r w:rsidRPr="00312871">
          <w:rPr>
            <w:rStyle w:val="Hyperlink"/>
            <w:rFonts w:eastAsiaTheme="minorEastAsia"/>
          </w:rPr>
          <w:instrText xml:space="preserve"> </w:instrText>
        </w:r>
        <w:r>
          <w:instrText>HYPERLINK \l "_Toc138947177"</w:instrText>
        </w:r>
        <w:r w:rsidRPr="00312871">
          <w:rPr>
            <w:rStyle w:val="Hyperlink"/>
            <w:rFonts w:eastAsiaTheme="minorEastAsia"/>
          </w:rPr>
          <w:instrText xml:space="preserve"> </w:instrText>
        </w:r>
        <w:r w:rsidRPr="00312871">
          <w:rPr>
            <w:rStyle w:val="Hyperlink"/>
            <w:rFonts w:eastAsiaTheme="minorEastAsia"/>
          </w:rPr>
        </w:r>
        <w:r w:rsidRPr="00312871">
          <w:rPr>
            <w:rStyle w:val="Hyperlink"/>
            <w:rFonts w:eastAsiaTheme="minorEastAsia"/>
          </w:rPr>
          <w:fldChar w:fldCharType="separate"/>
        </w:r>
        <w:r w:rsidRPr="00312871">
          <w:rPr>
            <w:rStyle w:val="Hyperlink"/>
            <w:rFonts w:eastAsiaTheme="minorEastAsia"/>
          </w:rPr>
          <w:t>I.</w:t>
        </w:r>
        <w:r>
          <w:rPr>
            <w:rFonts w:asciiTheme="minorHAnsi" w:eastAsiaTheme="minorEastAsia" w:hAnsiTheme="minorHAnsi" w:cstheme="minorBidi"/>
            <w:caps w:val="0"/>
            <w:spacing w:val="0"/>
            <w:kern w:val="2"/>
            <w:szCs w:val="24"/>
            <w14:ligatures w14:val="standardContextual"/>
          </w:rPr>
          <w:tab/>
        </w:r>
        <w:r w:rsidRPr="00312871">
          <w:rPr>
            <w:rStyle w:val="Hyperlink"/>
            <w:rFonts w:eastAsiaTheme="minorEastAsia"/>
          </w:rPr>
          <w:t>Background</w:t>
        </w:r>
        <w:r>
          <w:rPr>
            <w:webHidden/>
          </w:rPr>
          <w:tab/>
        </w:r>
        <w:r>
          <w:rPr>
            <w:webHidden/>
          </w:rPr>
          <w:fldChar w:fldCharType="begin"/>
        </w:r>
        <w:r>
          <w:rPr>
            <w:webHidden/>
          </w:rPr>
          <w:instrText xml:space="preserve"> PAGEREF _Toc138947177 \h </w:instrText>
        </w:r>
        <w:r>
          <w:rPr>
            <w:webHidden/>
          </w:rPr>
        </w:r>
      </w:ins>
      <w:r>
        <w:rPr>
          <w:webHidden/>
        </w:rPr>
        <w:fldChar w:fldCharType="separate"/>
      </w:r>
      <w:ins w:id="9" w:author="Jonathan Cervas" w:date="2023-06-29T16:06:00Z">
        <w:r>
          <w:rPr>
            <w:webHidden/>
          </w:rPr>
          <w:t>5</w:t>
        </w:r>
        <w:r>
          <w:rPr>
            <w:webHidden/>
          </w:rPr>
          <w:fldChar w:fldCharType="end"/>
        </w:r>
        <w:r w:rsidRPr="00312871">
          <w:rPr>
            <w:rStyle w:val="Hyperlink"/>
            <w:rFonts w:eastAsiaTheme="minorEastAsia"/>
          </w:rPr>
          <w:fldChar w:fldCharType="end"/>
        </w:r>
      </w:ins>
    </w:p>
    <w:p w14:paraId="158CAF65" w14:textId="690D1910" w:rsidR="00D272E9" w:rsidRDefault="00D272E9">
      <w:pPr>
        <w:pStyle w:val="TOC2"/>
        <w:rPr>
          <w:ins w:id="10" w:author="Jonathan Cervas" w:date="2023-06-29T16:06:00Z"/>
          <w:rFonts w:asciiTheme="minorHAnsi" w:eastAsiaTheme="minorEastAsia" w:hAnsiTheme="minorHAnsi" w:cstheme="minorBidi"/>
          <w:i w:val="0"/>
          <w:spacing w:val="0"/>
          <w:kern w:val="2"/>
          <w:szCs w:val="24"/>
          <w14:ligatures w14:val="standardContextual"/>
        </w:rPr>
      </w:pPr>
      <w:ins w:id="11" w:author="Jonathan Cervas" w:date="2023-06-29T16:06:00Z">
        <w:r w:rsidRPr="00312871">
          <w:rPr>
            <w:rStyle w:val="Hyperlink"/>
            <w:rFonts w:eastAsiaTheme="minorEastAsia"/>
          </w:rPr>
          <w:fldChar w:fldCharType="begin"/>
        </w:r>
        <w:r w:rsidRPr="00312871">
          <w:rPr>
            <w:rStyle w:val="Hyperlink"/>
            <w:rFonts w:eastAsiaTheme="minorEastAsia"/>
          </w:rPr>
          <w:instrText xml:space="preserve"> </w:instrText>
        </w:r>
        <w:r>
          <w:instrText>HYPERLINK \l "_Toc138947178"</w:instrText>
        </w:r>
        <w:r w:rsidRPr="00312871">
          <w:rPr>
            <w:rStyle w:val="Hyperlink"/>
            <w:rFonts w:eastAsiaTheme="minorEastAsia"/>
          </w:rPr>
          <w:instrText xml:space="preserve"> </w:instrText>
        </w:r>
        <w:r w:rsidRPr="00312871">
          <w:rPr>
            <w:rStyle w:val="Hyperlink"/>
            <w:rFonts w:eastAsiaTheme="minorEastAsia"/>
          </w:rPr>
        </w:r>
        <w:r w:rsidRPr="00312871">
          <w:rPr>
            <w:rStyle w:val="Hyperlink"/>
            <w:rFonts w:eastAsiaTheme="minorEastAsia"/>
          </w:rPr>
          <w:fldChar w:fldCharType="separate"/>
        </w:r>
        <w:r w:rsidRPr="00312871">
          <w:rPr>
            <w:rStyle w:val="Hyperlink"/>
            <w:rFonts w:eastAsiaTheme="minorEastAsia"/>
          </w:rPr>
          <w:t>A.</w:t>
        </w:r>
        <w:r>
          <w:rPr>
            <w:rFonts w:asciiTheme="minorHAnsi" w:eastAsiaTheme="minorEastAsia" w:hAnsiTheme="minorHAnsi" w:cstheme="minorBidi"/>
            <w:i w:val="0"/>
            <w:spacing w:val="0"/>
            <w:kern w:val="2"/>
            <w:szCs w:val="24"/>
            <w14:ligatures w14:val="standardContextual"/>
          </w:rPr>
          <w:tab/>
        </w:r>
        <w:r w:rsidRPr="00312871">
          <w:rPr>
            <w:rStyle w:val="Hyperlink"/>
            <w:rFonts w:eastAsiaTheme="minorEastAsia"/>
          </w:rPr>
          <w:t>The State of Partisan Gerrymandering Law Prior to 2020</w:t>
        </w:r>
        <w:r>
          <w:rPr>
            <w:webHidden/>
          </w:rPr>
          <w:tab/>
        </w:r>
        <w:r>
          <w:rPr>
            <w:webHidden/>
          </w:rPr>
          <w:fldChar w:fldCharType="begin"/>
        </w:r>
        <w:r>
          <w:rPr>
            <w:webHidden/>
          </w:rPr>
          <w:instrText xml:space="preserve"> PAGEREF _Toc138947178 \h </w:instrText>
        </w:r>
        <w:r>
          <w:rPr>
            <w:webHidden/>
          </w:rPr>
        </w:r>
      </w:ins>
      <w:r>
        <w:rPr>
          <w:webHidden/>
        </w:rPr>
        <w:fldChar w:fldCharType="separate"/>
      </w:r>
      <w:ins w:id="12" w:author="Jonathan Cervas" w:date="2023-06-29T16:06:00Z">
        <w:r>
          <w:rPr>
            <w:webHidden/>
          </w:rPr>
          <w:t>5</w:t>
        </w:r>
        <w:r>
          <w:rPr>
            <w:webHidden/>
          </w:rPr>
          <w:fldChar w:fldCharType="end"/>
        </w:r>
        <w:r w:rsidRPr="00312871">
          <w:rPr>
            <w:rStyle w:val="Hyperlink"/>
            <w:rFonts w:eastAsiaTheme="minorEastAsia"/>
          </w:rPr>
          <w:fldChar w:fldCharType="end"/>
        </w:r>
      </w:ins>
    </w:p>
    <w:p w14:paraId="51316EF0" w14:textId="105855EA" w:rsidR="00D272E9" w:rsidRDefault="00D272E9">
      <w:pPr>
        <w:pStyle w:val="TOC2"/>
        <w:rPr>
          <w:ins w:id="13" w:author="Jonathan Cervas" w:date="2023-06-29T16:06:00Z"/>
          <w:rFonts w:asciiTheme="minorHAnsi" w:eastAsiaTheme="minorEastAsia" w:hAnsiTheme="minorHAnsi" w:cstheme="minorBidi"/>
          <w:i w:val="0"/>
          <w:spacing w:val="0"/>
          <w:kern w:val="2"/>
          <w:szCs w:val="24"/>
          <w14:ligatures w14:val="standardContextual"/>
        </w:rPr>
      </w:pPr>
      <w:ins w:id="14" w:author="Jonathan Cervas" w:date="2023-06-29T16:06:00Z">
        <w:r w:rsidRPr="00312871">
          <w:rPr>
            <w:rStyle w:val="Hyperlink"/>
            <w:rFonts w:eastAsiaTheme="minorEastAsia"/>
          </w:rPr>
          <w:fldChar w:fldCharType="begin"/>
        </w:r>
        <w:r w:rsidRPr="00312871">
          <w:rPr>
            <w:rStyle w:val="Hyperlink"/>
            <w:rFonts w:eastAsiaTheme="minorEastAsia"/>
          </w:rPr>
          <w:instrText xml:space="preserve"> </w:instrText>
        </w:r>
        <w:r>
          <w:instrText>HYPERLINK \l "_Toc138947179"</w:instrText>
        </w:r>
        <w:r w:rsidRPr="00312871">
          <w:rPr>
            <w:rStyle w:val="Hyperlink"/>
            <w:rFonts w:eastAsiaTheme="minorEastAsia"/>
          </w:rPr>
          <w:instrText xml:space="preserve"> </w:instrText>
        </w:r>
        <w:r w:rsidRPr="00312871">
          <w:rPr>
            <w:rStyle w:val="Hyperlink"/>
            <w:rFonts w:eastAsiaTheme="minorEastAsia"/>
          </w:rPr>
        </w:r>
        <w:r w:rsidRPr="00312871">
          <w:rPr>
            <w:rStyle w:val="Hyperlink"/>
            <w:rFonts w:eastAsiaTheme="minorEastAsia"/>
          </w:rPr>
          <w:fldChar w:fldCharType="separate"/>
        </w:r>
        <w:r w:rsidRPr="00312871">
          <w:rPr>
            <w:rStyle w:val="Hyperlink"/>
            <w:rFonts w:eastAsiaTheme="minorEastAsia"/>
          </w:rPr>
          <w:t>B.</w:t>
        </w:r>
        <w:r>
          <w:rPr>
            <w:rFonts w:asciiTheme="minorHAnsi" w:eastAsiaTheme="minorEastAsia" w:hAnsiTheme="minorHAnsi" w:cstheme="minorBidi"/>
            <w:i w:val="0"/>
            <w:spacing w:val="0"/>
            <w:kern w:val="2"/>
            <w:szCs w:val="24"/>
            <w14:ligatures w14:val="standardContextual"/>
          </w:rPr>
          <w:tab/>
        </w:r>
        <w:r w:rsidRPr="00312871">
          <w:rPr>
            <w:rStyle w:val="Hyperlink"/>
            <w:rFonts w:eastAsiaTheme="minorEastAsia"/>
          </w:rPr>
          <w:t>The 2020 Redistricting Round: Institutions and Context</w:t>
        </w:r>
        <w:r>
          <w:rPr>
            <w:webHidden/>
          </w:rPr>
          <w:tab/>
        </w:r>
        <w:r>
          <w:rPr>
            <w:webHidden/>
          </w:rPr>
          <w:fldChar w:fldCharType="begin"/>
        </w:r>
        <w:r>
          <w:rPr>
            <w:webHidden/>
          </w:rPr>
          <w:instrText xml:space="preserve"> PAGEREF _Toc138947179 \h </w:instrText>
        </w:r>
        <w:r>
          <w:rPr>
            <w:webHidden/>
          </w:rPr>
        </w:r>
      </w:ins>
      <w:r>
        <w:rPr>
          <w:webHidden/>
        </w:rPr>
        <w:fldChar w:fldCharType="separate"/>
      </w:r>
      <w:ins w:id="15" w:author="Jonathan Cervas" w:date="2023-06-29T16:06:00Z">
        <w:r>
          <w:rPr>
            <w:webHidden/>
          </w:rPr>
          <w:t>12</w:t>
        </w:r>
        <w:r>
          <w:rPr>
            <w:webHidden/>
          </w:rPr>
          <w:fldChar w:fldCharType="end"/>
        </w:r>
        <w:r w:rsidRPr="00312871">
          <w:rPr>
            <w:rStyle w:val="Hyperlink"/>
            <w:rFonts w:eastAsiaTheme="minorEastAsia"/>
          </w:rPr>
          <w:fldChar w:fldCharType="end"/>
        </w:r>
      </w:ins>
    </w:p>
    <w:p w14:paraId="7079BE55" w14:textId="65937CB9" w:rsidR="00D272E9" w:rsidRDefault="00D272E9">
      <w:pPr>
        <w:pStyle w:val="TOC2"/>
        <w:rPr>
          <w:ins w:id="16" w:author="Jonathan Cervas" w:date="2023-06-29T16:06:00Z"/>
          <w:rFonts w:asciiTheme="minorHAnsi" w:eastAsiaTheme="minorEastAsia" w:hAnsiTheme="minorHAnsi" w:cstheme="minorBidi"/>
          <w:i w:val="0"/>
          <w:spacing w:val="0"/>
          <w:kern w:val="2"/>
          <w:szCs w:val="24"/>
          <w14:ligatures w14:val="standardContextual"/>
        </w:rPr>
      </w:pPr>
      <w:ins w:id="17" w:author="Jonathan Cervas" w:date="2023-06-29T16:06:00Z">
        <w:r w:rsidRPr="00312871">
          <w:rPr>
            <w:rStyle w:val="Hyperlink"/>
            <w:rFonts w:eastAsiaTheme="minorEastAsia"/>
          </w:rPr>
          <w:fldChar w:fldCharType="begin"/>
        </w:r>
        <w:r w:rsidRPr="00312871">
          <w:rPr>
            <w:rStyle w:val="Hyperlink"/>
            <w:rFonts w:eastAsiaTheme="minorEastAsia"/>
          </w:rPr>
          <w:instrText xml:space="preserve"> </w:instrText>
        </w:r>
        <w:r>
          <w:instrText>HYPERLINK \l "_Toc138947180"</w:instrText>
        </w:r>
        <w:r w:rsidRPr="00312871">
          <w:rPr>
            <w:rStyle w:val="Hyperlink"/>
            <w:rFonts w:eastAsiaTheme="minorEastAsia"/>
          </w:rPr>
          <w:instrText xml:space="preserve"> </w:instrText>
        </w:r>
        <w:r w:rsidRPr="00312871">
          <w:rPr>
            <w:rStyle w:val="Hyperlink"/>
            <w:rFonts w:eastAsiaTheme="minorEastAsia"/>
          </w:rPr>
        </w:r>
        <w:r w:rsidRPr="00312871">
          <w:rPr>
            <w:rStyle w:val="Hyperlink"/>
            <w:rFonts w:eastAsiaTheme="minorEastAsia"/>
          </w:rPr>
          <w:fldChar w:fldCharType="separate"/>
        </w:r>
        <w:r w:rsidRPr="00312871">
          <w:rPr>
            <w:rStyle w:val="Hyperlink"/>
            <w:rFonts w:eastAsiaTheme="minorEastAsia"/>
          </w:rPr>
          <w:t>C.</w:t>
        </w:r>
        <w:r>
          <w:rPr>
            <w:rFonts w:asciiTheme="minorHAnsi" w:eastAsiaTheme="minorEastAsia" w:hAnsiTheme="minorHAnsi" w:cstheme="minorBidi"/>
            <w:i w:val="0"/>
            <w:spacing w:val="0"/>
            <w:kern w:val="2"/>
            <w:szCs w:val="24"/>
            <w14:ligatures w14:val="standardContextual"/>
          </w:rPr>
          <w:tab/>
        </w:r>
        <w:r w:rsidRPr="00312871">
          <w:rPr>
            <w:rStyle w:val="Hyperlink"/>
            <w:rFonts w:eastAsiaTheme="minorEastAsia"/>
          </w:rPr>
          <w:t>Comparing Outcomes in Congressional Districts Before and After Redistricting</w:t>
        </w:r>
        <w:r>
          <w:rPr>
            <w:webHidden/>
          </w:rPr>
          <w:tab/>
        </w:r>
        <w:r>
          <w:rPr>
            <w:webHidden/>
          </w:rPr>
          <w:fldChar w:fldCharType="begin"/>
        </w:r>
        <w:r>
          <w:rPr>
            <w:webHidden/>
          </w:rPr>
          <w:instrText xml:space="preserve"> PAGEREF _Toc138947180 \h </w:instrText>
        </w:r>
        <w:r>
          <w:rPr>
            <w:webHidden/>
          </w:rPr>
        </w:r>
      </w:ins>
      <w:r>
        <w:rPr>
          <w:webHidden/>
        </w:rPr>
        <w:fldChar w:fldCharType="separate"/>
      </w:r>
      <w:ins w:id="18" w:author="Jonathan Cervas" w:date="2023-06-29T16:06:00Z">
        <w:r>
          <w:rPr>
            <w:webHidden/>
          </w:rPr>
          <w:t>27</w:t>
        </w:r>
        <w:r>
          <w:rPr>
            <w:webHidden/>
          </w:rPr>
          <w:fldChar w:fldCharType="end"/>
        </w:r>
        <w:r w:rsidRPr="00312871">
          <w:rPr>
            <w:rStyle w:val="Hyperlink"/>
            <w:rFonts w:eastAsiaTheme="minorEastAsia"/>
          </w:rPr>
          <w:fldChar w:fldCharType="end"/>
        </w:r>
      </w:ins>
    </w:p>
    <w:p w14:paraId="0987B838" w14:textId="6029AFAC" w:rsidR="00D272E9" w:rsidRDefault="00D272E9">
      <w:pPr>
        <w:pStyle w:val="TOC2"/>
        <w:rPr>
          <w:ins w:id="19" w:author="Jonathan Cervas" w:date="2023-06-29T16:06:00Z"/>
          <w:rFonts w:asciiTheme="minorHAnsi" w:eastAsiaTheme="minorEastAsia" w:hAnsiTheme="minorHAnsi" w:cstheme="minorBidi"/>
          <w:i w:val="0"/>
          <w:spacing w:val="0"/>
          <w:kern w:val="2"/>
          <w:szCs w:val="24"/>
          <w14:ligatures w14:val="standardContextual"/>
        </w:rPr>
      </w:pPr>
      <w:ins w:id="20" w:author="Jonathan Cervas" w:date="2023-06-29T16:06:00Z">
        <w:r w:rsidRPr="00312871">
          <w:rPr>
            <w:rStyle w:val="Hyperlink"/>
            <w:rFonts w:eastAsiaTheme="minorEastAsia"/>
          </w:rPr>
          <w:fldChar w:fldCharType="begin"/>
        </w:r>
        <w:r w:rsidRPr="00312871">
          <w:rPr>
            <w:rStyle w:val="Hyperlink"/>
            <w:rFonts w:eastAsiaTheme="minorEastAsia"/>
          </w:rPr>
          <w:instrText xml:space="preserve"> </w:instrText>
        </w:r>
        <w:r>
          <w:instrText>HYPERLINK \l "_Toc138947181"</w:instrText>
        </w:r>
        <w:r w:rsidRPr="00312871">
          <w:rPr>
            <w:rStyle w:val="Hyperlink"/>
            <w:rFonts w:eastAsiaTheme="minorEastAsia"/>
          </w:rPr>
          <w:instrText xml:space="preserve"> </w:instrText>
        </w:r>
        <w:r w:rsidRPr="00312871">
          <w:rPr>
            <w:rStyle w:val="Hyperlink"/>
            <w:rFonts w:eastAsiaTheme="minorEastAsia"/>
          </w:rPr>
        </w:r>
        <w:r w:rsidRPr="00312871">
          <w:rPr>
            <w:rStyle w:val="Hyperlink"/>
            <w:rFonts w:eastAsiaTheme="minorEastAsia"/>
          </w:rPr>
          <w:fldChar w:fldCharType="separate"/>
        </w:r>
        <w:r w:rsidRPr="00312871">
          <w:rPr>
            <w:rStyle w:val="Hyperlink"/>
            <w:rFonts w:eastAsiaTheme="minorEastAsia"/>
          </w:rPr>
          <w:t>D.</w:t>
        </w:r>
        <w:r>
          <w:rPr>
            <w:rFonts w:asciiTheme="minorHAnsi" w:eastAsiaTheme="minorEastAsia" w:hAnsiTheme="minorHAnsi" w:cstheme="minorBidi"/>
            <w:i w:val="0"/>
            <w:spacing w:val="0"/>
            <w:kern w:val="2"/>
            <w:szCs w:val="24"/>
            <w14:ligatures w14:val="standardContextual"/>
          </w:rPr>
          <w:tab/>
        </w:r>
        <w:r w:rsidRPr="00312871">
          <w:rPr>
            <w:rStyle w:val="Hyperlink"/>
            <w:rFonts w:eastAsiaTheme="minorEastAsia"/>
          </w:rPr>
          <w:t>Identifying Potential Gerrymanders</w:t>
        </w:r>
        <w:r>
          <w:rPr>
            <w:webHidden/>
          </w:rPr>
          <w:tab/>
        </w:r>
        <w:r>
          <w:rPr>
            <w:webHidden/>
          </w:rPr>
          <w:fldChar w:fldCharType="begin"/>
        </w:r>
        <w:r>
          <w:rPr>
            <w:webHidden/>
          </w:rPr>
          <w:instrText xml:space="preserve"> PAGEREF _Toc138947181 \h </w:instrText>
        </w:r>
        <w:r>
          <w:rPr>
            <w:webHidden/>
          </w:rPr>
        </w:r>
      </w:ins>
      <w:r>
        <w:rPr>
          <w:webHidden/>
        </w:rPr>
        <w:fldChar w:fldCharType="separate"/>
      </w:r>
      <w:ins w:id="21" w:author="Jonathan Cervas" w:date="2023-06-29T16:06:00Z">
        <w:r>
          <w:rPr>
            <w:webHidden/>
          </w:rPr>
          <w:t>30</w:t>
        </w:r>
        <w:r>
          <w:rPr>
            <w:webHidden/>
          </w:rPr>
          <w:fldChar w:fldCharType="end"/>
        </w:r>
        <w:r w:rsidRPr="00312871">
          <w:rPr>
            <w:rStyle w:val="Hyperlink"/>
            <w:rFonts w:eastAsiaTheme="minorEastAsia"/>
          </w:rPr>
          <w:fldChar w:fldCharType="end"/>
        </w:r>
      </w:ins>
    </w:p>
    <w:p w14:paraId="36B3010E" w14:textId="5B5F02E1" w:rsidR="00D272E9" w:rsidRDefault="00D272E9">
      <w:pPr>
        <w:pStyle w:val="TOC1"/>
        <w:rPr>
          <w:ins w:id="22" w:author="Jonathan Cervas" w:date="2023-06-29T16:06:00Z"/>
          <w:rFonts w:asciiTheme="minorHAnsi" w:eastAsiaTheme="minorEastAsia" w:hAnsiTheme="minorHAnsi" w:cstheme="minorBidi"/>
          <w:caps w:val="0"/>
          <w:spacing w:val="0"/>
          <w:kern w:val="2"/>
          <w:szCs w:val="24"/>
          <w14:ligatures w14:val="standardContextual"/>
        </w:rPr>
      </w:pPr>
      <w:ins w:id="23" w:author="Jonathan Cervas" w:date="2023-06-29T16:06:00Z">
        <w:r w:rsidRPr="00312871">
          <w:rPr>
            <w:rStyle w:val="Hyperlink"/>
            <w:rFonts w:eastAsiaTheme="minorEastAsia"/>
          </w:rPr>
          <w:fldChar w:fldCharType="begin"/>
        </w:r>
        <w:r w:rsidRPr="00312871">
          <w:rPr>
            <w:rStyle w:val="Hyperlink"/>
            <w:rFonts w:eastAsiaTheme="minorEastAsia"/>
          </w:rPr>
          <w:instrText xml:space="preserve"> </w:instrText>
        </w:r>
        <w:r>
          <w:instrText>HYPERLINK \l "_Toc138947182"</w:instrText>
        </w:r>
        <w:r w:rsidRPr="00312871">
          <w:rPr>
            <w:rStyle w:val="Hyperlink"/>
            <w:rFonts w:eastAsiaTheme="minorEastAsia"/>
          </w:rPr>
          <w:instrText xml:space="preserve"> </w:instrText>
        </w:r>
        <w:r w:rsidRPr="00312871">
          <w:rPr>
            <w:rStyle w:val="Hyperlink"/>
            <w:rFonts w:eastAsiaTheme="minorEastAsia"/>
          </w:rPr>
        </w:r>
        <w:r w:rsidRPr="00312871">
          <w:rPr>
            <w:rStyle w:val="Hyperlink"/>
            <w:rFonts w:eastAsiaTheme="minorEastAsia"/>
          </w:rPr>
          <w:fldChar w:fldCharType="separate"/>
        </w:r>
        <w:r w:rsidRPr="00312871">
          <w:rPr>
            <w:rStyle w:val="Hyperlink"/>
            <w:rFonts w:eastAsiaTheme="minorEastAsia"/>
          </w:rPr>
          <w:t>II.</w:t>
        </w:r>
        <w:r>
          <w:rPr>
            <w:rFonts w:asciiTheme="minorHAnsi" w:eastAsiaTheme="minorEastAsia" w:hAnsiTheme="minorHAnsi" w:cstheme="minorBidi"/>
            <w:caps w:val="0"/>
            <w:spacing w:val="0"/>
            <w:kern w:val="2"/>
            <w:szCs w:val="24"/>
            <w14:ligatures w14:val="standardContextual"/>
          </w:rPr>
          <w:tab/>
        </w:r>
        <w:r w:rsidRPr="00312871">
          <w:rPr>
            <w:rStyle w:val="Hyperlink"/>
            <w:rFonts w:eastAsiaTheme="minorEastAsia"/>
          </w:rPr>
          <w:t>The Role and effects of state courts</w:t>
        </w:r>
        <w:r>
          <w:rPr>
            <w:webHidden/>
          </w:rPr>
          <w:tab/>
        </w:r>
        <w:r>
          <w:rPr>
            <w:webHidden/>
          </w:rPr>
          <w:fldChar w:fldCharType="begin"/>
        </w:r>
        <w:r>
          <w:rPr>
            <w:webHidden/>
          </w:rPr>
          <w:instrText xml:space="preserve"> PAGEREF _Toc138947182 \h </w:instrText>
        </w:r>
        <w:r>
          <w:rPr>
            <w:webHidden/>
          </w:rPr>
        </w:r>
      </w:ins>
      <w:r>
        <w:rPr>
          <w:webHidden/>
        </w:rPr>
        <w:fldChar w:fldCharType="separate"/>
      </w:r>
      <w:ins w:id="24" w:author="Jonathan Cervas" w:date="2023-06-29T16:06:00Z">
        <w:r>
          <w:rPr>
            <w:webHidden/>
          </w:rPr>
          <w:t>33</w:t>
        </w:r>
        <w:r>
          <w:rPr>
            <w:webHidden/>
          </w:rPr>
          <w:fldChar w:fldCharType="end"/>
        </w:r>
        <w:r w:rsidRPr="00312871">
          <w:rPr>
            <w:rStyle w:val="Hyperlink"/>
            <w:rFonts w:eastAsiaTheme="minorEastAsia"/>
          </w:rPr>
          <w:fldChar w:fldCharType="end"/>
        </w:r>
      </w:ins>
    </w:p>
    <w:p w14:paraId="0C3C3F38" w14:textId="305FE92E" w:rsidR="00D272E9" w:rsidRDefault="00D272E9">
      <w:pPr>
        <w:pStyle w:val="TOC2"/>
        <w:rPr>
          <w:ins w:id="25" w:author="Jonathan Cervas" w:date="2023-06-29T16:06:00Z"/>
          <w:rFonts w:asciiTheme="minorHAnsi" w:eastAsiaTheme="minorEastAsia" w:hAnsiTheme="minorHAnsi" w:cstheme="minorBidi"/>
          <w:i w:val="0"/>
          <w:spacing w:val="0"/>
          <w:kern w:val="2"/>
          <w:szCs w:val="24"/>
          <w14:ligatures w14:val="standardContextual"/>
        </w:rPr>
      </w:pPr>
      <w:ins w:id="26" w:author="Jonathan Cervas" w:date="2023-06-29T16:06:00Z">
        <w:r w:rsidRPr="00312871">
          <w:rPr>
            <w:rStyle w:val="Hyperlink"/>
            <w:rFonts w:eastAsiaTheme="minorEastAsia"/>
          </w:rPr>
          <w:fldChar w:fldCharType="begin"/>
        </w:r>
        <w:r w:rsidRPr="00312871">
          <w:rPr>
            <w:rStyle w:val="Hyperlink"/>
            <w:rFonts w:eastAsiaTheme="minorEastAsia"/>
          </w:rPr>
          <w:instrText xml:space="preserve"> </w:instrText>
        </w:r>
        <w:r>
          <w:instrText>HYPERLINK \l "_Toc138947183"</w:instrText>
        </w:r>
        <w:r w:rsidRPr="00312871">
          <w:rPr>
            <w:rStyle w:val="Hyperlink"/>
            <w:rFonts w:eastAsiaTheme="minorEastAsia"/>
          </w:rPr>
          <w:instrText xml:space="preserve"> </w:instrText>
        </w:r>
        <w:r w:rsidRPr="00312871">
          <w:rPr>
            <w:rStyle w:val="Hyperlink"/>
            <w:rFonts w:eastAsiaTheme="minorEastAsia"/>
          </w:rPr>
        </w:r>
        <w:r w:rsidRPr="00312871">
          <w:rPr>
            <w:rStyle w:val="Hyperlink"/>
            <w:rFonts w:eastAsiaTheme="minorEastAsia"/>
          </w:rPr>
          <w:fldChar w:fldCharType="separate"/>
        </w:r>
        <w:r w:rsidRPr="00312871">
          <w:rPr>
            <w:rStyle w:val="Hyperlink"/>
            <w:rFonts w:eastAsiaTheme="minorEastAsia"/>
          </w:rPr>
          <w:t>A.</w:t>
        </w:r>
        <w:r>
          <w:rPr>
            <w:rFonts w:asciiTheme="minorHAnsi" w:eastAsiaTheme="minorEastAsia" w:hAnsiTheme="minorHAnsi" w:cstheme="minorBidi"/>
            <w:i w:val="0"/>
            <w:spacing w:val="0"/>
            <w:kern w:val="2"/>
            <w:szCs w:val="24"/>
            <w14:ligatures w14:val="standardContextual"/>
          </w:rPr>
          <w:tab/>
        </w:r>
        <w:r w:rsidRPr="00312871">
          <w:rPr>
            <w:rStyle w:val="Hyperlink"/>
            <w:rFonts w:eastAsiaTheme="minorEastAsia"/>
          </w:rPr>
          <w:t>Potential Partisan Gerrymanders and State Law</w:t>
        </w:r>
        <w:r>
          <w:rPr>
            <w:webHidden/>
          </w:rPr>
          <w:tab/>
        </w:r>
        <w:r>
          <w:rPr>
            <w:webHidden/>
          </w:rPr>
          <w:fldChar w:fldCharType="begin"/>
        </w:r>
        <w:r>
          <w:rPr>
            <w:webHidden/>
          </w:rPr>
          <w:instrText xml:space="preserve"> PAGEREF _Toc138947183 \h </w:instrText>
        </w:r>
        <w:r>
          <w:rPr>
            <w:webHidden/>
          </w:rPr>
        </w:r>
      </w:ins>
      <w:r>
        <w:rPr>
          <w:webHidden/>
        </w:rPr>
        <w:fldChar w:fldCharType="separate"/>
      </w:r>
      <w:ins w:id="27" w:author="Jonathan Cervas" w:date="2023-06-29T16:06:00Z">
        <w:r>
          <w:rPr>
            <w:webHidden/>
          </w:rPr>
          <w:t>33</w:t>
        </w:r>
        <w:r>
          <w:rPr>
            <w:webHidden/>
          </w:rPr>
          <w:fldChar w:fldCharType="end"/>
        </w:r>
        <w:r w:rsidRPr="00312871">
          <w:rPr>
            <w:rStyle w:val="Hyperlink"/>
            <w:rFonts w:eastAsiaTheme="minorEastAsia"/>
          </w:rPr>
          <w:fldChar w:fldCharType="end"/>
        </w:r>
      </w:ins>
    </w:p>
    <w:p w14:paraId="7E52059B" w14:textId="7B24E800" w:rsidR="00D272E9" w:rsidRDefault="00D272E9">
      <w:pPr>
        <w:pStyle w:val="TOC2"/>
        <w:rPr>
          <w:ins w:id="28" w:author="Jonathan Cervas" w:date="2023-06-29T16:06:00Z"/>
          <w:rFonts w:asciiTheme="minorHAnsi" w:eastAsiaTheme="minorEastAsia" w:hAnsiTheme="minorHAnsi" w:cstheme="minorBidi"/>
          <w:i w:val="0"/>
          <w:spacing w:val="0"/>
          <w:kern w:val="2"/>
          <w:szCs w:val="24"/>
          <w14:ligatures w14:val="standardContextual"/>
        </w:rPr>
      </w:pPr>
      <w:ins w:id="29" w:author="Jonathan Cervas" w:date="2023-06-29T16:06:00Z">
        <w:r w:rsidRPr="00312871">
          <w:rPr>
            <w:rStyle w:val="Hyperlink"/>
            <w:rFonts w:eastAsiaTheme="minorEastAsia"/>
          </w:rPr>
          <w:fldChar w:fldCharType="begin"/>
        </w:r>
        <w:r w:rsidRPr="00312871">
          <w:rPr>
            <w:rStyle w:val="Hyperlink"/>
            <w:rFonts w:eastAsiaTheme="minorEastAsia"/>
          </w:rPr>
          <w:instrText xml:space="preserve"> </w:instrText>
        </w:r>
        <w:r>
          <w:instrText>HYPERLINK \l "_Toc138947184"</w:instrText>
        </w:r>
        <w:r w:rsidRPr="00312871">
          <w:rPr>
            <w:rStyle w:val="Hyperlink"/>
            <w:rFonts w:eastAsiaTheme="minorEastAsia"/>
          </w:rPr>
          <w:instrText xml:space="preserve"> </w:instrText>
        </w:r>
        <w:r w:rsidRPr="00312871">
          <w:rPr>
            <w:rStyle w:val="Hyperlink"/>
            <w:rFonts w:eastAsiaTheme="minorEastAsia"/>
          </w:rPr>
        </w:r>
        <w:r w:rsidRPr="00312871">
          <w:rPr>
            <w:rStyle w:val="Hyperlink"/>
            <w:rFonts w:eastAsiaTheme="minorEastAsia"/>
          </w:rPr>
          <w:fldChar w:fldCharType="separate"/>
        </w:r>
        <w:r w:rsidRPr="00312871">
          <w:rPr>
            <w:rStyle w:val="Hyperlink"/>
            <w:rFonts w:eastAsiaTheme="minorEastAsia"/>
          </w:rPr>
          <w:t>B.</w:t>
        </w:r>
        <w:r>
          <w:rPr>
            <w:rFonts w:asciiTheme="minorHAnsi" w:eastAsiaTheme="minorEastAsia" w:hAnsiTheme="minorHAnsi" w:cstheme="minorBidi"/>
            <w:i w:val="0"/>
            <w:spacing w:val="0"/>
            <w:kern w:val="2"/>
            <w:szCs w:val="24"/>
            <w14:ligatures w14:val="standardContextual"/>
          </w:rPr>
          <w:tab/>
        </w:r>
        <w:r w:rsidRPr="00312871">
          <w:rPr>
            <w:rStyle w:val="Hyperlink"/>
            <w:rFonts w:eastAsiaTheme="minorEastAsia"/>
          </w:rPr>
          <w:t>State Court Cases Where Partisan Gerrymandering Issues Are Implicated</w:t>
        </w:r>
        <w:r>
          <w:rPr>
            <w:webHidden/>
          </w:rPr>
          <w:tab/>
        </w:r>
        <w:r>
          <w:rPr>
            <w:webHidden/>
          </w:rPr>
          <w:fldChar w:fldCharType="begin"/>
        </w:r>
        <w:r>
          <w:rPr>
            <w:webHidden/>
          </w:rPr>
          <w:instrText xml:space="preserve"> PAGEREF _Toc138947184 \h </w:instrText>
        </w:r>
        <w:r>
          <w:rPr>
            <w:webHidden/>
          </w:rPr>
        </w:r>
      </w:ins>
      <w:r>
        <w:rPr>
          <w:webHidden/>
        </w:rPr>
        <w:fldChar w:fldCharType="separate"/>
      </w:r>
      <w:ins w:id="30" w:author="Jonathan Cervas" w:date="2023-06-29T16:06:00Z">
        <w:r>
          <w:rPr>
            <w:webHidden/>
          </w:rPr>
          <w:t>36</w:t>
        </w:r>
        <w:r>
          <w:rPr>
            <w:webHidden/>
          </w:rPr>
          <w:fldChar w:fldCharType="end"/>
        </w:r>
        <w:r w:rsidRPr="00312871">
          <w:rPr>
            <w:rStyle w:val="Hyperlink"/>
            <w:rFonts w:eastAsiaTheme="minorEastAsia"/>
          </w:rPr>
          <w:fldChar w:fldCharType="end"/>
        </w:r>
      </w:ins>
    </w:p>
    <w:p w14:paraId="2BAE0957" w14:textId="612DCAFB" w:rsidR="00D272E9" w:rsidRDefault="00D272E9">
      <w:pPr>
        <w:pStyle w:val="TOC2"/>
        <w:rPr>
          <w:ins w:id="31" w:author="Jonathan Cervas" w:date="2023-06-29T16:06:00Z"/>
          <w:rFonts w:asciiTheme="minorHAnsi" w:eastAsiaTheme="minorEastAsia" w:hAnsiTheme="minorHAnsi" w:cstheme="minorBidi"/>
          <w:i w:val="0"/>
          <w:spacing w:val="0"/>
          <w:kern w:val="2"/>
          <w:szCs w:val="24"/>
          <w14:ligatures w14:val="standardContextual"/>
        </w:rPr>
      </w:pPr>
      <w:ins w:id="32" w:author="Jonathan Cervas" w:date="2023-06-29T16:06:00Z">
        <w:r w:rsidRPr="00312871">
          <w:rPr>
            <w:rStyle w:val="Hyperlink"/>
            <w:rFonts w:eastAsiaTheme="minorEastAsia"/>
          </w:rPr>
          <w:fldChar w:fldCharType="begin"/>
        </w:r>
        <w:r w:rsidRPr="00312871">
          <w:rPr>
            <w:rStyle w:val="Hyperlink"/>
            <w:rFonts w:eastAsiaTheme="minorEastAsia"/>
          </w:rPr>
          <w:instrText xml:space="preserve"> </w:instrText>
        </w:r>
        <w:r>
          <w:instrText>HYPERLINK \l "_Toc138947185"</w:instrText>
        </w:r>
        <w:r w:rsidRPr="00312871">
          <w:rPr>
            <w:rStyle w:val="Hyperlink"/>
            <w:rFonts w:eastAsiaTheme="minorEastAsia"/>
          </w:rPr>
          <w:instrText xml:space="preserve"> </w:instrText>
        </w:r>
        <w:r w:rsidRPr="00312871">
          <w:rPr>
            <w:rStyle w:val="Hyperlink"/>
            <w:rFonts w:eastAsiaTheme="minorEastAsia"/>
          </w:rPr>
        </w:r>
        <w:r w:rsidRPr="00312871">
          <w:rPr>
            <w:rStyle w:val="Hyperlink"/>
            <w:rFonts w:eastAsiaTheme="minorEastAsia"/>
          </w:rPr>
          <w:fldChar w:fldCharType="separate"/>
        </w:r>
        <w:r w:rsidRPr="00312871">
          <w:rPr>
            <w:rStyle w:val="Hyperlink"/>
            <w:rFonts w:eastAsiaTheme="minorEastAsia"/>
          </w:rPr>
          <w:t>C.</w:t>
        </w:r>
        <w:r>
          <w:rPr>
            <w:rFonts w:asciiTheme="minorHAnsi" w:eastAsiaTheme="minorEastAsia" w:hAnsiTheme="minorHAnsi" w:cstheme="minorBidi"/>
            <w:i w:val="0"/>
            <w:spacing w:val="0"/>
            <w:kern w:val="2"/>
            <w:szCs w:val="24"/>
            <w14:ligatures w14:val="standardContextual"/>
          </w:rPr>
          <w:tab/>
        </w:r>
        <w:r w:rsidRPr="00312871">
          <w:rPr>
            <w:rStyle w:val="Hyperlink"/>
            <w:rFonts w:eastAsiaTheme="minorEastAsia"/>
          </w:rPr>
          <w:t>Evaluating the Consequences of Court Action</w:t>
        </w:r>
        <w:r>
          <w:rPr>
            <w:webHidden/>
          </w:rPr>
          <w:tab/>
        </w:r>
        <w:r>
          <w:rPr>
            <w:webHidden/>
          </w:rPr>
          <w:fldChar w:fldCharType="begin"/>
        </w:r>
        <w:r>
          <w:rPr>
            <w:webHidden/>
          </w:rPr>
          <w:instrText xml:space="preserve"> PAGEREF _Toc138947185 \h </w:instrText>
        </w:r>
        <w:r>
          <w:rPr>
            <w:webHidden/>
          </w:rPr>
        </w:r>
      </w:ins>
      <w:r>
        <w:rPr>
          <w:webHidden/>
        </w:rPr>
        <w:fldChar w:fldCharType="separate"/>
      </w:r>
      <w:ins w:id="33" w:author="Jonathan Cervas" w:date="2023-06-29T16:06:00Z">
        <w:r>
          <w:rPr>
            <w:webHidden/>
          </w:rPr>
          <w:t>61</w:t>
        </w:r>
        <w:r>
          <w:rPr>
            <w:webHidden/>
          </w:rPr>
          <w:fldChar w:fldCharType="end"/>
        </w:r>
        <w:r w:rsidRPr="00312871">
          <w:rPr>
            <w:rStyle w:val="Hyperlink"/>
            <w:rFonts w:eastAsiaTheme="minorEastAsia"/>
          </w:rPr>
          <w:fldChar w:fldCharType="end"/>
        </w:r>
      </w:ins>
    </w:p>
    <w:p w14:paraId="4EA91603" w14:textId="1510D740" w:rsidR="00D272E9" w:rsidRDefault="00D272E9">
      <w:pPr>
        <w:pStyle w:val="TOC1"/>
        <w:rPr>
          <w:ins w:id="34" w:author="Jonathan Cervas" w:date="2023-06-29T16:06:00Z"/>
          <w:rFonts w:asciiTheme="minorHAnsi" w:eastAsiaTheme="minorEastAsia" w:hAnsiTheme="minorHAnsi" w:cstheme="minorBidi"/>
          <w:caps w:val="0"/>
          <w:spacing w:val="0"/>
          <w:kern w:val="2"/>
          <w:szCs w:val="24"/>
          <w14:ligatures w14:val="standardContextual"/>
        </w:rPr>
      </w:pPr>
      <w:ins w:id="35" w:author="Jonathan Cervas" w:date="2023-06-29T16:06:00Z">
        <w:r w:rsidRPr="00312871">
          <w:rPr>
            <w:rStyle w:val="Hyperlink"/>
            <w:rFonts w:eastAsiaTheme="minorEastAsia"/>
          </w:rPr>
          <w:fldChar w:fldCharType="begin"/>
        </w:r>
        <w:r w:rsidRPr="00312871">
          <w:rPr>
            <w:rStyle w:val="Hyperlink"/>
            <w:rFonts w:eastAsiaTheme="minorEastAsia"/>
          </w:rPr>
          <w:instrText xml:space="preserve"> </w:instrText>
        </w:r>
        <w:r>
          <w:instrText>HYPERLINK \l "_Toc138947186"</w:instrText>
        </w:r>
        <w:r w:rsidRPr="00312871">
          <w:rPr>
            <w:rStyle w:val="Hyperlink"/>
            <w:rFonts w:eastAsiaTheme="minorEastAsia"/>
          </w:rPr>
          <w:instrText xml:space="preserve"> </w:instrText>
        </w:r>
        <w:r w:rsidRPr="00312871">
          <w:rPr>
            <w:rStyle w:val="Hyperlink"/>
            <w:rFonts w:eastAsiaTheme="minorEastAsia"/>
          </w:rPr>
        </w:r>
        <w:r w:rsidRPr="00312871">
          <w:rPr>
            <w:rStyle w:val="Hyperlink"/>
            <w:rFonts w:eastAsiaTheme="minorEastAsia"/>
          </w:rPr>
          <w:fldChar w:fldCharType="separate"/>
        </w:r>
        <w:r w:rsidRPr="00312871">
          <w:rPr>
            <w:rStyle w:val="Hyperlink"/>
            <w:rFonts w:eastAsiaTheme="minorEastAsia"/>
          </w:rPr>
          <w:t>Conclusion</w:t>
        </w:r>
        <w:r>
          <w:rPr>
            <w:webHidden/>
          </w:rPr>
          <w:tab/>
        </w:r>
        <w:r>
          <w:rPr>
            <w:webHidden/>
          </w:rPr>
          <w:fldChar w:fldCharType="begin"/>
        </w:r>
        <w:r>
          <w:rPr>
            <w:webHidden/>
          </w:rPr>
          <w:instrText xml:space="preserve"> PAGEREF _Toc138947186 \h </w:instrText>
        </w:r>
        <w:r>
          <w:rPr>
            <w:webHidden/>
          </w:rPr>
        </w:r>
      </w:ins>
      <w:r>
        <w:rPr>
          <w:webHidden/>
        </w:rPr>
        <w:fldChar w:fldCharType="separate"/>
      </w:r>
      <w:ins w:id="36" w:author="Jonathan Cervas" w:date="2023-06-29T16:06:00Z">
        <w:r>
          <w:rPr>
            <w:webHidden/>
          </w:rPr>
          <w:t>65</w:t>
        </w:r>
        <w:r>
          <w:rPr>
            <w:webHidden/>
          </w:rPr>
          <w:fldChar w:fldCharType="end"/>
        </w:r>
        <w:r w:rsidRPr="00312871">
          <w:rPr>
            <w:rStyle w:val="Hyperlink"/>
            <w:rFonts w:eastAsiaTheme="minorEastAsia"/>
          </w:rPr>
          <w:fldChar w:fldCharType="end"/>
        </w:r>
      </w:ins>
    </w:p>
    <w:p w14:paraId="4211EA73" w14:textId="47BE4EE6" w:rsidR="00A406AB" w:rsidDel="00D272E9" w:rsidRDefault="00A406AB">
      <w:pPr>
        <w:pStyle w:val="TOC1"/>
        <w:rPr>
          <w:del w:id="37" w:author="Jonathan Cervas" w:date="2023-06-29T16:06:00Z"/>
          <w:rFonts w:asciiTheme="minorHAnsi" w:hAnsiTheme="minorHAnsi" w:cstheme="minorBidi"/>
          <w:caps w:val="0"/>
          <w:spacing w:val="0"/>
          <w:szCs w:val="24"/>
        </w:rPr>
      </w:pPr>
      <w:del w:id="38" w:author="Jonathan Cervas" w:date="2023-06-29T16:06:00Z">
        <w:r w:rsidRPr="00D272E9" w:rsidDel="00D272E9">
          <w:rPr>
            <w:rPrChange w:id="39" w:author="Jonathan Cervas" w:date="2023-06-29T16:06:00Z">
              <w:rPr>
                <w:rStyle w:val="Hyperlink"/>
              </w:rPr>
            </w:rPrChange>
          </w:rPr>
          <w:delText>Introduction</w:delText>
        </w:r>
        <w:r w:rsidDel="00D272E9">
          <w:rPr>
            <w:webHidden/>
          </w:rPr>
          <w:tab/>
          <w:delText>2</w:delText>
        </w:r>
      </w:del>
    </w:p>
    <w:p w14:paraId="445C191D" w14:textId="43507FA9" w:rsidR="00A406AB" w:rsidDel="00D272E9" w:rsidRDefault="00A406AB">
      <w:pPr>
        <w:pStyle w:val="TOC1"/>
        <w:rPr>
          <w:del w:id="40" w:author="Jonathan Cervas" w:date="2023-06-29T16:06:00Z"/>
          <w:rFonts w:asciiTheme="minorHAnsi" w:hAnsiTheme="minorHAnsi" w:cstheme="minorBidi"/>
          <w:caps w:val="0"/>
          <w:spacing w:val="0"/>
          <w:szCs w:val="24"/>
        </w:rPr>
      </w:pPr>
      <w:del w:id="41" w:author="Jonathan Cervas" w:date="2023-06-29T16:06:00Z">
        <w:r w:rsidRPr="00D272E9" w:rsidDel="00D272E9">
          <w:rPr>
            <w:rPrChange w:id="42" w:author="Jonathan Cervas" w:date="2023-06-29T16:06:00Z">
              <w:rPr>
                <w:rStyle w:val="Hyperlink"/>
              </w:rPr>
            </w:rPrChange>
          </w:rPr>
          <w:delText>I.</w:delText>
        </w:r>
        <w:r w:rsidDel="00D272E9">
          <w:rPr>
            <w:rFonts w:asciiTheme="minorHAnsi" w:hAnsiTheme="minorHAnsi" w:cstheme="minorBidi"/>
            <w:caps w:val="0"/>
            <w:spacing w:val="0"/>
            <w:szCs w:val="24"/>
          </w:rPr>
          <w:tab/>
        </w:r>
        <w:r w:rsidR="008D703D" w:rsidRPr="00D272E9" w:rsidDel="00D272E9">
          <w:rPr>
            <w:rPrChange w:id="43" w:author="Jonathan Cervas" w:date="2023-06-29T16:06:00Z">
              <w:rPr>
                <w:rStyle w:val="Hyperlink"/>
              </w:rPr>
            </w:rPrChange>
          </w:rPr>
          <w:delText>Background</w:delText>
        </w:r>
        <w:r w:rsidDel="00D272E9">
          <w:rPr>
            <w:webHidden/>
          </w:rPr>
          <w:tab/>
          <w:delText>2</w:delText>
        </w:r>
      </w:del>
    </w:p>
    <w:p w14:paraId="1C3C577C" w14:textId="4123B01C" w:rsidR="00A406AB" w:rsidDel="00D272E9" w:rsidRDefault="00A406AB">
      <w:pPr>
        <w:pStyle w:val="TOC2"/>
        <w:rPr>
          <w:del w:id="44" w:author="Jonathan Cervas" w:date="2023-06-29T16:06:00Z"/>
          <w:rFonts w:asciiTheme="minorHAnsi" w:hAnsiTheme="minorHAnsi" w:cstheme="minorBidi"/>
          <w:i w:val="0"/>
          <w:spacing w:val="0"/>
          <w:szCs w:val="24"/>
        </w:rPr>
      </w:pPr>
      <w:del w:id="45" w:author="Jonathan Cervas" w:date="2023-06-29T16:06:00Z">
        <w:r w:rsidRPr="00D272E9" w:rsidDel="00D272E9">
          <w:rPr>
            <w:rPrChange w:id="46" w:author="Jonathan Cervas" w:date="2023-06-29T16:06:00Z">
              <w:rPr>
                <w:rStyle w:val="Hyperlink"/>
              </w:rPr>
            </w:rPrChange>
          </w:rPr>
          <w:delText>A.</w:delText>
        </w:r>
        <w:r w:rsidDel="00D272E9">
          <w:rPr>
            <w:rFonts w:asciiTheme="minorHAnsi" w:hAnsiTheme="minorHAnsi" w:cstheme="minorBidi"/>
            <w:i w:val="0"/>
            <w:spacing w:val="0"/>
            <w:szCs w:val="24"/>
          </w:rPr>
          <w:tab/>
        </w:r>
        <w:r w:rsidR="008D703D" w:rsidRPr="00D272E9" w:rsidDel="00D272E9">
          <w:rPr>
            <w:rPrChange w:id="47" w:author="Jonathan Cervas" w:date="2023-06-29T16:06:00Z">
              <w:rPr>
                <w:rStyle w:val="Hyperlink"/>
              </w:rPr>
            </w:rPrChange>
          </w:rPr>
          <w:delText>The State of Partisan Gerrymandering Law Prior to 2020</w:delText>
        </w:r>
        <w:r w:rsidDel="00D272E9">
          <w:rPr>
            <w:webHidden/>
          </w:rPr>
          <w:tab/>
          <w:delText>2</w:delText>
        </w:r>
      </w:del>
    </w:p>
    <w:p w14:paraId="51F503BE" w14:textId="5B9C90EF" w:rsidR="00A406AB" w:rsidDel="00D272E9" w:rsidRDefault="00A406AB">
      <w:pPr>
        <w:pStyle w:val="TOC2"/>
        <w:rPr>
          <w:del w:id="48" w:author="Jonathan Cervas" w:date="2023-06-29T16:06:00Z"/>
        </w:rPr>
      </w:pPr>
      <w:del w:id="49" w:author="Jonathan Cervas" w:date="2023-06-29T16:06:00Z">
        <w:r w:rsidRPr="00D272E9" w:rsidDel="00D272E9">
          <w:rPr>
            <w:rPrChange w:id="50" w:author="Jonathan Cervas" w:date="2023-06-29T16:06:00Z">
              <w:rPr>
                <w:rStyle w:val="Hyperlink"/>
              </w:rPr>
            </w:rPrChange>
          </w:rPr>
          <w:delText>B.</w:delText>
        </w:r>
        <w:r w:rsidDel="00D272E9">
          <w:rPr>
            <w:rFonts w:asciiTheme="minorHAnsi" w:hAnsiTheme="minorHAnsi" w:cstheme="minorBidi"/>
            <w:i w:val="0"/>
            <w:spacing w:val="0"/>
            <w:szCs w:val="24"/>
          </w:rPr>
          <w:tab/>
        </w:r>
        <w:r w:rsidR="008D703D" w:rsidRPr="00D272E9" w:rsidDel="00D272E9">
          <w:rPr>
            <w:rPrChange w:id="51" w:author="Jonathan Cervas" w:date="2023-06-29T16:06:00Z">
              <w:rPr>
                <w:rStyle w:val="Hyperlink"/>
              </w:rPr>
            </w:rPrChange>
          </w:rPr>
          <w:delText>The 2020 Resdistricting Round: Institutions and Context</w:delText>
        </w:r>
        <w:r w:rsidDel="00D272E9">
          <w:rPr>
            <w:webHidden/>
          </w:rPr>
          <w:tab/>
          <w:delText>3</w:delText>
        </w:r>
      </w:del>
    </w:p>
    <w:p w14:paraId="66B85A22" w14:textId="7361E6FD" w:rsidR="008D703D" w:rsidRPr="008D703D" w:rsidDel="00D272E9" w:rsidRDefault="008D703D" w:rsidP="008D703D">
      <w:pPr>
        <w:pStyle w:val="TOC2"/>
        <w:rPr>
          <w:del w:id="52" w:author="Jonathan Cervas" w:date="2023-06-29T16:06:00Z"/>
        </w:rPr>
      </w:pPr>
      <w:del w:id="53" w:author="Jonathan Cervas" w:date="2023-06-29T16:06:00Z">
        <w:r w:rsidRPr="00D272E9" w:rsidDel="00D272E9">
          <w:rPr>
            <w:rPrChange w:id="54" w:author="Jonathan Cervas" w:date="2023-06-29T16:06:00Z">
              <w:rPr>
                <w:rStyle w:val="Hyperlink"/>
              </w:rPr>
            </w:rPrChange>
          </w:rPr>
          <w:delText>C.</w:delText>
        </w:r>
        <w:r w:rsidDel="00D272E9">
          <w:tab/>
        </w:r>
        <w:r w:rsidRPr="008D703D" w:rsidDel="00D272E9">
          <w:delText>Comparing Outcomes in Congressional Districts Before and After Redistricting</w:delText>
        </w:r>
        <w:r w:rsidRPr="008D703D" w:rsidDel="00D272E9">
          <w:rPr>
            <w:webHidden/>
          </w:rPr>
          <w:tab/>
          <w:delText>3</w:delText>
        </w:r>
      </w:del>
    </w:p>
    <w:p w14:paraId="3F9D65BE" w14:textId="2403E1A5" w:rsidR="00A406AB" w:rsidDel="00D272E9" w:rsidRDefault="00A406AB">
      <w:pPr>
        <w:pStyle w:val="TOC1"/>
        <w:rPr>
          <w:del w:id="55" w:author="Jonathan Cervas" w:date="2023-06-29T16:06:00Z"/>
        </w:rPr>
      </w:pPr>
      <w:del w:id="56" w:author="Jonathan Cervas" w:date="2023-06-29T16:06:00Z">
        <w:r w:rsidRPr="00D272E9" w:rsidDel="00D272E9">
          <w:rPr>
            <w:rPrChange w:id="57" w:author="Jonathan Cervas" w:date="2023-06-29T16:06:00Z">
              <w:rPr>
                <w:rStyle w:val="Hyperlink"/>
              </w:rPr>
            </w:rPrChange>
          </w:rPr>
          <w:delText>II.</w:delText>
        </w:r>
        <w:r w:rsidDel="00D272E9">
          <w:rPr>
            <w:rFonts w:asciiTheme="minorHAnsi" w:hAnsiTheme="minorHAnsi" w:cstheme="minorBidi"/>
            <w:caps w:val="0"/>
            <w:spacing w:val="0"/>
            <w:szCs w:val="24"/>
          </w:rPr>
          <w:tab/>
        </w:r>
        <w:r w:rsidR="008D703D" w:rsidRPr="00D272E9" w:rsidDel="00D272E9">
          <w:rPr>
            <w:rPrChange w:id="58" w:author="Jonathan Cervas" w:date="2023-06-29T16:06:00Z">
              <w:rPr>
                <w:rStyle w:val="Hyperlink"/>
              </w:rPr>
            </w:rPrChange>
          </w:rPr>
          <w:delText>The role and effects of State courts</w:delText>
        </w:r>
        <w:r w:rsidDel="00D272E9">
          <w:rPr>
            <w:webHidden/>
          </w:rPr>
          <w:tab/>
          <w:delText>4</w:delText>
        </w:r>
      </w:del>
    </w:p>
    <w:p w14:paraId="05370F83" w14:textId="08B81F80" w:rsidR="008D703D" w:rsidDel="00D272E9" w:rsidRDefault="008D703D" w:rsidP="008D703D">
      <w:pPr>
        <w:pStyle w:val="TOC2"/>
        <w:rPr>
          <w:del w:id="59" w:author="Jonathan Cervas" w:date="2023-06-29T16:06:00Z"/>
        </w:rPr>
      </w:pPr>
      <w:del w:id="60" w:author="Jonathan Cervas" w:date="2023-06-29T16:06:00Z">
        <w:r w:rsidRPr="00D272E9" w:rsidDel="00D272E9">
          <w:rPr>
            <w:rPrChange w:id="61" w:author="Jonathan Cervas" w:date="2023-06-29T16:06:00Z">
              <w:rPr>
                <w:rStyle w:val="Hyperlink"/>
              </w:rPr>
            </w:rPrChange>
          </w:rPr>
          <w:delText>A.</w:delText>
        </w:r>
        <w:r w:rsidDel="00D272E9">
          <w:rPr>
            <w:rFonts w:asciiTheme="minorHAnsi" w:hAnsiTheme="minorHAnsi" w:cstheme="minorBidi"/>
            <w:i w:val="0"/>
            <w:spacing w:val="0"/>
            <w:szCs w:val="24"/>
          </w:rPr>
          <w:tab/>
        </w:r>
        <w:r w:rsidRPr="00D272E9" w:rsidDel="00D272E9">
          <w:rPr>
            <w:rPrChange w:id="62" w:author="Jonathan Cervas" w:date="2023-06-29T16:06:00Z">
              <w:rPr>
                <w:rStyle w:val="Hyperlink"/>
              </w:rPr>
            </w:rPrChange>
          </w:rPr>
          <w:delText>Potential Partisan Gerrymanders and State Law</w:delText>
        </w:r>
        <w:r w:rsidDel="00D272E9">
          <w:rPr>
            <w:webHidden/>
          </w:rPr>
          <w:tab/>
          <w:delText>2</w:delText>
        </w:r>
      </w:del>
    </w:p>
    <w:p w14:paraId="434E1828" w14:textId="30029134" w:rsidR="008D703D" w:rsidRPr="008D703D" w:rsidDel="00D272E9" w:rsidRDefault="008D703D" w:rsidP="008D703D">
      <w:pPr>
        <w:pStyle w:val="TOC2"/>
        <w:rPr>
          <w:del w:id="63" w:author="Jonathan Cervas" w:date="2023-06-29T16:06:00Z"/>
        </w:rPr>
      </w:pPr>
      <w:del w:id="64" w:author="Jonathan Cervas" w:date="2023-06-29T16:06:00Z">
        <w:r w:rsidRPr="00D272E9" w:rsidDel="00D272E9">
          <w:rPr>
            <w:rPrChange w:id="65" w:author="Jonathan Cervas" w:date="2023-06-29T16:06:00Z">
              <w:rPr>
                <w:rStyle w:val="Hyperlink"/>
              </w:rPr>
            </w:rPrChange>
          </w:rPr>
          <w:delText>B.</w:delText>
        </w:r>
        <w:r w:rsidDel="00D272E9">
          <w:rPr>
            <w:rFonts w:asciiTheme="minorHAnsi" w:hAnsiTheme="minorHAnsi" w:cstheme="minorBidi"/>
            <w:i w:val="0"/>
            <w:spacing w:val="0"/>
            <w:szCs w:val="24"/>
          </w:rPr>
          <w:tab/>
        </w:r>
        <w:r w:rsidRPr="00D272E9" w:rsidDel="00D272E9">
          <w:rPr>
            <w:rPrChange w:id="66" w:author="Jonathan Cervas" w:date="2023-06-29T16:06:00Z">
              <w:rPr>
                <w:rStyle w:val="Hyperlink"/>
              </w:rPr>
            </w:rPrChange>
          </w:rPr>
          <w:delText>State Court Cases Where Partisan Gerrymander Issues are Implicated</w:delText>
        </w:r>
        <w:r w:rsidDel="00D272E9">
          <w:rPr>
            <w:webHidden/>
          </w:rPr>
          <w:tab/>
          <w:delText>3</w:delText>
        </w:r>
      </w:del>
    </w:p>
    <w:p w14:paraId="2E66A885" w14:textId="7784DDAD" w:rsidR="008D703D" w:rsidDel="00D272E9" w:rsidRDefault="008D703D" w:rsidP="008D703D">
      <w:pPr>
        <w:pStyle w:val="TOC3"/>
        <w:rPr>
          <w:del w:id="67" w:author="Jonathan Cervas" w:date="2023-06-29T16:06:00Z"/>
          <w:rFonts w:asciiTheme="minorHAnsi" w:hAnsiTheme="minorHAnsi" w:cstheme="minorBidi"/>
          <w:spacing w:val="0"/>
        </w:rPr>
      </w:pPr>
      <w:del w:id="68" w:author="Jonathan Cervas" w:date="2023-06-29T16:06:00Z">
        <w:r w:rsidRPr="00D272E9" w:rsidDel="00D272E9">
          <w:rPr>
            <w:rPrChange w:id="69" w:author="Jonathan Cervas" w:date="2023-06-29T16:06:00Z">
              <w:rPr>
                <w:rStyle w:val="Hyperlink"/>
              </w:rPr>
            </w:rPrChange>
          </w:rPr>
          <w:delText>1.</w:delText>
        </w:r>
        <w:r w:rsidDel="00D272E9">
          <w:rPr>
            <w:rFonts w:asciiTheme="minorHAnsi" w:hAnsiTheme="minorHAnsi" w:cstheme="minorBidi"/>
            <w:spacing w:val="0"/>
          </w:rPr>
          <w:tab/>
        </w:r>
        <w:r w:rsidRPr="00D272E9" w:rsidDel="00D272E9">
          <w:rPr>
            <w:rPrChange w:id="70" w:author="Jonathan Cervas" w:date="2023-06-29T16:06:00Z">
              <w:rPr>
                <w:rStyle w:val="Hyperlink"/>
              </w:rPr>
            </w:rPrChange>
          </w:rPr>
          <w:delText>Cases Where There was a Partisan Gerrymandering Challenged Based on Indirect Constitutional Language Prohibiting Partisan Gerrymandering</w:delText>
        </w:r>
        <w:r w:rsidDel="00D272E9">
          <w:rPr>
            <w:webHidden/>
          </w:rPr>
          <w:tab/>
          <w:delText>195</w:delText>
        </w:r>
      </w:del>
    </w:p>
    <w:p w14:paraId="335BBEB3" w14:textId="143D25A3" w:rsidR="008D703D" w:rsidDel="00D272E9" w:rsidRDefault="008D703D" w:rsidP="008D703D">
      <w:pPr>
        <w:pStyle w:val="TOC3"/>
        <w:rPr>
          <w:del w:id="71" w:author="Jonathan Cervas" w:date="2023-06-29T16:06:00Z"/>
          <w:rFonts w:asciiTheme="minorHAnsi" w:hAnsiTheme="minorHAnsi" w:cstheme="minorBidi"/>
          <w:spacing w:val="0"/>
        </w:rPr>
      </w:pPr>
      <w:del w:id="72" w:author="Jonathan Cervas" w:date="2023-06-29T16:06:00Z">
        <w:r w:rsidRPr="00D272E9" w:rsidDel="00D272E9">
          <w:rPr>
            <w:rPrChange w:id="73" w:author="Jonathan Cervas" w:date="2023-06-29T16:06:00Z">
              <w:rPr>
                <w:rStyle w:val="Hyperlink"/>
              </w:rPr>
            </w:rPrChange>
          </w:rPr>
          <w:delText>2.</w:delText>
        </w:r>
        <w:r w:rsidDel="00D272E9">
          <w:rPr>
            <w:rFonts w:asciiTheme="minorHAnsi" w:hAnsiTheme="minorHAnsi" w:cstheme="minorBidi"/>
            <w:spacing w:val="0"/>
          </w:rPr>
          <w:tab/>
        </w:r>
        <w:r w:rsidRPr="00D272E9" w:rsidDel="00D272E9">
          <w:rPr>
            <w:rPrChange w:id="74" w:author="Jonathan Cervas" w:date="2023-06-29T16:06:00Z">
              <w:rPr>
                <w:rStyle w:val="Hyperlink"/>
              </w:rPr>
            </w:rPrChange>
          </w:rPr>
          <w:delText>Cases Challenging Partisan Gerrymandering Where There is No State Constitutional Language Either Directly or Indirectly Prohibiting Partisan Gerrymandering</w:delText>
        </w:r>
        <w:r w:rsidDel="00D272E9">
          <w:rPr>
            <w:webHidden/>
          </w:rPr>
          <w:tab/>
          <w:delText>200</w:delText>
        </w:r>
      </w:del>
    </w:p>
    <w:p w14:paraId="61AF9E56" w14:textId="7FCCF68F" w:rsidR="008D703D" w:rsidDel="00D272E9" w:rsidRDefault="008D703D" w:rsidP="008D703D">
      <w:pPr>
        <w:pStyle w:val="TOC3"/>
        <w:rPr>
          <w:del w:id="75" w:author="Jonathan Cervas" w:date="2023-06-29T16:06:00Z"/>
          <w:rFonts w:asciiTheme="minorHAnsi" w:hAnsiTheme="minorHAnsi" w:cstheme="minorBidi"/>
          <w:spacing w:val="0"/>
        </w:rPr>
      </w:pPr>
      <w:del w:id="76" w:author="Jonathan Cervas" w:date="2023-06-29T16:06:00Z">
        <w:r w:rsidRPr="00D272E9" w:rsidDel="00D272E9">
          <w:rPr>
            <w:rPrChange w:id="77" w:author="Jonathan Cervas" w:date="2023-06-29T16:06:00Z">
              <w:rPr>
                <w:rStyle w:val="Hyperlink"/>
              </w:rPr>
            </w:rPrChange>
          </w:rPr>
          <w:delText>3.</w:delText>
        </w:r>
        <w:r w:rsidDel="00D272E9">
          <w:rPr>
            <w:rFonts w:asciiTheme="minorHAnsi" w:hAnsiTheme="minorHAnsi" w:cstheme="minorBidi"/>
            <w:spacing w:val="0"/>
          </w:rPr>
          <w:tab/>
        </w:r>
        <w:r w:rsidRPr="00D272E9" w:rsidDel="00D272E9">
          <w:rPr>
            <w:rPrChange w:id="78" w:author="Jonathan Cervas" w:date="2023-06-29T16:06:00Z">
              <w:rPr>
                <w:rStyle w:val="Hyperlink"/>
              </w:rPr>
            </w:rPrChange>
          </w:rPr>
          <w:delText>Cases Challenging Alleged Partisan Gerrymandering Where There is No State Constitutional Language Either Directly or Indirectly Prohibiting Partisan Gerrymandering</w:delText>
        </w:r>
        <w:r w:rsidDel="00D272E9">
          <w:rPr>
            <w:webHidden/>
          </w:rPr>
          <w:tab/>
          <w:delText>203</w:delText>
        </w:r>
      </w:del>
    </w:p>
    <w:p w14:paraId="295A23C2" w14:textId="27781E99" w:rsidR="008D703D" w:rsidDel="00D272E9" w:rsidRDefault="008D703D" w:rsidP="008D703D">
      <w:pPr>
        <w:pStyle w:val="TOC3"/>
        <w:rPr>
          <w:del w:id="79" w:author="Jonathan Cervas" w:date="2023-06-29T16:06:00Z"/>
          <w:rFonts w:asciiTheme="minorHAnsi" w:hAnsiTheme="minorHAnsi" w:cstheme="minorBidi"/>
          <w:spacing w:val="0"/>
        </w:rPr>
      </w:pPr>
      <w:del w:id="80" w:author="Jonathan Cervas" w:date="2023-06-29T16:06:00Z">
        <w:r w:rsidRPr="00D272E9" w:rsidDel="00D272E9">
          <w:rPr>
            <w:rPrChange w:id="81" w:author="Jonathan Cervas" w:date="2023-06-29T16:06:00Z">
              <w:rPr>
                <w:rStyle w:val="Hyperlink"/>
              </w:rPr>
            </w:rPrChange>
          </w:rPr>
          <w:delText>4.</w:delText>
        </w:r>
        <w:r w:rsidDel="00D272E9">
          <w:rPr>
            <w:rFonts w:asciiTheme="minorHAnsi" w:hAnsiTheme="minorHAnsi" w:cstheme="minorBidi"/>
            <w:spacing w:val="0"/>
          </w:rPr>
          <w:tab/>
        </w:r>
        <w:r w:rsidRPr="00D272E9" w:rsidDel="00D272E9">
          <w:rPr>
            <w:rPrChange w:id="82" w:author="Jonathan Cervas" w:date="2023-06-29T16:06:00Z">
              <w:rPr>
                <w:rStyle w:val="Hyperlink"/>
              </w:rPr>
            </w:rPrChange>
          </w:rPr>
          <w:delText>Pending Cases in State Courts Where There is Partisan Gerrymandering Litigation</w:delText>
        </w:r>
        <w:r w:rsidDel="00D272E9">
          <w:rPr>
            <w:webHidden/>
          </w:rPr>
          <w:tab/>
          <w:delText>205</w:delText>
        </w:r>
      </w:del>
    </w:p>
    <w:p w14:paraId="1467C449" w14:textId="194D79CE" w:rsidR="008D703D" w:rsidDel="00D272E9" w:rsidRDefault="008D703D" w:rsidP="008D703D">
      <w:pPr>
        <w:pStyle w:val="TOC3"/>
        <w:rPr>
          <w:del w:id="83" w:author="Jonathan Cervas" w:date="2023-06-29T16:06:00Z"/>
          <w:webHidden/>
        </w:rPr>
      </w:pPr>
      <w:del w:id="84" w:author="Jonathan Cervas" w:date="2023-06-29T16:06:00Z">
        <w:r w:rsidRPr="00D272E9" w:rsidDel="00D272E9">
          <w:rPr>
            <w:rPrChange w:id="85" w:author="Jonathan Cervas" w:date="2023-06-29T16:06:00Z">
              <w:rPr>
                <w:rStyle w:val="Hyperlink"/>
              </w:rPr>
            </w:rPrChange>
          </w:rPr>
          <w:lastRenderedPageBreak/>
          <w:delText>5.</w:delText>
        </w:r>
        <w:r w:rsidDel="00D272E9">
          <w:tab/>
          <w:delText>States Where Courts Were Forced to Act Because the Legislature or a Commission Failed to Act in a Timely Fashion</w:delText>
        </w:r>
        <w:r w:rsidRPr="008D703D" w:rsidDel="00D272E9">
          <w:rPr>
            <w:webHidden/>
          </w:rPr>
          <w:tab/>
          <w:delText>205</w:delText>
        </w:r>
      </w:del>
    </w:p>
    <w:p w14:paraId="6CCDB3E6" w14:textId="6E4A37B1" w:rsidR="008D703D" w:rsidRPr="008D703D" w:rsidDel="00D272E9" w:rsidRDefault="008D703D" w:rsidP="008D703D">
      <w:pPr>
        <w:pStyle w:val="TOC2"/>
        <w:rPr>
          <w:del w:id="86" w:author="Jonathan Cervas" w:date="2023-06-29T16:06:00Z"/>
          <w:webHidden/>
        </w:rPr>
      </w:pPr>
      <w:del w:id="87" w:author="Jonathan Cervas" w:date="2023-06-29T16:06:00Z">
        <w:r w:rsidRPr="00D272E9" w:rsidDel="00D272E9">
          <w:rPr>
            <w:rPrChange w:id="88" w:author="Jonathan Cervas" w:date="2023-06-29T16:06:00Z">
              <w:rPr>
                <w:rStyle w:val="Hyperlink"/>
              </w:rPr>
            </w:rPrChange>
          </w:rPr>
          <w:delText>C.</w:delText>
        </w:r>
        <w:r w:rsidDel="00D272E9">
          <w:tab/>
          <w:delText>Evaluating the Consequences of Court Action</w:delText>
        </w:r>
        <w:r w:rsidRPr="008D703D" w:rsidDel="00D272E9">
          <w:rPr>
            <w:webHidden/>
          </w:rPr>
          <w:tab/>
          <w:delText>3</w:delText>
        </w:r>
      </w:del>
    </w:p>
    <w:p w14:paraId="1B571469" w14:textId="1B111658" w:rsidR="008D703D" w:rsidDel="00D272E9" w:rsidRDefault="00A406AB">
      <w:pPr>
        <w:pStyle w:val="TOC1"/>
        <w:rPr>
          <w:del w:id="89" w:author="Jonathan Cervas" w:date="2023-06-29T16:06:00Z"/>
        </w:rPr>
      </w:pPr>
      <w:del w:id="90" w:author="Jonathan Cervas" w:date="2023-06-29T16:06:00Z">
        <w:r w:rsidRPr="00D272E9" w:rsidDel="00D272E9">
          <w:rPr>
            <w:rPrChange w:id="91" w:author="Jonathan Cervas" w:date="2023-06-29T16:06:00Z">
              <w:rPr>
                <w:rStyle w:val="Hyperlink"/>
              </w:rPr>
            </w:rPrChange>
          </w:rPr>
          <w:delText>Conclusion</w:delText>
        </w:r>
        <w:r w:rsidDel="00D272E9">
          <w:rPr>
            <w:webHidden/>
          </w:rPr>
          <w:tab/>
          <w:delText>5</w:delText>
        </w:r>
      </w:del>
    </w:p>
    <w:p w14:paraId="52ACB3F7" w14:textId="61744C41" w:rsidR="00A406AB" w:rsidRPr="008D703D" w:rsidDel="00D272E9" w:rsidRDefault="008D703D" w:rsidP="008D703D">
      <w:pPr>
        <w:rPr>
          <w:del w:id="92" w:author="Jonathan Cervas" w:date="2023-06-29T16:06:00Z"/>
          <w:rFonts w:cs="Times New Roman (Body CS)"/>
          <w:caps/>
          <w:noProof/>
          <w:spacing w:val="6"/>
          <w:szCs w:val="21"/>
        </w:rPr>
      </w:pPr>
      <w:del w:id="93" w:author="Jonathan Cervas" w:date="2023-06-29T16:06:00Z">
        <w:r w:rsidDel="00D272E9">
          <w:rPr>
            <w:noProof/>
          </w:rPr>
          <w:br w:type="page"/>
        </w:r>
      </w:del>
    </w:p>
    <w:p w14:paraId="6204D7DD" w14:textId="753309F5" w:rsidR="00310C4B" w:rsidRPr="00C23B4F" w:rsidRDefault="00D37744" w:rsidP="00D625DD">
      <w:pPr>
        <w:pStyle w:val="UNHLRIntroConcl"/>
      </w:pPr>
      <w:r w:rsidRPr="00D37744">
        <w:rPr>
          <w:rFonts w:ascii="Alegreya" w:eastAsiaTheme="minorEastAsia" w:hAnsi="Alegreya" w:cs="Times New Roman (Body CS)"/>
          <w:noProof/>
          <w:color w:val="auto"/>
          <w:spacing w:val="6"/>
          <w:w w:val="100"/>
          <w:szCs w:val="21"/>
        </w:rPr>
        <w:lastRenderedPageBreak/>
        <w:fldChar w:fldCharType="end"/>
      </w:r>
      <w:bookmarkStart w:id="94" w:name="_Toc138947176"/>
      <w:commentRangeStart w:id="95"/>
      <w:commentRangeStart w:id="96"/>
      <w:r w:rsidR="002525C4" w:rsidRPr="00C23B4F">
        <w:t>Introduction</w:t>
      </w:r>
      <w:commentRangeEnd w:id="95"/>
      <w:r w:rsidR="00680191">
        <w:rPr>
          <w:rStyle w:val="CommentReference"/>
          <w:rFonts w:ascii="Times New Roman" w:eastAsia="Times New Roman" w:hAnsi="Times New Roman" w:cs="Times New Roman"/>
          <w:b w:val="0"/>
          <w:caps w:val="0"/>
          <w:color w:val="auto"/>
          <w:spacing w:val="0"/>
          <w:w w:val="100"/>
          <w:szCs w:val="20"/>
        </w:rPr>
        <w:commentReference w:id="95"/>
      </w:r>
      <w:commentRangeEnd w:id="96"/>
      <w:r w:rsidR="00E11495">
        <w:rPr>
          <w:rStyle w:val="CommentReference"/>
          <w:rFonts w:ascii="Times New Roman" w:eastAsia="Times New Roman" w:hAnsi="Times New Roman" w:cs="Times New Roman"/>
          <w:b w:val="0"/>
          <w:caps w:val="0"/>
          <w:color w:val="auto"/>
          <w:spacing w:val="0"/>
          <w:w w:val="100"/>
          <w:szCs w:val="20"/>
        </w:rPr>
        <w:commentReference w:id="96"/>
      </w:r>
      <w:bookmarkEnd w:id="94"/>
    </w:p>
    <w:p w14:paraId="647EE0AC" w14:textId="77777777" w:rsidR="008D703D" w:rsidRPr="00CC06D9" w:rsidRDefault="008D703D" w:rsidP="00212B79">
      <w:pPr>
        <w:pStyle w:val="BodyText"/>
      </w:pPr>
      <w:bookmarkStart w:id="97" w:name="_Hlk527562865"/>
      <w:r>
        <w:t>The</w:t>
      </w:r>
      <w:r w:rsidRPr="00CC06D9">
        <w:t xml:space="preserve"> focus </w:t>
      </w:r>
      <w:r>
        <w:t xml:space="preserve">of </w:t>
      </w:r>
      <w:r w:rsidRPr="00CC06D9">
        <w:t xml:space="preserve">this essay </w:t>
      </w:r>
      <w:r>
        <w:t>is</w:t>
      </w:r>
      <w:r w:rsidRPr="00CC06D9">
        <w:t xml:space="preserve"> the role of state courts as checks on partisan gerrymandering in the U.S. House of Representatives.</w:t>
      </w:r>
      <w:r w:rsidRPr="0078695B">
        <w:rPr>
          <w:rStyle w:val="FootnoteReference"/>
        </w:rPr>
        <w:footnoteReference w:id="1"/>
      </w:r>
      <w:r w:rsidRPr="00CC06D9">
        <w:t xml:space="preserve"> </w:t>
      </w:r>
      <w:r>
        <w:t xml:space="preserve"> </w:t>
      </w:r>
      <w:r w:rsidRPr="00CC06D9">
        <w:t>State courts can become involved in the redistricting process in two ways: (1) when those with primary redistricting authority fail to enact a plan in a timely fashion, state courts can be forced to draw their own map</w:t>
      </w:r>
      <w:r>
        <w:t>, or</w:t>
      </w:r>
      <w:r w:rsidRPr="00CC06D9">
        <w:t xml:space="preserve"> (2)</w:t>
      </w:r>
      <w:r>
        <w:t xml:space="preserve"> </w:t>
      </w:r>
      <w:r w:rsidRPr="00CC06D9">
        <w:t>they can be the site of litigation challenging a (congressional) plan as a partisan gerrymander under provisions of the state’s own constitution (or for other violations of state law)</w:t>
      </w:r>
      <w:r>
        <w:t xml:space="preserve">.  </w:t>
      </w:r>
      <w:r w:rsidRPr="00CC06D9">
        <w:t>In so doing, they may choose to be attentive to the map’s partisan consequences</w:t>
      </w:r>
      <w:r w:rsidRPr="00F912CF">
        <w:t>,</w:t>
      </w:r>
      <w:r w:rsidRPr="00CC06D9">
        <w:t xml:space="preserve"> or they may be required to do so because of specific provisions in the state</w:t>
      </w:r>
      <w:r>
        <w:t>’s</w:t>
      </w:r>
      <w:r w:rsidRPr="00CC06D9">
        <w:t xml:space="preserve"> constitution.</w:t>
      </w:r>
      <w:r>
        <w:t xml:space="preserve">  </w:t>
      </w:r>
      <w:r w:rsidRPr="00CC06D9">
        <w:t>To understand the role of state courts in redistricting</w:t>
      </w:r>
      <w:r w:rsidRPr="00F912CF">
        <w:t>,</w:t>
      </w:r>
      <w:r w:rsidRPr="00CC06D9">
        <w:t xml:space="preserve"> we must understand the institutional context that governs redistricting in each state.</w:t>
      </w:r>
    </w:p>
    <w:p w14:paraId="727E0D5C" w14:textId="43C8BC78" w:rsidR="008D703D" w:rsidRPr="00CC06D9" w:rsidRDefault="008D703D" w:rsidP="00212B79">
      <w:pPr>
        <w:pStyle w:val="BodyText"/>
      </w:pPr>
      <w:r w:rsidRPr="00CC06D9">
        <w:t>State legislatures are generally the body that redraws Congressional districts after decennial censuses.</w:t>
      </w:r>
      <w:r>
        <w:t xml:space="preserve">  </w:t>
      </w:r>
      <w:r w:rsidRPr="00CC06D9">
        <w:t>Following the 2020 census,</w:t>
      </w:r>
      <w:r w:rsidRPr="0078695B">
        <w:rPr>
          <w:rStyle w:val="FootnoteReference"/>
        </w:rPr>
        <w:footnoteReference w:id="2"/>
      </w:r>
      <w:r w:rsidRPr="00CC06D9">
        <w:t xml:space="preserve"> in </w:t>
      </w:r>
      <w:r>
        <w:t>thirty-three</w:t>
      </w:r>
      <w:r w:rsidRPr="00CC06D9">
        <w:t xml:space="preserve"> of the</w:t>
      </w:r>
      <w:r>
        <w:t xml:space="preserve"> forty-four</w:t>
      </w:r>
      <w:r w:rsidRPr="00CC06D9">
        <w:t xml:space="preserve"> states that required </w:t>
      </w:r>
      <w:r w:rsidRPr="00F912CF">
        <w:t xml:space="preserve">the </w:t>
      </w:r>
      <w:r w:rsidRPr="00CC06D9">
        <w:t>drawing of congressional districts, the legislature had the primary responsibility for producing new maps.</w:t>
      </w:r>
      <w:bookmarkStart w:id="98" w:name="_Ref138175261"/>
      <w:r w:rsidR="00E11495">
        <w:rPr>
          <w:rStyle w:val="FootnoteReference"/>
        </w:rPr>
        <w:footnoteReference w:id="3"/>
      </w:r>
      <w:bookmarkEnd w:id="98"/>
      <w:del w:id="100" w:author="Jonathan Cervas" w:date="2023-06-18T18:13:00Z">
        <w:r w:rsidR="00E11495" w:rsidDel="00E11495">
          <w:rPr>
            <w:noProof/>
          </w:rPr>
          <w:delText>Justin Levitt, National Overview, All About Redistricting, https://redistricting.lls.edu/national-overview [https://perma.cc/5Y75-LM6A] (last visited Dec. 21, 2022).</w:delText>
        </w:r>
      </w:del>
      <w:r>
        <w:t xml:space="preserve">   </w:t>
      </w:r>
      <w:r w:rsidRPr="00CC06D9">
        <w:t>Political gerrymanders are most likely to occur when all aspects of the line-drawing process are controlled by a single political party.</w:t>
      </w:r>
      <w:r w:rsidRPr="0078695B">
        <w:rPr>
          <w:rStyle w:val="FootnoteReference"/>
        </w:rPr>
        <w:footnoteReference w:id="4"/>
      </w:r>
      <w:r>
        <w:t xml:space="preserve">  </w:t>
      </w:r>
      <w:r w:rsidRPr="00CC06D9">
        <w:t xml:space="preserve">The vast bulk of these </w:t>
      </w:r>
      <w:r>
        <w:t>thirty-three</w:t>
      </w:r>
      <w:r w:rsidRPr="00CC06D9">
        <w:t xml:space="preserve"> states were under single</w:t>
      </w:r>
      <w:r w:rsidRPr="00FB61B1">
        <w:t>-</w:t>
      </w:r>
      <w:r w:rsidRPr="00CC06D9">
        <w:t>party control.</w:t>
      </w:r>
      <w:r w:rsidRPr="0078695B">
        <w:rPr>
          <w:rStyle w:val="FootnoteReference"/>
        </w:rPr>
        <w:footnoteReference w:id="5"/>
      </w:r>
    </w:p>
    <w:p w14:paraId="68D36B52" w14:textId="77777777" w:rsidR="008D703D" w:rsidRPr="00CC06D9" w:rsidRDefault="008D703D" w:rsidP="00212B79">
      <w:pPr>
        <w:pStyle w:val="BodyText"/>
      </w:pPr>
      <w:r w:rsidRPr="00CC06D9">
        <w:lastRenderedPageBreak/>
        <w:t>In states where congressional redistricting is not primarily under legislative control, some form of commission is used, and commissions may also be used as backup if there is not political agreement on a plan.</w:t>
      </w:r>
      <w:r w:rsidRPr="0078695B">
        <w:rPr>
          <w:rStyle w:val="FootnoteReference"/>
        </w:rPr>
        <w:footnoteReference w:id="6"/>
      </w:r>
      <w:r>
        <w:t xml:space="preserve">  </w:t>
      </w:r>
      <w:r w:rsidRPr="00CC06D9">
        <w:t>Several states changed their constitutional provisions affecting redistricting after the 2010 cycle</w:t>
      </w:r>
      <w:r>
        <w:t>.</w:t>
      </w:r>
      <w:r w:rsidRPr="00CC06D9">
        <w:t xml:space="preserve"> </w:t>
      </w:r>
      <w:r>
        <w:t xml:space="preserve"> T</w:t>
      </w:r>
      <w:r w:rsidRPr="00CC06D9">
        <w:t>he key change involved taking redistricting out of the hands of the legislature and replacing the legislature with some form of commission.</w:t>
      </w:r>
      <w:bookmarkStart w:id="112" w:name="_Ref138949257"/>
      <w:r w:rsidRPr="0078695B">
        <w:rPr>
          <w:rStyle w:val="FootnoteReference"/>
        </w:rPr>
        <w:footnoteReference w:id="7"/>
      </w:r>
      <w:bookmarkEnd w:id="112"/>
      <w:r>
        <w:t xml:space="preserve">  </w:t>
      </w:r>
      <w:r w:rsidRPr="00CC06D9">
        <w:t>Commissions take a variety of forms, and some commissions can operate essentially as partisan bodies when members aligned with one party vote for plans almost entirely based on their projected advantage for that party, or when a tie-breaker member adopts a plan proposed by one side that can be regarded as a partisan gerrymander.</w:t>
      </w:r>
      <w:r w:rsidRPr="0078695B">
        <w:rPr>
          <w:rStyle w:val="FootnoteReference"/>
        </w:rPr>
        <w:footnoteReference w:id="8"/>
      </w:r>
    </w:p>
    <w:p w14:paraId="11C90E05" w14:textId="77777777" w:rsidR="008D703D" w:rsidRPr="002A4413" w:rsidRDefault="008D703D" w:rsidP="00212B79">
      <w:pPr>
        <w:pStyle w:val="BodyText"/>
      </w:pPr>
      <w:r w:rsidRPr="00CC06D9">
        <w:t>Most states have provisions in their constitutions that guide the line-drawing process.</w:t>
      </w:r>
      <w:r w:rsidRPr="0078695B">
        <w:rPr>
          <w:rStyle w:val="FootnoteReference"/>
        </w:rPr>
        <w:footnoteReference w:id="9"/>
      </w:r>
      <w:r>
        <w:t xml:space="preserve">  </w:t>
      </w:r>
      <w:r w:rsidRPr="00CC06D9">
        <w:t>These rules affect districting practices even in states where redistricting is out of the hands of the legislature or under divided control.</w:t>
      </w:r>
      <w:r>
        <w:t xml:space="preserve">  </w:t>
      </w:r>
      <w:r w:rsidRPr="00CC06D9">
        <w:t>Most often</w:t>
      </w:r>
      <w:r>
        <w:t>,</w:t>
      </w:r>
      <w:r w:rsidRPr="00CC06D9">
        <w:t xml:space="preserve"> we find state constitutions including references to “traditional redistricting criteria,” e.g., provisions that limit districts to </w:t>
      </w:r>
      <w:r w:rsidRPr="00F912CF">
        <w:t xml:space="preserve">a </w:t>
      </w:r>
      <w:r w:rsidRPr="00CC06D9">
        <w:t>contiguous territory (</w:t>
      </w:r>
      <w:r>
        <w:t>thirty-four</w:t>
      </w:r>
      <w:r w:rsidRPr="00CC06D9">
        <w:t xml:space="preserve"> states), restrictions on political subdivision splits (</w:t>
      </w:r>
      <w:r>
        <w:t>thirty-one</w:t>
      </w:r>
      <w:r w:rsidRPr="00CC06D9">
        <w:t xml:space="preserve"> states), and requirements for compact districts</w:t>
      </w:r>
      <w:r>
        <w:t xml:space="preserve"> (thirty-one states).</w:t>
      </w:r>
      <w:r w:rsidRPr="0078695B">
        <w:rPr>
          <w:rStyle w:val="FootnoteReference"/>
        </w:rPr>
        <w:footnoteReference w:id="10"/>
      </w:r>
      <w:r>
        <w:t xml:space="preserve"> L</w:t>
      </w:r>
      <w:r w:rsidRPr="00494B03">
        <w:t xml:space="preserve">anguage </w:t>
      </w:r>
      <w:r>
        <w:t xml:space="preserve">is also found in some </w:t>
      </w:r>
      <w:r w:rsidRPr="00494B03">
        <w:t xml:space="preserve">state </w:t>
      </w:r>
      <w:r w:rsidRPr="00494B03">
        <w:lastRenderedPageBreak/>
        <w:t>constitution</w:t>
      </w:r>
      <w:r>
        <w:t xml:space="preserve">s </w:t>
      </w:r>
      <w:r w:rsidRPr="00494B03">
        <w:t>prohibiting</w:t>
      </w:r>
      <w:r w:rsidRPr="002D20B5">
        <w:t xml:space="preserve"> plans that unduly favor</w:t>
      </w:r>
      <w:r>
        <w:t xml:space="preserve"> </w:t>
      </w:r>
      <w:r w:rsidRPr="002D20B5">
        <w:t>or disfavor</w:t>
      </w:r>
      <w:r>
        <w:t xml:space="preserve"> </w:t>
      </w:r>
      <w:r w:rsidRPr="002D20B5">
        <w:t>a p</w:t>
      </w:r>
      <w:r w:rsidRPr="002A4413">
        <w:t>olitical party or a particular candidate, with several states adding such provisions recently concomitantly with changes in control over the redistricting process.</w:t>
      </w:r>
      <w:r w:rsidRPr="0078695B">
        <w:rPr>
          <w:rStyle w:val="FootnoteReference"/>
        </w:rPr>
        <w:footnoteReference w:id="11"/>
      </w:r>
      <w:r>
        <w:t xml:space="preserve">  </w:t>
      </w:r>
      <w:r w:rsidRPr="002A4413">
        <w:t>But even when there was no explicit anti-gerrymandering provision in the state constitution, beginning with a Pennsylvania Supreme Court decisio</w:t>
      </w:r>
      <w:r w:rsidRPr="006632F8">
        <w:t>n in 2018</w:t>
      </w:r>
      <w:r>
        <w:t>,</w:t>
      </w:r>
      <w:r w:rsidRPr="0078695B">
        <w:rPr>
          <w:rStyle w:val="FootnoteReference"/>
        </w:rPr>
        <w:footnoteReference w:id="12"/>
      </w:r>
      <w:r>
        <w:t>,</w:t>
      </w:r>
      <w:r w:rsidRPr="006632F8">
        <w:t xml:space="preserve"> some </w:t>
      </w:r>
      <w:r w:rsidRPr="002A4413">
        <w:t>state courts have begun to interpret older provisions of their state constitutions as implicitly prohibiting egregious gerrymandering</w:t>
      </w:r>
      <w:r>
        <w:t>—</w:t>
      </w:r>
      <w:r w:rsidRPr="002A4413">
        <w:t>language that says elections shall be “free and equal</w:t>
      </w:r>
      <w:r w:rsidRPr="008225A3">
        <w:t>,”</w:t>
      </w:r>
      <w:r w:rsidRPr="002A4413">
        <w:t xml:space="preserve"> “free and open</w:t>
      </w:r>
      <w:r w:rsidRPr="009E6B1A">
        <w:t>,”</w:t>
      </w:r>
      <w:r w:rsidRPr="002A4413">
        <w:t xml:space="preserve"> simply “free</w:t>
      </w:r>
      <w:r w:rsidRPr="009E6B1A">
        <w:t>,”</w:t>
      </w:r>
      <w:r>
        <w:t xml:space="preserve"> </w:t>
      </w:r>
      <w:r w:rsidRPr="002A4413">
        <w:t>or language regarding the “right to vote</w:t>
      </w:r>
      <w:r>
        <w:t>.</w:t>
      </w:r>
      <w:r w:rsidRPr="002A4413">
        <w:t>”</w:t>
      </w:r>
      <w:bookmarkStart w:id="117" w:name="_Ref138174865"/>
      <w:r w:rsidRPr="0078695B">
        <w:rPr>
          <w:rStyle w:val="FootnoteReference"/>
        </w:rPr>
        <w:footnoteReference w:id="13"/>
      </w:r>
      <w:bookmarkEnd w:id="117"/>
      <w:r w:rsidRPr="002A4413">
        <w:rPr>
          <w:rStyle w:val="FootnoteReference"/>
        </w:rPr>
        <w:t xml:space="preserve"> </w:t>
      </w:r>
    </w:p>
    <w:p w14:paraId="692B9880" w14:textId="77777777" w:rsidR="008D703D" w:rsidRPr="008912BD" w:rsidRDefault="008D703D" w:rsidP="00212B79">
      <w:pPr>
        <w:pStyle w:val="BodyText"/>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t xml:space="preserve">  </w:t>
      </w:r>
      <w:r w:rsidRPr="002A4413">
        <w:t>Then</w:t>
      </w:r>
      <w:r>
        <w:t>,</w:t>
      </w:r>
      <w:r w:rsidRPr="002A4413">
        <w:t xml:space="preserve"> we look in at the actions of state courts in dealing with challenges to enacted plans based on claims of partisan gerrymandering and their role in drawing plans of their own in cases where the legislature or commission failed to draw a plan in a timely fashion.</w:t>
      </w:r>
      <w:r w:rsidRPr="0078695B">
        <w:rPr>
          <w:rStyle w:val="FootnoteReference"/>
        </w:rPr>
        <w:footnoteReference w:id="14"/>
      </w:r>
    </w:p>
    <w:p w14:paraId="1BF04DC3" w14:textId="22486025" w:rsidR="001939F5" w:rsidRDefault="008D703D" w:rsidP="00D625DD">
      <w:pPr>
        <w:pStyle w:val="Heading1"/>
      </w:pPr>
      <w:bookmarkStart w:id="118" w:name="_Toc138947177"/>
      <w:r>
        <w:t>Background</w:t>
      </w:r>
      <w:bookmarkEnd w:id="118"/>
    </w:p>
    <w:p w14:paraId="0B299E28" w14:textId="3561BD76" w:rsidR="00DC1FE7" w:rsidRPr="00D37744" w:rsidRDefault="008D703D" w:rsidP="00212B79">
      <w:pPr>
        <w:pStyle w:val="Heading2"/>
      </w:pPr>
      <w:bookmarkStart w:id="119" w:name="_Hlk527583489"/>
      <w:bookmarkStart w:id="120" w:name="_Toc138947178"/>
      <w:bookmarkEnd w:id="97"/>
      <w:r>
        <w:t>The State of Partisan Gerrymandering Law Prior to 2020</w:t>
      </w:r>
      <w:bookmarkEnd w:id="120"/>
    </w:p>
    <w:bookmarkEnd w:id="119"/>
    <w:p w14:paraId="1024924E" w14:textId="77777777" w:rsidR="008D703D" w:rsidRDefault="008D703D" w:rsidP="00212B79">
      <w:pPr>
        <w:pStyle w:val="BodyText"/>
      </w:pPr>
      <w:r w:rsidRPr="00623982">
        <w:t>In this section</w:t>
      </w:r>
      <w:r w:rsidRPr="00F912CF">
        <w:t>,</w:t>
      </w:r>
      <w:r w:rsidRPr="00623982">
        <w:t xml:space="preserve"> we look at the status of redistricting law vis-à-vis partisan gerrymandering prior to the 2020 redistricting round.</w:t>
      </w:r>
      <w:r>
        <w:t xml:space="preserve">  </w:t>
      </w:r>
      <w:r w:rsidRPr="00623982">
        <w:t xml:space="preserve">While our </w:t>
      </w:r>
      <w:r w:rsidRPr="00623982">
        <w:lastRenderedPageBreak/>
        <w:t xml:space="preserve">focus in this section is </w:t>
      </w:r>
      <w:r>
        <w:t>to trace litigation through time, and generally that has been concentrated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r>
        <w:t>.</w:t>
      </w:r>
      <w:bookmarkStart w:id="121" w:name="_Ref138175061"/>
      <w:r w:rsidRPr="0078695B">
        <w:rPr>
          <w:rStyle w:val="FootnoteReference"/>
        </w:rPr>
        <w:footnoteReference w:id="15"/>
      </w:r>
      <w:bookmarkEnd w:id="121"/>
      <w:r>
        <w:t xml:space="preserve">  And while we view malapportionment as having potential partisan consequences, we will begin our review after the series of U.S. Supreme Court decisions resolving malapportionment.</w:t>
      </w:r>
      <w:r w:rsidRPr="0078695B">
        <w:rPr>
          <w:rStyle w:val="FootnoteReference"/>
        </w:rPr>
        <w:footnoteReference w:id="16"/>
      </w:r>
    </w:p>
    <w:p w14:paraId="660D706F" w14:textId="0AA69A5A" w:rsidR="008D703D" w:rsidRPr="009E2F11" w:rsidRDefault="008D703D" w:rsidP="00212B79">
      <w:pPr>
        <w:pStyle w:val="BodyText"/>
      </w:pPr>
      <w:r w:rsidRPr="0080356A">
        <w:t xml:space="preserve">The </w:t>
      </w:r>
      <w:r>
        <w:t>U.S.</w:t>
      </w:r>
      <w:r w:rsidRPr="0080356A">
        <w:t xml:space="preserve"> Supreme Court first dealt with the role of partisanship in districting in 1973 in a Connecticut case, </w:t>
      </w:r>
      <w:r w:rsidRPr="0080356A">
        <w:rPr>
          <w:i/>
          <w:iCs/>
        </w:rPr>
        <w:t>Gaffney</w:t>
      </w:r>
      <w:r w:rsidRPr="0080356A">
        <w:t> </w:t>
      </w:r>
      <w:r w:rsidRPr="0080356A">
        <w:rPr>
          <w:i/>
          <w:iCs/>
        </w:rPr>
        <w:t>v.</w:t>
      </w:r>
      <w:r w:rsidRPr="0080356A">
        <w:t> </w:t>
      </w:r>
      <w:r w:rsidRPr="0080356A">
        <w:rPr>
          <w:i/>
          <w:iCs/>
        </w:rPr>
        <w:t>Cummings</w:t>
      </w:r>
      <w:r w:rsidRPr="0080356A">
        <w:t>,</w:t>
      </w:r>
      <w:r w:rsidRPr="0078695B">
        <w:rPr>
          <w:rStyle w:val="FootnoteReference"/>
        </w:rPr>
        <w:footnoteReference w:id="17"/>
      </w:r>
      <w:r w:rsidRPr="0080356A">
        <w:t xml:space="preserve"> in which political data was used to try and balance districts roughly proportional to the </w:t>
      </w:r>
      <w:r w:rsidRPr="00A16555">
        <w:t>state</w:t>
      </w:r>
      <w:r w:rsidRPr="00F912CF">
        <w:t>-wide</w:t>
      </w:r>
      <w:r w:rsidRPr="0080356A">
        <w:t xml:space="preserve"> political strength of parties</w:t>
      </w:r>
      <w:r>
        <w:t>.</w:t>
      </w:r>
      <w:r w:rsidRPr="0078695B">
        <w:rPr>
          <w:rStyle w:val="FootnoteReference"/>
        </w:rPr>
        <w:footnoteReference w:id="18"/>
      </w:r>
      <w:r>
        <w:t xml:space="preserve">  </w:t>
      </w:r>
      <w:r w:rsidRPr="0080356A">
        <w:t xml:space="preserve">In </w:t>
      </w:r>
      <w:r w:rsidRPr="0080356A">
        <w:rPr>
          <w:i/>
          <w:iCs/>
        </w:rPr>
        <w:t>Gaffney</w:t>
      </w:r>
      <w:r w:rsidRPr="0080356A">
        <w:t xml:space="preserve">, the </w:t>
      </w:r>
      <w:r>
        <w:t>c</w:t>
      </w:r>
      <w:r w:rsidRPr="00F912CF">
        <w:t>ourt</w:t>
      </w:r>
      <w:r w:rsidRPr="0080356A">
        <w:t xml:space="preserve"> ruled that the state legislature did not violate the </w:t>
      </w:r>
      <w:r>
        <w:t>Fourteenth</w:t>
      </w:r>
      <w:r w:rsidRPr="00F912CF">
        <w:t xml:space="preserve"> </w:t>
      </w:r>
      <w:r>
        <w:t>A</w:t>
      </w:r>
      <w:r w:rsidRPr="0080356A">
        <w:t>mendment’s Equal Protection Clause by taking partisanship into account to represent the parties in a fashion reflective of their electoral strength.</w:t>
      </w:r>
      <w:r w:rsidRPr="0078695B">
        <w:rPr>
          <w:rStyle w:val="FootnoteReference"/>
        </w:rPr>
        <w:footnoteReference w:id="19"/>
      </w:r>
      <w:r>
        <w:t xml:space="preserve">  </w:t>
      </w:r>
      <w:r w:rsidRPr="0080356A">
        <w:rPr>
          <w:i/>
          <w:iCs/>
        </w:rPr>
        <w:t>Gaffney</w:t>
      </w:r>
      <w:r w:rsidRPr="0080356A">
        <w:t xml:space="preserve"> allowed for partisanship to be used in what appeared to be a benevolent </w:t>
      </w:r>
      <w:r w:rsidRPr="00B777BB">
        <w:t>fashion, but the continuing concern of good government groups and political parties has been about the malevolent uses of partisanship in districting to create</w:t>
      </w:r>
      <w:r w:rsidRPr="0080356A">
        <w:t xml:space="preserve"> political gerrymanders.</w:t>
      </w:r>
      <w:r>
        <w:t xml:space="preserve">  </w:t>
      </w:r>
      <w:r w:rsidRPr="0080356A">
        <w:t>Post-</w:t>
      </w:r>
      <w:r w:rsidRPr="0080356A">
        <w:rPr>
          <w:i/>
          <w:iCs/>
        </w:rPr>
        <w:t>Gaffney</w:t>
      </w:r>
      <w:r w:rsidRPr="00F912CF">
        <w:rPr>
          <w:i/>
          <w:iCs/>
        </w:rPr>
        <w:t>,</w:t>
      </w:r>
      <w:r w:rsidRPr="0080356A">
        <w:t xml:space="preserve"> there were various challenges to plans as partisan gerrymanders, such as </w:t>
      </w:r>
      <w:proofErr w:type="spellStart"/>
      <w:r w:rsidRPr="0080356A">
        <w:rPr>
          <w:i/>
          <w:iCs/>
          <w:lang w:val="fr-FR"/>
        </w:rPr>
        <w:t>Badham</w:t>
      </w:r>
      <w:proofErr w:type="spellEnd"/>
      <w:r w:rsidRPr="0080356A">
        <w:rPr>
          <w:i/>
          <w:iCs/>
          <w:lang w:val="fr-FR"/>
        </w:rPr>
        <w:t xml:space="preserve"> v. Eu</w:t>
      </w:r>
      <w:del w:id="123" w:author="Jonathan Cervas" w:date="2023-06-18T21:58:00Z">
        <w:r w:rsidRPr="0078695B" w:rsidDel="00354FE1">
          <w:rPr>
            <w:rStyle w:val="FootnoteReference"/>
          </w:rPr>
          <w:footnoteReference w:id="20"/>
        </w:r>
      </w:del>
      <w:r>
        <w:rPr>
          <w:i/>
          <w:iCs/>
          <w:lang w:val="fr-FR"/>
        </w:rPr>
        <w:t>,</w:t>
      </w:r>
      <w:r w:rsidRPr="0080356A">
        <w:rPr>
          <w:lang w:val="fr-FR"/>
        </w:rPr>
        <w:t xml:space="preserve"> </w:t>
      </w:r>
      <w:r w:rsidRPr="0080356A">
        <w:t>which, like several other cases, was dismissed for want of a federal claim.</w:t>
      </w:r>
      <w:r w:rsidRPr="0078695B">
        <w:rPr>
          <w:rStyle w:val="FootnoteReference"/>
        </w:rPr>
        <w:footnoteReference w:id="21"/>
      </w:r>
      <w:r w:rsidRPr="0080356A">
        <w:t xml:space="preserve"> </w:t>
      </w:r>
    </w:p>
    <w:p w14:paraId="2C9F31B6" w14:textId="77777777" w:rsidR="008D703D" w:rsidRPr="0080356A" w:rsidRDefault="008D703D" w:rsidP="00212B79">
      <w:pPr>
        <w:pStyle w:val="BodyText"/>
      </w:pPr>
      <w:r w:rsidRPr="0080356A">
        <w:t xml:space="preserve">The first hint that federal courts might reign in egregious manipulation of district lines drawn for political gain came thirteen years after </w:t>
      </w:r>
      <w:r w:rsidRPr="0080356A">
        <w:rPr>
          <w:i/>
          <w:iCs/>
        </w:rPr>
        <w:t>Gaffney</w:t>
      </w:r>
      <w:r w:rsidRPr="0080356A">
        <w:t xml:space="preserve"> </w:t>
      </w:r>
      <w:r w:rsidRPr="0080356A">
        <w:lastRenderedPageBreak/>
        <w:t xml:space="preserve">in </w:t>
      </w:r>
      <w:r w:rsidRPr="0080356A">
        <w:rPr>
          <w:i/>
          <w:iCs/>
        </w:rPr>
        <w:t xml:space="preserve">Davis v. </w:t>
      </w:r>
      <w:proofErr w:type="spellStart"/>
      <w:r w:rsidRPr="0080356A">
        <w:rPr>
          <w:i/>
          <w:iCs/>
        </w:rPr>
        <w:t>Bandemer</w:t>
      </w:r>
      <w:proofErr w:type="spellEnd"/>
      <w:r>
        <w:t>.</w:t>
      </w:r>
      <w:r w:rsidRPr="0078695B">
        <w:rPr>
          <w:rStyle w:val="FootnoteReference"/>
        </w:rPr>
        <w:footnoteReference w:id="22"/>
      </w:r>
      <w:r w:rsidRPr="0080356A">
        <w:rPr>
          <w:i/>
          <w:iCs/>
        </w:rPr>
        <w:t xml:space="preserve"> </w:t>
      </w:r>
      <w:r>
        <w:rPr>
          <w:i/>
          <w:iCs/>
        </w:rPr>
        <w:t xml:space="preserve"> </w:t>
      </w:r>
      <w:proofErr w:type="spellStart"/>
      <w:r w:rsidRPr="00907FDE">
        <w:rPr>
          <w:i/>
          <w:iCs/>
        </w:rPr>
        <w:t>Bandemer</w:t>
      </w:r>
      <w:proofErr w:type="spellEnd"/>
      <w:r w:rsidRPr="00907FDE">
        <w:t xml:space="preserve"> </w:t>
      </w:r>
      <w:r>
        <w:t xml:space="preserve">was </w:t>
      </w:r>
      <w:r w:rsidRPr="00907FDE">
        <w:t>a</w:t>
      </w:r>
      <w:r w:rsidRPr="0080356A">
        <w:t xml:space="preserve"> challenge to Indian</w:t>
      </w:r>
      <w:r>
        <w:t>a’s</w:t>
      </w:r>
      <w:r w:rsidRPr="0080356A">
        <w:t xml:space="preserve"> legislative plans as partisan gerrymanders.</w:t>
      </w:r>
      <w:r w:rsidRPr="0078695B">
        <w:rPr>
          <w:rStyle w:val="FootnoteReference"/>
        </w:rPr>
        <w:footnoteReference w:id="23"/>
      </w:r>
      <w:r>
        <w:t xml:space="preserve">  </w:t>
      </w:r>
      <w:r w:rsidRPr="0080356A">
        <w:t xml:space="preserve">In </w:t>
      </w:r>
      <w:proofErr w:type="spellStart"/>
      <w:r w:rsidRPr="0080356A">
        <w:rPr>
          <w:i/>
          <w:iCs/>
        </w:rPr>
        <w:t>Bandemer</w:t>
      </w:r>
      <w:proofErr w:type="spellEnd"/>
      <w:r w:rsidRPr="0080356A">
        <w:t xml:space="preserve">, the Court’s majority ruled that partisan gerrymandering claims were justiciable in federal courts, but the Court rejected the claim that the Indiana plans were gerrymanders, and seemingly set an impossible threshold </w:t>
      </w:r>
      <w:r>
        <w:t>to</w:t>
      </w:r>
      <w:r w:rsidRPr="0080356A">
        <w:t xml:space="preserve"> hold a plan to be unconstitutional</w:t>
      </w:r>
      <w:r>
        <w:t>.  N</w:t>
      </w:r>
      <w:r w:rsidRPr="0080356A">
        <w:t>amely</w:t>
      </w:r>
      <w:r>
        <w:t>,</w:t>
      </w:r>
      <w:r w:rsidRPr="0080356A">
        <w:t xml:space="preserve"> that the minority be “shut out of” the political process.</w:t>
      </w:r>
      <w:r w:rsidRPr="0078695B">
        <w:rPr>
          <w:rStyle w:val="FootnoteReference"/>
        </w:rPr>
        <w:footnoteReference w:id="24"/>
      </w:r>
    </w:p>
    <w:p w14:paraId="7242CF5B" w14:textId="77777777" w:rsidR="008D703D" w:rsidRDefault="008D703D" w:rsidP="00212B79">
      <w:pPr>
        <w:pStyle w:val="BodyText"/>
      </w:pPr>
      <w:r w:rsidRPr="0080356A">
        <w:t xml:space="preserve">That high bar did not prevent new challenges to alleged partisan gerrymanders </w:t>
      </w:r>
      <w:r>
        <w:t xml:space="preserve">from </w:t>
      </w:r>
      <w:r w:rsidRPr="0080356A">
        <w:t xml:space="preserve">being brought in federal </w:t>
      </w:r>
      <w:r w:rsidRPr="0031501C">
        <w:t xml:space="preserve">courts after </w:t>
      </w:r>
      <w:proofErr w:type="spellStart"/>
      <w:r w:rsidRPr="002474A2">
        <w:rPr>
          <w:i/>
        </w:rPr>
        <w:t>Bandemer</w:t>
      </w:r>
      <w:proofErr w:type="spellEnd"/>
      <w:r>
        <w:t>,</w:t>
      </w:r>
      <w:r w:rsidRPr="0078695B">
        <w:rPr>
          <w:rStyle w:val="FootnoteReference"/>
        </w:rPr>
        <w:footnoteReference w:id="25"/>
      </w:r>
      <w:r>
        <w:t xml:space="preserve"> </w:t>
      </w:r>
      <w:r w:rsidRPr="0080356A">
        <w:t>but again</w:t>
      </w:r>
      <w:r w:rsidRPr="00A16555">
        <w:t>,</w:t>
      </w:r>
      <w:r w:rsidRPr="0080356A">
        <w:t xml:space="preserve"> lower courts ultimately rejected partisan gerrymandering claims.</w:t>
      </w:r>
      <w:r w:rsidRPr="0078695B">
        <w:rPr>
          <w:rStyle w:val="FootnoteReference"/>
        </w:rPr>
        <w:footnoteReference w:id="26"/>
      </w:r>
      <w:r>
        <w:t xml:space="preserve">  </w:t>
      </w:r>
      <w:r w:rsidRPr="0080356A">
        <w:t xml:space="preserve">Eighteen years after </w:t>
      </w:r>
      <w:proofErr w:type="spellStart"/>
      <w:r w:rsidRPr="0080356A">
        <w:rPr>
          <w:i/>
          <w:iCs/>
        </w:rPr>
        <w:t>Bandemer</w:t>
      </w:r>
      <w:proofErr w:type="spellEnd"/>
      <w:r w:rsidRPr="0080356A">
        <w:t xml:space="preserve">, in a case from Pennsylvania, </w:t>
      </w:r>
      <w:proofErr w:type="spellStart"/>
      <w:r w:rsidRPr="0080356A">
        <w:rPr>
          <w:i/>
          <w:iCs/>
        </w:rPr>
        <w:t>Vieth</w:t>
      </w:r>
      <w:proofErr w:type="spellEnd"/>
      <w:r w:rsidRPr="0080356A">
        <w:rPr>
          <w:i/>
          <w:iCs/>
        </w:rPr>
        <w:t xml:space="preserve"> v. </w:t>
      </w:r>
      <w:proofErr w:type="spellStart"/>
      <w:r w:rsidRPr="0080356A">
        <w:rPr>
          <w:i/>
          <w:iCs/>
        </w:rPr>
        <w:t>Jubelirer</w:t>
      </w:r>
      <w:proofErr w:type="spellEnd"/>
      <w:r>
        <w:t>,</w:t>
      </w:r>
      <w:r w:rsidRPr="0078695B">
        <w:rPr>
          <w:rStyle w:val="FootnoteReference"/>
        </w:rPr>
        <w:footnoteReference w:id="27"/>
      </w:r>
      <w:r>
        <w:t xml:space="preserve"> </w:t>
      </w:r>
      <w:r w:rsidRPr="0080356A">
        <w:t>that lacked a majority opinion, the issue was again brought before the U</w:t>
      </w:r>
      <w:r>
        <w:t>.</w:t>
      </w:r>
      <w:r w:rsidRPr="0080356A">
        <w:t>S</w:t>
      </w:r>
      <w:r>
        <w:t>.</w:t>
      </w:r>
      <w:r w:rsidRPr="0080356A">
        <w:t xml:space="preserve"> Supreme Court, and it again rejected a partisan gerrymandering claim.</w:t>
      </w:r>
      <w:r w:rsidRPr="0078695B">
        <w:rPr>
          <w:rStyle w:val="FootnoteReference"/>
        </w:rPr>
        <w:footnoteReference w:id="28"/>
      </w:r>
      <w:r>
        <w:t xml:space="preserve">  </w:t>
      </w:r>
      <w:r w:rsidRPr="0080356A">
        <w:t>But now there were clear signs that the Court was rethinking the issue of the justiciability of partisan gerrymandering.</w:t>
      </w:r>
      <w:bookmarkStart w:id="141" w:name="_Ref138946114"/>
      <w:r w:rsidRPr="0078695B">
        <w:rPr>
          <w:rStyle w:val="FootnoteReference"/>
        </w:rPr>
        <w:footnoteReference w:id="29"/>
      </w:r>
      <w:bookmarkEnd w:id="141"/>
      <w:r w:rsidRPr="0080356A">
        <w:t xml:space="preserve"> </w:t>
      </w:r>
    </w:p>
    <w:p w14:paraId="0819D7C3" w14:textId="77777777" w:rsidR="008D703D" w:rsidRDefault="008D703D" w:rsidP="00212B79">
      <w:pPr>
        <w:pStyle w:val="BodyText"/>
      </w:pPr>
      <w:r w:rsidRPr="0080356A">
        <w:t>Justice Scalia, writing for a plurality, would have held that there was no justiciable claim because there was no “judicially discernible and manageable standard” by which the Court could decide when a plan went from being constitutional to unconstitutional.</w:t>
      </w:r>
      <w:r w:rsidRPr="0078695B">
        <w:rPr>
          <w:rStyle w:val="FootnoteReference"/>
        </w:rPr>
        <w:footnoteReference w:id="30"/>
      </w:r>
      <w:r>
        <w:t xml:space="preserve">  </w:t>
      </w:r>
      <w:r w:rsidRPr="0080356A">
        <w:t xml:space="preserve">His view would have overturned </w:t>
      </w:r>
      <w:proofErr w:type="spellStart"/>
      <w:r w:rsidRPr="0080356A">
        <w:rPr>
          <w:i/>
          <w:iCs/>
        </w:rPr>
        <w:t>Bandemer</w:t>
      </w:r>
      <w:proofErr w:type="spellEnd"/>
      <w:r w:rsidRPr="0080356A">
        <w:t xml:space="preserve">. </w:t>
      </w:r>
      <w:r>
        <w:t xml:space="preserve"> </w:t>
      </w:r>
      <w:r w:rsidRPr="0080356A">
        <w:t xml:space="preserve">Three justices in </w:t>
      </w:r>
      <w:proofErr w:type="spellStart"/>
      <w:r w:rsidRPr="0080356A">
        <w:rPr>
          <w:i/>
          <w:iCs/>
        </w:rPr>
        <w:t>Vieth</w:t>
      </w:r>
      <w:proofErr w:type="spellEnd"/>
      <w:r w:rsidRPr="0080356A">
        <w:t xml:space="preserve"> (Breyer, Souter, and Stevens) wrote separate dissents, each proposing their </w:t>
      </w:r>
      <w:r>
        <w:t xml:space="preserve">own </w:t>
      </w:r>
      <w:r w:rsidRPr="0080356A">
        <w:t xml:space="preserve">standard for </w:t>
      </w:r>
      <w:r w:rsidRPr="0080356A">
        <w:lastRenderedPageBreak/>
        <w:t>adjudicating partisan gerrymandering claims.</w:t>
      </w:r>
      <w:r w:rsidRPr="0078695B">
        <w:rPr>
          <w:rStyle w:val="FootnoteReference"/>
        </w:rPr>
        <w:footnoteReference w:id="31"/>
      </w:r>
      <w:r>
        <w:t xml:space="preserve">  </w:t>
      </w:r>
      <w:r w:rsidRPr="0080356A">
        <w:t xml:space="preserve">Justice Kennedy concurred with the plurality that the </w:t>
      </w:r>
      <w:r>
        <w:t>A</w:t>
      </w:r>
      <w:r w:rsidRPr="009E6B1A">
        <w:t>ppellants’</w:t>
      </w:r>
      <w:r w:rsidRPr="0080356A">
        <w:t xml:space="preserve"> complaint be dismissed because the “proposed standards each have their own deficiencies</w:t>
      </w:r>
      <w:r w:rsidRPr="008225A3">
        <w:t>,”</w:t>
      </w:r>
      <w:r w:rsidRPr="0078695B">
        <w:rPr>
          <w:rStyle w:val="FootnoteReference"/>
        </w:rPr>
        <w:footnoteReference w:id="32"/>
      </w:r>
      <w:r w:rsidRPr="0080356A">
        <w:rPr>
          <w:i/>
          <w:iCs/>
        </w:rPr>
        <w:t xml:space="preserve"> </w:t>
      </w:r>
      <w:r w:rsidRPr="0080356A">
        <w:t>but left open the possibility that a manageable standard might be established.</w:t>
      </w:r>
      <w:r w:rsidRPr="0078695B">
        <w:rPr>
          <w:rStyle w:val="FootnoteReference"/>
        </w:rPr>
        <w:footnoteReference w:id="33"/>
      </w:r>
      <w:r>
        <w:t xml:space="preserve">  The </w:t>
      </w:r>
      <w:proofErr w:type="spellStart"/>
      <w:r w:rsidRPr="002474A2">
        <w:rPr>
          <w:i/>
        </w:rPr>
        <w:t>Vieth</w:t>
      </w:r>
      <w:proofErr w:type="spellEnd"/>
      <w:r>
        <w:t xml:space="preserve"> Court concluded that “‘</w:t>
      </w:r>
      <w:r w:rsidRPr="00F05DD4">
        <w:t>Fairness</w:t>
      </w:r>
      <w:r>
        <w:t>’</w:t>
      </w:r>
      <w:r w:rsidRPr="00F05DD4">
        <w:t xml:space="preserve"> is not a judicially manageable standard.</w:t>
      </w:r>
      <w:r>
        <w:t>”</w:t>
      </w:r>
      <w:r w:rsidRPr="0078695B">
        <w:rPr>
          <w:rStyle w:val="FootnoteReference"/>
        </w:rPr>
        <w:footnoteReference w:id="34"/>
      </w:r>
    </w:p>
    <w:p w14:paraId="62771780" w14:textId="77777777" w:rsidR="008D703D" w:rsidRDefault="008D703D" w:rsidP="00212B79">
      <w:pPr>
        <w:pStyle w:val="BodyText"/>
      </w:pPr>
      <w:r w:rsidRPr="0080356A">
        <w:t>A few years later, in</w:t>
      </w:r>
      <w:r w:rsidRPr="00FB52C4">
        <w:t xml:space="preserve"> </w:t>
      </w:r>
      <w:r>
        <w:rPr>
          <w:i/>
          <w:iCs/>
        </w:rPr>
        <w:t>League of United Latin American Citizens</w:t>
      </w:r>
      <w:r w:rsidRPr="0080356A">
        <w:rPr>
          <w:i/>
          <w:iCs/>
        </w:rPr>
        <w:t xml:space="preserve"> v. Perry</w:t>
      </w:r>
      <w:r w:rsidRPr="0080356A">
        <w:t xml:space="preserve">, the Court heard a challenge to the mid-decade redistricting scheme by the Texas </w:t>
      </w:r>
      <w:r>
        <w:t>L</w:t>
      </w:r>
      <w:r w:rsidRPr="009E6B1A">
        <w:t>egislature</w:t>
      </w:r>
      <w:r w:rsidRPr="0080356A">
        <w:t xml:space="preserve"> but again rejected claims that the plan was a </w:t>
      </w:r>
      <w:r w:rsidRPr="00800482">
        <w:t>gerrymander.</w:t>
      </w:r>
      <w:r w:rsidRPr="0078695B">
        <w:rPr>
          <w:rStyle w:val="FootnoteReference"/>
        </w:rPr>
        <w:footnoteReference w:id="35"/>
      </w:r>
      <w:r>
        <w:t xml:space="preserve">  </w:t>
      </w:r>
      <w:r w:rsidRPr="00800482">
        <w:t>In that case, some Justices expressed the view that a manag</w:t>
      </w:r>
      <w:r w:rsidRPr="0080356A">
        <w:t>eable standard combining partisan symmetry approaches with other measures might yet be contrived</w:t>
      </w:r>
      <w:r>
        <w:t>.</w:t>
      </w:r>
      <w:r w:rsidRPr="0078695B">
        <w:rPr>
          <w:rStyle w:val="FootnoteReference"/>
        </w:rPr>
        <w:footnoteReference w:id="36"/>
      </w:r>
      <w:r>
        <w:t xml:space="preserve">  P</w:t>
      </w:r>
      <w:r w:rsidRPr="0080356A">
        <w:t>ost-</w:t>
      </w:r>
      <w:r w:rsidRPr="0080356A">
        <w:rPr>
          <w:i/>
          <w:iCs/>
        </w:rPr>
        <w:t>LULAC</w:t>
      </w:r>
      <w:r w:rsidRPr="0080356A">
        <w:t xml:space="preserve"> there was a spate of work by lawyers, social scientists, and other concerned scholars, including computer scientists, offering new ways of measuring gerrymandering (or ways to defend previously rejected metrics) to offer to federal courts.</w:t>
      </w:r>
      <w:r w:rsidRPr="0078695B">
        <w:rPr>
          <w:rStyle w:val="FootnoteReference"/>
        </w:rPr>
        <w:footnoteReference w:id="37"/>
      </w:r>
      <w:r>
        <w:t xml:space="preserve">  </w:t>
      </w:r>
      <w:r w:rsidRPr="0080356A">
        <w:t>And cases challenging plans as partisan gerrymanders continued to be filed in federal courts</w:t>
      </w:r>
      <w:commentRangeStart w:id="150"/>
      <w:commentRangeStart w:id="151"/>
      <w:r w:rsidRPr="0080356A">
        <w:t>.</w:t>
      </w:r>
      <w:r w:rsidRPr="0078695B">
        <w:rPr>
          <w:rStyle w:val="FootnoteReference"/>
        </w:rPr>
        <w:footnoteReference w:id="38"/>
      </w:r>
      <w:r w:rsidRPr="0080356A">
        <w:t xml:space="preserve"> </w:t>
      </w:r>
      <w:commentRangeEnd w:id="150"/>
      <w:r>
        <w:rPr>
          <w:rStyle w:val="CommentReference"/>
        </w:rPr>
        <w:commentReference w:id="150"/>
      </w:r>
      <w:commentRangeEnd w:id="151"/>
      <w:r w:rsidR="00FE39A5">
        <w:rPr>
          <w:rStyle w:val="CommentReference"/>
          <w:szCs w:val="20"/>
        </w:rPr>
        <w:commentReference w:id="151"/>
      </w:r>
    </w:p>
    <w:p w14:paraId="0DCD642B" w14:textId="77777777" w:rsidR="008D703D" w:rsidRPr="002713C2" w:rsidRDefault="008D703D" w:rsidP="00212B79">
      <w:pPr>
        <w:pStyle w:val="BodyText"/>
        <w:rPr>
          <w:b/>
          <w:bCs/>
          <w:sz w:val="28"/>
          <w:szCs w:val="28"/>
        </w:rPr>
      </w:pPr>
      <w:r w:rsidRPr="0080356A">
        <w:t xml:space="preserve">After </w:t>
      </w:r>
      <w:r>
        <w:t>more than thirty</w:t>
      </w:r>
      <w:r w:rsidRPr="0080356A">
        <w:t xml:space="preserve"> years of unsuccessful challenges, three federal trial courts, one in Wisconsin</w:t>
      </w:r>
      <w:r>
        <w:t>,</w:t>
      </w:r>
      <w:r w:rsidRPr="0078695B">
        <w:rPr>
          <w:rStyle w:val="FootnoteReference"/>
        </w:rPr>
        <w:footnoteReference w:id="39"/>
      </w:r>
      <w:r w:rsidRPr="0080356A">
        <w:t xml:space="preserve"> one in North Carolina</w:t>
      </w:r>
      <w:r>
        <w:t>,</w:t>
      </w:r>
      <w:r w:rsidRPr="0078695B">
        <w:rPr>
          <w:rStyle w:val="FootnoteReference"/>
        </w:rPr>
        <w:footnoteReference w:id="40"/>
      </w:r>
      <w:r w:rsidRPr="0080356A">
        <w:t xml:space="preserve"> and one in </w:t>
      </w:r>
      <w:r w:rsidRPr="0080356A">
        <w:lastRenderedPageBreak/>
        <w:t>Maryland</w:t>
      </w:r>
      <w:r>
        <w:t>,</w:t>
      </w:r>
      <w:r w:rsidRPr="0078695B">
        <w:rPr>
          <w:rStyle w:val="FootnoteReference"/>
        </w:rPr>
        <w:footnoteReference w:id="41"/>
      </w:r>
      <w:r w:rsidRPr="0080356A">
        <w:t xml:space="preserve"> found proposed plans to be unconstitutional partisan gerrymanders.</w:t>
      </w:r>
      <w:r>
        <w:t xml:space="preserve">  </w:t>
      </w:r>
      <w:r w:rsidRPr="0080356A">
        <w:t>These cases were appealed to the</w:t>
      </w:r>
      <w:r>
        <w:t xml:space="preserve"> U.S.</w:t>
      </w:r>
      <w:r w:rsidRPr="0080356A">
        <w:t xml:space="preserve"> Supreme Court, which </w:t>
      </w:r>
      <w:r w:rsidRPr="00EB0534">
        <w:t>issued</w:t>
      </w:r>
      <w:r w:rsidRPr="0080356A">
        <w:t xml:space="preserve"> a definitive ruling that focused on the challenged North Carolina map.</w:t>
      </w:r>
      <w:r w:rsidRPr="0078695B">
        <w:rPr>
          <w:rStyle w:val="FootnoteReference"/>
        </w:rPr>
        <w:footnoteReference w:id="42"/>
      </w:r>
      <w:r w:rsidRPr="0080356A">
        <w:t xml:space="preserve"> </w:t>
      </w:r>
    </w:p>
    <w:p w14:paraId="1B8870DB" w14:textId="64042B72" w:rsidR="008D703D" w:rsidRPr="0080356A" w:rsidRDefault="008D703D" w:rsidP="00212B79">
      <w:pPr>
        <w:pStyle w:val="BodyText"/>
      </w:pPr>
      <w:r w:rsidRPr="0080356A">
        <w:t xml:space="preserve">In a 5-4 opinion in </w:t>
      </w:r>
      <w:r w:rsidRPr="0080356A">
        <w:rPr>
          <w:i/>
          <w:iCs/>
        </w:rPr>
        <w:t>Rucho</w:t>
      </w:r>
      <w:r w:rsidRPr="0080356A">
        <w:t xml:space="preserve">, the </w:t>
      </w:r>
      <w:r>
        <w:t>c</w:t>
      </w:r>
      <w:r w:rsidRPr="0080356A">
        <w:t xml:space="preserve">ourt majority took away the ability to bring </w:t>
      </w:r>
      <w:r>
        <w:t>claims of</w:t>
      </w:r>
      <w:r w:rsidRPr="0080356A">
        <w:t xml:space="preserve"> partisan gerrymandering in federal court</w:t>
      </w:r>
      <w:r>
        <w:t>,</w:t>
      </w:r>
      <w:r w:rsidRPr="00915587">
        <w:t xml:space="preserve"> </w:t>
      </w:r>
      <w:r w:rsidRPr="0080356A">
        <w:t>with Justice Kagan, joined by Justices Ginsberg, Breyer, and Sotomayor</w:t>
      </w:r>
      <w:r>
        <w:t>,</w:t>
      </w:r>
      <w:r w:rsidRPr="0080356A">
        <w:t xml:space="preserve"> in dissent</w:t>
      </w:r>
      <w:r>
        <w:t>.</w:t>
      </w:r>
      <w:r w:rsidRPr="0078695B">
        <w:rPr>
          <w:rStyle w:val="FootnoteReference"/>
        </w:rPr>
        <w:footnoteReference w:id="43"/>
      </w:r>
      <w:r>
        <w:t xml:space="preserve">  </w:t>
      </w:r>
      <w:proofErr w:type="spellStart"/>
      <w:r w:rsidRPr="0080356A">
        <w:rPr>
          <w:i/>
          <w:iCs/>
        </w:rPr>
        <w:t>Bandemer</w:t>
      </w:r>
      <w:proofErr w:type="spellEnd"/>
      <w:r w:rsidRPr="0080356A">
        <w:t xml:space="preserve"> was overruled</w:t>
      </w:r>
      <w:r w:rsidRPr="00B14853">
        <w:t>:</w:t>
      </w:r>
      <w:r>
        <w:t xml:space="preserve"> </w:t>
      </w:r>
      <w:r w:rsidRPr="0080356A">
        <w:t>the justiciability of partisan gerrymandering claims was eliminated, and the lower court finding</w:t>
      </w:r>
      <w:r>
        <w:t>s</w:t>
      </w:r>
      <w:r w:rsidRPr="0080356A">
        <w:t xml:space="preserve"> of unconstitutional partisan gerrymandering were reversed.</w:t>
      </w:r>
      <w:r w:rsidRPr="0078695B">
        <w:rPr>
          <w:rStyle w:val="FootnoteReference"/>
        </w:rPr>
        <w:footnoteReference w:id="44"/>
      </w:r>
      <w:r>
        <w:t xml:space="preserve">  </w:t>
      </w:r>
      <w:r w:rsidRPr="0080356A">
        <w:t xml:space="preserve">The ruling explicitly rejected all </w:t>
      </w:r>
      <w:r>
        <w:t xml:space="preserve">of </w:t>
      </w:r>
      <w:r w:rsidRPr="0080356A">
        <w:t>the possible avenues for bringing a partisan gerrymandering claim that had ever been asserted: “the First Amendment, the Equal Protection Clause of the Fourteenth Amendment, the Elections Clause, [or] Article I, § 2, of the Constitution</w:t>
      </w:r>
      <w:r w:rsidRPr="008225A3">
        <w:t>.”</w:t>
      </w:r>
      <w:r w:rsidRPr="0078695B">
        <w:rPr>
          <w:rStyle w:val="FootnoteReference"/>
        </w:rPr>
        <w:footnoteReference w:id="45"/>
      </w:r>
      <w:r>
        <w:t xml:space="preserve">  </w:t>
      </w:r>
      <w:r w:rsidRPr="0080356A">
        <w:t>In </w:t>
      </w:r>
      <w:r w:rsidRPr="0080356A">
        <w:rPr>
          <w:i/>
          <w:iCs/>
        </w:rPr>
        <w:t>Rucho</w:t>
      </w:r>
      <w:r w:rsidRPr="0080356A">
        <w:t xml:space="preserve">, the Supreme Court asserted, without qualification, that there is no </w:t>
      </w:r>
      <w:r>
        <w:t>“</w:t>
      </w:r>
      <w:ins w:id="167" w:author="Jonathan Cervas" w:date="2023-06-20T15:38:00Z">
        <w:r w:rsidR="009953F0">
          <w:t>’</w:t>
        </w:r>
      </w:ins>
      <w:r w:rsidRPr="0080356A">
        <w:t>appropriate role for the Federal Judiciary</w:t>
      </w:r>
      <w:ins w:id="168" w:author="Jonathan Cervas" w:date="2023-06-20T15:38:00Z">
        <w:r w:rsidR="009953F0">
          <w:t>’</w:t>
        </w:r>
      </w:ins>
      <w:r w:rsidRPr="0080356A">
        <w:t xml:space="preserve"> in remedying the problem of partisan gerrymandering—</w:t>
      </w:r>
      <w:r w:rsidRPr="0080356A">
        <w:rPr>
          <w:u w:val="single"/>
        </w:rPr>
        <w:t>whether such claims are claims of legal right, resolvable according to legal principles, or political questions that must find their resolution elsewhere</w:t>
      </w:r>
      <w:r w:rsidRPr="0080356A">
        <w:t>.”</w:t>
      </w:r>
      <w:r w:rsidRPr="0078695B">
        <w:rPr>
          <w:rStyle w:val="FootnoteReference"/>
        </w:rPr>
        <w:footnoteReference w:id="46"/>
      </w:r>
      <w:r>
        <w:t xml:space="preserve">  </w:t>
      </w:r>
      <w:r w:rsidRPr="0080356A">
        <w:rPr>
          <w:i/>
          <w:iCs/>
        </w:rPr>
        <w:t>Rucho</w:t>
      </w:r>
      <w:r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Pr="0078695B">
        <w:rPr>
          <w:rStyle w:val="FootnoteReference"/>
        </w:rPr>
        <w:footnoteReference w:id="47"/>
      </w:r>
    </w:p>
    <w:p w14:paraId="5C5E53FA" w14:textId="41DDAA06" w:rsidR="008D703D" w:rsidRPr="00B76379" w:rsidRDefault="008D703D" w:rsidP="00212B79">
      <w:pPr>
        <w:pStyle w:val="BodyText"/>
        <w:rPr>
          <w:i/>
          <w:iCs/>
        </w:rPr>
      </w:pPr>
      <w:r w:rsidRPr="0080356A">
        <w:t xml:space="preserve">The </w:t>
      </w:r>
      <w:r>
        <w:t>C</w:t>
      </w:r>
      <w:r w:rsidRPr="00A16555">
        <w:t>ourt</w:t>
      </w:r>
      <w:r>
        <w:t>’s</w:t>
      </w:r>
      <w:r w:rsidRPr="0080356A">
        <w:t xml:space="preserve"> </w:t>
      </w:r>
      <w:r>
        <w:t>o</w:t>
      </w:r>
      <w:r w:rsidRPr="0080356A">
        <w:t xml:space="preserve">pinion </w:t>
      </w:r>
      <w:r>
        <w:t xml:space="preserve">in </w:t>
      </w:r>
      <w:r w:rsidRPr="00036774">
        <w:rPr>
          <w:i/>
          <w:iCs/>
        </w:rPr>
        <w:t>Rucho</w:t>
      </w:r>
      <w:r>
        <w:t xml:space="preserve"> </w:t>
      </w:r>
      <w:r w:rsidRPr="0080356A">
        <w:t>was problematic in that it recognizes that “[e]</w:t>
      </w:r>
      <w:proofErr w:type="spellStart"/>
      <w:r w:rsidRPr="0080356A">
        <w:t>xcessive</w:t>
      </w:r>
      <w:proofErr w:type="spellEnd"/>
      <w:r w:rsidRPr="0080356A">
        <w:t xml:space="preserve"> partisanship in districting leads to results that reasonably seem unjust</w:t>
      </w:r>
      <w:r w:rsidRPr="008225A3">
        <w:t>,”</w:t>
      </w:r>
      <w:r w:rsidRPr="0078695B">
        <w:rPr>
          <w:rStyle w:val="FootnoteReference"/>
        </w:rPr>
        <w:footnoteReference w:id="48"/>
      </w:r>
      <w:r w:rsidRPr="0080356A">
        <w:t xml:space="preserve"> and </w:t>
      </w:r>
      <w:r w:rsidRPr="004B7233">
        <w:t>the Court “does</w:t>
      </w:r>
      <w:r w:rsidRPr="0080356A">
        <w:t xml:space="preserve"> not condone excessive partisan gerrymandering</w:t>
      </w:r>
      <w:r w:rsidRPr="008225A3">
        <w:t>,”</w:t>
      </w:r>
      <w:r w:rsidRPr="0078695B">
        <w:rPr>
          <w:rStyle w:val="FootnoteReference"/>
        </w:rPr>
        <w:footnoteReference w:id="49"/>
      </w:r>
      <w:r w:rsidRPr="0080356A">
        <w:t xml:space="preserve"> </w:t>
      </w:r>
      <w:r>
        <w:t xml:space="preserve">yet </w:t>
      </w:r>
      <w:r w:rsidRPr="0080356A">
        <w:t>it simultaneously shirked responsibility.</w:t>
      </w:r>
      <w:r>
        <w:t xml:space="preserve"> </w:t>
      </w:r>
      <w:r w:rsidRPr="00EF5841">
        <w:t xml:space="preserve"> </w:t>
      </w:r>
      <w:r w:rsidRPr="0080356A">
        <w:t xml:space="preserve">The majority </w:t>
      </w:r>
      <w:r w:rsidRPr="00252CF8">
        <w:t xml:space="preserve">opinion in </w:t>
      </w:r>
      <w:r w:rsidRPr="00252CF8">
        <w:rPr>
          <w:i/>
          <w:iCs/>
        </w:rPr>
        <w:t>Rucho</w:t>
      </w:r>
      <w:r w:rsidRPr="00252CF8">
        <w:t xml:space="preserve"> is also</w:t>
      </w:r>
      <w:r w:rsidRPr="0080356A">
        <w:t xml:space="preserve"> problematic because it misunderstands the basic measurement issue re</w:t>
      </w:r>
      <w:r>
        <w:t>garding</w:t>
      </w:r>
      <w:r w:rsidRPr="0080356A">
        <w:t xml:space="preserve"> partisan gerrymandering, namely</w:t>
      </w:r>
      <w:r w:rsidRPr="00F912CF">
        <w:t>,</w:t>
      </w:r>
      <w:r w:rsidRPr="0080356A">
        <w:t xml:space="preserve"> how one</w:t>
      </w:r>
      <w:r w:rsidRPr="00F912CF">
        <w:t xml:space="preserve"> </w:t>
      </w:r>
      <w:r w:rsidRPr="009E6B1A">
        <w:t>can</w:t>
      </w:r>
      <w:r w:rsidRPr="0080356A">
        <w:t xml:space="preserve"> detect an egregious partisan gerrymander.</w:t>
      </w:r>
      <w:r>
        <w:t xml:space="preserve">  </w:t>
      </w:r>
      <w:commentRangeStart w:id="172"/>
      <w:r w:rsidRPr="0080356A">
        <w:t xml:space="preserve">It frames this question as: “how much representation [do] particular political parties </w:t>
      </w:r>
      <w:r w:rsidRPr="004A6ABE">
        <w:rPr>
          <w:i/>
          <w:iCs/>
          <w:rPrChange w:id="173" w:author="Jonathan Cervas" w:date="2023-06-18T17:36:00Z">
            <w:rPr/>
          </w:rPrChange>
        </w:rPr>
        <w:lastRenderedPageBreak/>
        <w:t>deserve</w:t>
      </w:r>
      <w:r w:rsidRPr="0080356A">
        <w:t>—based on the votes of their supporters</w:t>
      </w:r>
      <w:r w:rsidRPr="009E6B1A">
        <w:t>.</w:t>
      </w:r>
      <w:commentRangeEnd w:id="172"/>
      <w:r>
        <w:rPr>
          <w:rStyle w:val="CommentReference"/>
        </w:rPr>
        <w:commentReference w:id="172"/>
      </w:r>
      <w:ins w:id="174" w:author="Jonathan Cervas" w:date="2023-06-18T17:35:00Z">
        <w:r w:rsidR="004A6ABE">
          <w:t>..</w:t>
        </w:r>
      </w:ins>
      <w:r w:rsidRPr="009E6B1A">
        <w:t>”</w:t>
      </w:r>
      <w:r w:rsidRPr="0078695B">
        <w:rPr>
          <w:rStyle w:val="FootnoteReference"/>
        </w:rPr>
        <w:footnoteReference w:id="50"/>
      </w:r>
      <w:r>
        <w:t xml:space="preserve">  </w:t>
      </w:r>
      <w:r w:rsidRPr="0080356A">
        <w:t xml:space="preserve">But the </w:t>
      </w:r>
      <w:r w:rsidRPr="005C3881">
        <w:t>Court then goes on to claim that “[p]artisan gerrymandering claims invariably</w:t>
      </w:r>
      <w:r w:rsidRPr="0080356A">
        <w:t xml:space="preserve"> sound in a desire for proportional representation</w:t>
      </w:r>
      <w:r>
        <w:t>.</w:t>
      </w:r>
      <w:r w:rsidRPr="0080356A">
        <w:t>”</w:t>
      </w:r>
      <w:r w:rsidRPr="0078695B">
        <w:rPr>
          <w:rStyle w:val="FootnoteReference"/>
        </w:rPr>
        <w:footnoteReference w:id="51"/>
      </w:r>
      <w:r>
        <w:t xml:space="preserve">  </w:t>
      </w:r>
      <w:r w:rsidRPr="0080356A">
        <w:t xml:space="preserve">However, </w:t>
      </w:r>
      <w:r w:rsidRPr="005C3881">
        <w:t>that latter assertion</w:t>
      </w:r>
      <w:r w:rsidRPr="0080356A">
        <w:t xml:space="preserve"> is flatly wrong.</w:t>
      </w:r>
      <w:r>
        <w:t xml:space="preserve"> </w:t>
      </w:r>
      <w:r w:rsidRPr="0080356A">
        <w:t>Social science is unequivocal in NOT expecting proportionality in single-member, winner-take-all districting schemes</w:t>
      </w:r>
      <w:r>
        <w:t>.</w:t>
      </w:r>
      <w:r w:rsidRPr="0078695B">
        <w:rPr>
          <w:rStyle w:val="FootnoteReference"/>
        </w:rPr>
        <w:footnoteReference w:id="52"/>
      </w:r>
      <w:r>
        <w:t xml:space="preserve"> </w:t>
      </w:r>
      <w:r w:rsidRPr="0080356A">
        <w:t xml:space="preserve"> For example, metrics such as the </w:t>
      </w:r>
      <w:r w:rsidRPr="0080356A">
        <w:rPr>
          <w:i/>
          <w:iCs/>
        </w:rPr>
        <w:t>partisan bias</w:t>
      </w:r>
      <w:r w:rsidRPr="0080356A">
        <w:t xml:space="preserve"> measure require only that parties are treated symmetrically.</w:t>
      </w:r>
      <w:r w:rsidRPr="0078695B">
        <w:rPr>
          <w:rStyle w:val="FootnoteReference"/>
        </w:rPr>
        <w:footnoteReference w:id="53"/>
      </w:r>
      <w:r>
        <w:t xml:space="preserve">  </w:t>
      </w:r>
      <w:r w:rsidRPr="0080356A">
        <w:t>Another test, the use of outlier analysis using an ensemble of plans generated by Markov chains</w:t>
      </w:r>
      <w:r>
        <w:t>,</w:t>
      </w:r>
      <w:r w:rsidRPr="0080356A">
        <w:t xml:space="preserve"> draws on the geography of the state to determine what is suspiciously outside the realm of what can be expected from a plan drawn according to good government criteria.</w:t>
      </w:r>
      <w:r w:rsidRPr="0078695B">
        <w:rPr>
          <w:rStyle w:val="FootnoteReference"/>
        </w:rPr>
        <w:footnoteReference w:id="54"/>
      </w:r>
    </w:p>
    <w:p w14:paraId="29C89688" w14:textId="77777777" w:rsidR="008D703D" w:rsidRPr="0080356A" w:rsidRDefault="008D703D" w:rsidP="00212B79">
      <w:pPr>
        <w:pStyle w:val="BodyText"/>
      </w:pPr>
      <w:r w:rsidRPr="0080356A">
        <w:t xml:space="preserve">Moreover, the Supreme Court majority was far too facile in asserting in </w:t>
      </w:r>
      <w:r w:rsidRPr="0080356A">
        <w:rPr>
          <w:i/>
          <w:iCs/>
        </w:rPr>
        <w:t>Rucho</w:t>
      </w:r>
      <w:r w:rsidRPr="0080356A">
        <w:t xml:space="preserve"> that no manageable standard for ascertaining the presence of partisan gerrymandering is possible.</w:t>
      </w:r>
      <w:r>
        <w:t xml:space="preserve">  </w:t>
      </w:r>
      <w:r w:rsidRPr="0080356A">
        <w:t>In fact, in the 2010 round of decennial redistricting</w:t>
      </w:r>
      <w:r>
        <w:t>, two s</w:t>
      </w:r>
      <w:r w:rsidRPr="0080356A">
        <w:t>tate courts had already overturned (in whole or in part) legislatively enacted plans that were found to dilute the voting strength of minority parties</w:t>
      </w:r>
      <w:r>
        <w:t>,</w:t>
      </w:r>
      <w:r w:rsidRPr="0078695B">
        <w:rPr>
          <w:rStyle w:val="FootnoteReference"/>
        </w:rPr>
        <w:footnoteReference w:id="55"/>
      </w:r>
      <w:r w:rsidRPr="0080356A">
        <w:t xml:space="preserve"> </w:t>
      </w:r>
      <w:r w:rsidRPr="004D563A">
        <w:rPr>
          <w:bCs/>
        </w:rPr>
        <w:t>while another did so post-</w:t>
      </w:r>
      <w:r w:rsidRPr="002474A2">
        <w:rPr>
          <w:bCs/>
          <w:i/>
        </w:rPr>
        <w:t>Rucho</w:t>
      </w:r>
      <w:r w:rsidRPr="004D563A">
        <w:rPr>
          <w:bCs/>
        </w:rPr>
        <w:t>.</w:t>
      </w:r>
      <w:bookmarkStart w:id="178" w:name="_Ref123139646"/>
      <w:r w:rsidRPr="0078695B">
        <w:rPr>
          <w:rStyle w:val="FootnoteReference"/>
        </w:rPr>
        <w:footnoteReference w:id="56"/>
      </w:r>
      <w:bookmarkEnd w:id="178"/>
    </w:p>
    <w:p w14:paraId="0F43AACA" w14:textId="77777777" w:rsidR="008D703D" w:rsidRPr="0080356A" w:rsidRDefault="008D703D" w:rsidP="00212B79">
      <w:pPr>
        <w:pStyle w:val="BodyText"/>
      </w:pPr>
      <w:r w:rsidRPr="0080356A">
        <w:t>The Florida and Pennsylvania state courts held</w:t>
      </w:r>
      <w:r>
        <w:t xml:space="preserve"> a</w:t>
      </w:r>
      <w:r w:rsidRPr="0080356A">
        <w:t xml:space="preserve"> trial</w:t>
      </w:r>
      <w:r>
        <w:t xml:space="preserve"> in which they</w:t>
      </w:r>
      <w:r w:rsidRPr="0080356A">
        <w:t xml:space="preserve"> heard from expert witnesses, deposed lawmakers, and weighed the evidence to conclude that one political party was inappropriately </w:t>
      </w:r>
      <w:r>
        <w:lastRenderedPageBreak/>
        <w:t>hampered</w:t>
      </w:r>
      <w:r w:rsidRPr="0080356A">
        <w:t xml:space="preserve"> by the district lines in the translation of its votes into seats.</w:t>
      </w:r>
      <w:bookmarkStart w:id="179" w:name="_Ref138174896"/>
      <w:r w:rsidRPr="0078695B">
        <w:rPr>
          <w:rStyle w:val="FootnoteReference"/>
        </w:rPr>
        <w:footnoteReference w:id="57"/>
      </w:r>
      <w:bookmarkEnd w:id="179"/>
      <w:r>
        <w:t xml:space="preserve">  </w:t>
      </w:r>
      <w:r w:rsidRPr="0080356A">
        <w:t>The situation in North Carolina was a bit different</w:t>
      </w:r>
      <w:r>
        <w:t>; i</w:t>
      </w:r>
      <w:r w:rsidRPr="0080356A">
        <w:t xml:space="preserve">nstead of holding a new trial court hearing, the court used both direct statistical and circumstantial evidence from the federal court case in </w:t>
      </w:r>
      <w:r w:rsidRPr="0080356A">
        <w:rPr>
          <w:i/>
          <w:iCs/>
        </w:rPr>
        <w:t>Rucho</w:t>
      </w:r>
      <w:r w:rsidRPr="0080356A">
        <w:t>.</w:t>
      </w:r>
      <w:r w:rsidRPr="0078695B">
        <w:rPr>
          <w:rStyle w:val="FootnoteReference"/>
        </w:rPr>
        <w:footnoteReference w:id="58"/>
      </w:r>
      <w:r>
        <w:t xml:space="preserve">  </w:t>
      </w:r>
      <w:r w:rsidRPr="0080356A">
        <w:t xml:space="preserve">While this </w:t>
      </w:r>
      <w:r>
        <w:t xml:space="preserve">state court </w:t>
      </w:r>
      <w:r w:rsidRPr="0080356A">
        <w:t xml:space="preserve">decision could be seen as a direct rebuttal to the </w:t>
      </w:r>
      <w:r w:rsidRPr="0080356A">
        <w:rPr>
          <w:i/>
          <w:iCs/>
        </w:rPr>
        <w:t>Rucho</w:t>
      </w:r>
      <w:r w:rsidRPr="0080356A">
        <w:t xml:space="preserve"> </w:t>
      </w:r>
      <w:r>
        <w:t xml:space="preserve">majority’s </w:t>
      </w:r>
      <w:r w:rsidRPr="0080356A">
        <w:t xml:space="preserve">finding that no manageable standard to detect unconstitutional gerrymandering in North Carolina exists, we see </w:t>
      </w:r>
      <w:r>
        <w:rPr>
          <w:i/>
          <w:iCs/>
        </w:rPr>
        <w:t>Harper</w:t>
      </w:r>
      <w:r>
        <w:t xml:space="preserve"> </w:t>
      </w:r>
      <w:r w:rsidRPr="0080356A">
        <w:t xml:space="preserve">as confirmation that </w:t>
      </w:r>
      <w:commentRangeStart w:id="180"/>
      <w:r w:rsidRPr="00305698">
        <w:rPr>
          <w:u w:val="single"/>
          <w:rPrChange w:id="181" w:author="Jonathan Cervas" w:date="2023-06-29T16:47:00Z">
            <w:rPr/>
          </w:rPrChange>
        </w:rPr>
        <w:t>state courts, interpreting their own state constitution, have the ability to craft state-specific standards for policing partisan gerrymandering</w:t>
      </w:r>
      <w:commentRangeEnd w:id="180"/>
      <w:r w:rsidR="008A2C26" w:rsidRPr="00305698">
        <w:rPr>
          <w:rStyle w:val="CommentReference"/>
          <w:szCs w:val="20"/>
          <w:u w:val="single"/>
          <w:rPrChange w:id="182" w:author="Jonathan Cervas" w:date="2023-06-29T16:47:00Z">
            <w:rPr>
              <w:rStyle w:val="CommentReference"/>
              <w:szCs w:val="20"/>
            </w:rPr>
          </w:rPrChange>
        </w:rPr>
        <w:commentReference w:id="180"/>
      </w:r>
      <w:r w:rsidRPr="00305698">
        <w:t>.</w:t>
      </w:r>
      <w:r w:rsidRPr="0078695B">
        <w:rPr>
          <w:rStyle w:val="FootnoteReference"/>
        </w:rPr>
        <w:footnoteReference w:id="59"/>
      </w:r>
    </w:p>
    <w:p w14:paraId="31FBB085" w14:textId="77777777" w:rsidR="008D703D" w:rsidRPr="0080356A" w:rsidRDefault="008D703D" w:rsidP="00212B79">
      <w:pPr>
        <w:pStyle w:val="BodyText"/>
      </w:pPr>
      <w:r w:rsidRPr="0080356A">
        <w:t>In Florida</w:t>
      </w:r>
      <w:r>
        <w:t>,</w:t>
      </w:r>
      <w:r w:rsidRPr="0080356A">
        <w:t xml:space="preserve"> there was explicit state constitutional language about the permissible role of partisanship in redistricting.</w:t>
      </w:r>
      <w:r w:rsidRPr="0078695B">
        <w:rPr>
          <w:rStyle w:val="FootnoteReference"/>
        </w:rPr>
        <w:footnoteReference w:id="60"/>
      </w:r>
      <w:r>
        <w:t xml:space="preserve">  </w:t>
      </w:r>
      <w:r w:rsidRPr="0080356A">
        <w:t>In Pennsylvania</w:t>
      </w:r>
      <w:r>
        <w:t>,</w:t>
      </w:r>
      <w:r w:rsidRPr="0080356A">
        <w:t xml:space="preserve"> </w:t>
      </w:r>
      <w:r w:rsidRPr="003E4989">
        <w:t>the Pennsylvania Supreme Court expressly recognized that partisan gerrymandering is a justiciable violation of the Free and Equal Elections Clause</w:t>
      </w:r>
      <w:r>
        <w:t>.</w:t>
      </w:r>
      <w:r w:rsidRPr="0078695B">
        <w:rPr>
          <w:rStyle w:val="FootnoteReference"/>
        </w:rPr>
        <w:footnoteReference w:id="61"/>
      </w:r>
      <w:r>
        <w:t xml:space="preserve">  </w:t>
      </w:r>
      <w:r w:rsidRPr="0080356A">
        <w:t>Similarly, in North Carolina, the state court relied on the “Free Elections Clause” found in the Declaration of Rights in the state’s constitution.</w:t>
      </w:r>
      <w:r w:rsidRPr="0078695B">
        <w:rPr>
          <w:rStyle w:val="FootnoteReference"/>
        </w:rPr>
        <w:footnoteReference w:id="62"/>
      </w:r>
      <w:r w:rsidRPr="0080356A">
        <w:t xml:space="preserve"> </w:t>
      </w:r>
    </w:p>
    <w:p w14:paraId="1FAFAD71" w14:textId="77777777" w:rsidR="008D703D" w:rsidRPr="0080356A" w:rsidRDefault="008D703D" w:rsidP="00212B79">
      <w:pPr>
        <w:pStyle w:val="BodyText"/>
      </w:pPr>
      <w:r w:rsidRPr="0080356A">
        <w:t xml:space="preserve">In Pennsylvania, the state court brought in a </w:t>
      </w:r>
      <w:r>
        <w:t>“legal and technical advisor”</w:t>
      </w:r>
      <w:r w:rsidRPr="0080356A">
        <w:t xml:space="preserve"> to</w:t>
      </w:r>
      <w:r>
        <w:t xml:space="preserve"> assist the court in </w:t>
      </w:r>
      <w:r w:rsidRPr="0080356A">
        <w:t>redraw</w:t>
      </w:r>
      <w:r>
        <w:t>ing</w:t>
      </w:r>
      <w:r w:rsidRPr="0080356A">
        <w:t xml:space="preserve"> the map.</w:t>
      </w:r>
      <w:r w:rsidRPr="0078695B">
        <w:rPr>
          <w:rStyle w:val="FootnoteReference"/>
        </w:rPr>
        <w:footnoteReference w:id="63"/>
      </w:r>
      <w:r>
        <w:t xml:space="preserve">  </w:t>
      </w:r>
      <w:r w:rsidRPr="0080356A">
        <w:t>In Florida, the legislature was permitted to offer a new plan after an initial plan had been rejected.</w:t>
      </w:r>
      <w:r w:rsidRPr="0078695B">
        <w:rPr>
          <w:rStyle w:val="FootnoteReference"/>
        </w:rPr>
        <w:footnoteReference w:id="64"/>
      </w:r>
      <w:r>
        <w:t xml:space="preserve">  However, after the Florida Supreme Court ruled that a greater </w:t>
      </w:r>
      <w:r>
        <w:lastRenderedPageBreak/>
        <w:t>portion of the map was invalid than those two districts found void by the trial court, and the legislature failed to agree on a new remedial plan, the court approved its own plan.</w:t>
      </w:r>
      <w:r w:rsidRPr="0078695B">
        <w:rPr>
          <w:rStyle w:val="FootnoteReference"/>
        </w:rPr>
        <w:footnoteReference w:id="65"/>
      </w:r>
      <w:r>
        <w:t xml:space="preserve">  </w:t>
      </w:r>
      <w:r w:rsidRPr="0080356A">
        <w:t>The North Carolina court issued a preliminary injunction on November 20, 201</w:t>
      </w:r>
      <w:r>
        <w:t>9,</w:t>
      </w:r>
      <w:r w:rsidRPr="0078695B">
        <w:rPr>
          <w:rStyle w:val="FootnoteReference"/>
        </w:rPr>
        <w:footnoteReference w:id="66"/>
      </w:r>
      <w:r w:rsidRPr="0080356A">
        <w:t xml:space="preserve"> but it remanded to the legislature the first right to remedy the violation,</w:t>
      </w:r>
      <w:r w:rsidRPr="0078695B">
        <w:rPr>
          <w:rStyle w:val="FootnoteReference"/>
        </w:rPr>
        <w:footnoteReference w:id="67"/>
      </w:r>
      <w:r w:rsidRPr="0080356A">
        <w:t xml:space="preserve"> and accepted the revised legislative map for use in 2020.</w:t>
      </w:r>
      <w:r w:rsidRPr="0078695B">
        <w:rPr>
          <w:rStyle w:val="FootnoteReference"/>
        </w:rPr>
        <w:footnoteReference w:id="68"/>
      </w:r>
    </w:p>
    <w:p w14:paraId="1E447955" w14:textId="130EE4CC" w:rsidR="00C23B4F" w:rsidRPr="00D37744" w:rsidRDefault="008D703D" w:rsidP="00212B79">
      <w:pPr>
        <w:pStyle w:val="Heading2"/>
      </w:pPr>
      <w:bookmarkStart w:id="183" w:name="_Toc138947179"/>
      <w:r>
        <w:t>The 2020 Redistricting Round: Institutions and Context</w:t>
      </w:r>
      <w:bookmarkEnd w:id="183"/>
    </w:p>
    <w:p w14:paraId="2E496C26" w14:textId="77777777" w:rsidR="00414F57" w:rsidRPr="0080356A" w:rsidRDefault="00414F57" w:rsidP="00212B79">
      <w:pPr>
        <w:pStyle w:val="BodyText"/>
      </w:pPr>
      <w:r w:rsidRPr="0080356A">
        <w:t>With federal courts opting out of policing partisan gerrymandering, if there was to be judicial review of partisan gerrymandering, the burden necessarily fell on state courts.</w:t>
      </w:r>
      <w:r>
        <w:t xml:space="preserve">  </w:t>
      </w:r>
      <w:r w:rsidRPr="0080356A">
        <w:t>One key difference between the 2020 round and earlier rounds of redistricting was a division of labor, with state courts now dealing with partisan gerrymandering claims and federal courts continuing to deal with redistricting issues related to race.</w:t>
      </w:r>
    </w:p>
    <w:p w14:paraId="51C3582A" w14:textId="48470952" w:rsidR="00414F57" w:rsidRPr="00691FDD" w:rsidRDefault="00414F57" w:rsidP="00212B79">
      <w:pPr>
        <w:pStyle w:val="BodyText"/>
      </w:pPr>
      <w:r w:rsidRPr="0080356A">
        <w:t>But, as noted earlier, we cannot understand the role of state courts as checks on partisan gerrymandering without understanding the straw which they had to make bricks.</w:t>
      </w:r>
      <w:r>
        <w:t xml:space="preserve">  </w:t>
      </w:r>
      <w:r w:rsidRPr="0080356A">
        <w:t xml:space="preserve">Below we </w:t>
      </w:r>
      <w:r w:rsidRPr="00691FDD">
        <w:t>identify more than a</w:t>
      </w:r>
      <w:r w:rsidRPr="009507A0">
        <w:rPr>
          <w:b/>
          <w:bCs/>
        </w:rPr>
        <w:t xml:space="preserve"> </w:t>
      </w:r>
      <w:r w:rsidRPr="0080356A">
        <w:t>dozen ways in which the institutions and practices of redistricting in the 2020 round differed from earlier redistricting periods</w:t>
      </w:r>
      <w:r>
        <w:t xml:space="preserve">.  </w:t>
      </w:r>
      <w:r w:rsidRPr="00691FDD">
        <w:t>Here</w:t>
      </w:r>
      <w:r>
        <w:t>,</w:t>
      </w:r>
      <w:r w:rsidRPr="00691FDD">
        <w:t xml:space="preserve"> we </w:t>
      </w:r>
      <w:r w:rsidRPr="003B5A85">
        <w:t xml:space="preserve">elaborate on several points made earlier and considerably add to that discussion. </w:t>
      </w:r>
      <w:r>
        <w:t xml:space="preserve"> </w:t>
      </w:r>
      <w:r w:rsidRPr="003B5A85">
        <w:t>But we leave to a later section a detailed discussion of exactly how state courts were involved in the 2020 redistricting round.</w:t>
      </w:r>
    </w:p>
    <w:p w14:paraId="4E1A27BC" w14:textId="70612AAE" w:rsidR="00414F57" w:rsidRDefault="00414F57" w:rsidP="00212B79">
      <w:pPr>
        <w:pStyle w:val="BodyText"/>
        <w:numPr>
          <w:ilvl w:val="2"/>
          <w:numId w:val="2"/>
        </w:numPr>
      </w:pPr>
      <w:r>
        <w:lastRenderedPageBreak/>
        <w:t>During</w:t>
      </w:r>
      <w:r w:rsidRPr="0080356A">
        <w:t xml:space="preserve"> the past decade</w:t>
      </w:r>
      <w:r>
        <w:t>,</w:t>
      </w:r>
      <w:r w:rsidRPr="0080356A" w:rsidDel="00432C23">
        <w:t xml:space="preserve"> </w:t>
      </w:r>
      <w:r>
        <w:t>Colorado, Michigan, New York, and Virginia replaced legislative control of the redistricting process with redistricting commissions</w:t>
      </w:r>
      <w:r w:rsidRPr="0080356A">
        <w:t>.</w:t>
      </w:r>
      <w:r w:rsidRPr="0078695B">
        <w:rPr>
          <w:rStyle w:val="FootnoteReference"/>
        </w:rPr>
        <w:footnoteReference w:id="69"/>
      </w:r>
      <w:r>
        <w:t xml:space="preserve">  </w:t>
      </w:r>
      <w:r w:rsidRPr="0080356A">
        <w:t xml:space="preserve">There are now </w:t>
      </w:r>
      <w:r>
        <w:t>eleven</w:t>
      </w:r>
      <w:r w:rsidRPr="0080356A">
        <w:t xml:space="preserve"> states</w:t>
      </w:r>
      <w:bookmarkStart w:id="184" w:name="_Ref122771657"/>
      <w:r w:rsidRPr="0078695B">
        <w:rPr>
          <w:rStyle w:val="FootnoteReference"/>
        </w:rPr>
        <w:footnoteReference w:id="70"/>
      </w:r>
      <w:bookmarkEnd w:id="184"/>
      <w:r w:rsidRPr="0080356A">
        <w:t xml:space="preserve"> in which primary responsibility to draw Congressional districts is in the hands of commissions.</w:t>
      </w:r>
      <w:bookmarkStart w:id="188" w:name="_Ref122704324"/>
      <w:r w:rsidRPr="0078695B">
        <w:rPr>
          <w:rStyle w:val="FootnoteReference"/>
        </w:rPr>
        <w:footnoteReference w:id="71"/>
      </w:r>
      <w:bookmarkEnd w:id="188"/>
    </w:p>
    <w:p w14:paraId="5C734763" w14:textId="100D7AC6" w:rsidR="00414F57" w:rsidRPr="0080356A" w:rsidRDefault="00414F57" w:rsidP="00212B79">
      <w:pPr>
        <w:pStyle w:val="BodyText"/>
        <w:numPr>
          <w:ilvl w:val="2"/>
          <w:numId w:val="2"/>
        </w:numPr>
      </w:pPr>
      <w:r>
        <w:t xml:space="preserve">Reforms involving the addition of commissions </w:t>
      </w:r>
      <w:r w:rsidRPr="0080356A">
        <w:t xml:space="preserve">usually </w:t>
      </w:r>
      <w:r>
        <w:t xml:space="preserve">included </w:t>
      </w:r>
      <w:r w:rsidRPr="0080356A">
        <w:t>changes in the specific criteria that were to be used in mapmaking identified in the state constitution.</w:t>
      </w:r>
      <w:r>
        <w:t xml:space="preserve">  Overall, a</w:t>
      </w:r>
      <w:r w:rsidRPr="0080356A">
        <w:t xml:space="preserve">s of the beginning of the 2020 round of redistricting, </w:t>
      </w:r>
      <w:r>
        <w:t>fourteen</w:t>
      </w:r>
      <w:r w:rsidRPr="0080356A">
        <w:t xml:space="preserve"> states had in their constitution some prohibition on political gerrymanderin</w:t>
      </w:r>
      <w:r>
        <w:t>g.</w:t>
      </w:r>
      <w:bookmarkStart w:id="189" w:name="_Ref122771879"/>
      <w:r w:rsidRPr="0078695B">
        <w:rPr>
          <w:rStyle w:val="FootnoteReference"/>
        </w:rPr>
        <w:footnoteReference w:id="72"/>
      </w:r>
      <w:bookmarkEnd w:id="189"/>
      <w:r>
        <w:t xml:space="preserve">  As far as we are aware, only Delaware and </w:t>
      </w:r>
      <w:r>
        <w:lastRenderedPageBreak/>
        <w:t>Hawaii had such provisions prior to the 2010 cycle.</w:t>
      </w:r>
      <w:r w:rsidRPr="0078695B">
        <w:rPr>
          <w:rStyle w:val="FootnoteReference"/>
        </w:rPr>
        <w:footnoteReference w:id="73"/>
      </w:r>
      <w:r>
        <w:t xml:space="preserve">  Florida added such a prohibition in the 2010 round.</w:t>
      </w:r>
      <w:r w:rsidRPr="0078695B">
        <w:rPr>
          <w:rStyle w:val="FootnoteReference"/>
        </w:rPr>
        <w:footnoteReference w:id="74"/>
      </w:r>
      <w:r>
        <w:t xml:space="preserve"> </w:t>
      </w:r>
    </w:p>
    <w:p w14:paraId="4D8696FA" w14:textId="331EB14E" w:rsidR="00414F57" w:rsidRPr="002474A2" w:rsidRDefault="00414F57" w:rsidP="00212B79">
      <w:pPr>
        <w:pStyle w:val="BodyText"/>
        <w:numPr>
          <w:ilvl w:val="2"/>
          <w:numId w:val="2"/>
        </w:numPr>
        <w:rPr>
          <w:i/>
          <w:iCs/>
        </w:rPr>
      </w:pPr>
      <w:r w:rsidRPr="0080356A">
        <w:t xml:space="preserve">The </w:t>
      </w:r>
      <w:r>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w:t>
      </w:r>
      <w:r>
        <w:t xml:space="preserve"> </w:t>
      </w:r>
      <w:r w:rsidRPr="0080356A">
        <w:t xml:space="preserve">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78695B">
        <w:rPr>
          <w:rStyle w:val="FootnoteReference"/>
        </w:rPr>
        <w:footnoteReference w:id="75"/>
      </w:r>
      <w:r>
        <w:t xml:space="preserve">  </w:t>
      </w:r>
      <w:r w:rsidRPr="0080356A">
        <w:t xml:space="preserve">According to the </w:t>
      </w:r>
      <w:r>
        <w:t>C</w:t>
      </w:r>
      <w:r w:rsidRPr="0080356A">
        <w:t xml:space="preserve">ourt majority, among the options left available to police bad behavior are “state </w:t>
      </w:r>
      <w:r>
        <w:t xml:space="preserve">constitutional </w:t>
      </w:r>
      <w:r w:rsidRPr="0080356A">
        <w:t>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78695B">
        <w:rPr>
          <w:rStyle w:val="FootnoteReference"/>
        </w:rPr>
        <w:footnoteReference w:id="76"/>
      </w:r>
      <w:r>
        <w:t xml:space="preserve">  </w:t>
      </w:r>
      <w:r w:rsidRPr="0080356A">
        <w:t>The Court also note</w:t>
      </w:r>
      <w:r>
        <w:t>d</w:t>
      </w:r>
      <w:r w:rsidRPr="0080356A">
        <w:t xml:space="preserve"> that Congress can use the Election Clause to reform the redistricting proce</w:t>
      </w:r>
      <w:commentRangeStart w:id="190"/>
      <w:r w:rsidRPr="0080356A">
        <w:t>ss</w:t>
      </w:r>
      <w:r w:rsidRPr="0068638F">
        <w:t>.</w:t>
      </w:r>
      <w:r w:rsidRPr="0078695B">
        <w:rPr>
          <w:rStyle w:val="FootnoteReference"/>
        </w:rPr>
        <w:footnoteReference w:id="77"/>
      </w:r>
      <w:r w:rsidRPr="00FB52C4">
        <w:t xml:space="preserve"> </w:t>
      </w:r>
      <w:r>
        <w:t xml:space="preserve"> </w:t>
      </w:r>
      <w:commentRangeEnd w:id="190"/>
      <w:r>
        <w:rPr>
          <w:rStyle w:val="CommentReference"/>
        </w:rPr>
        <w:commentReference w:id="190"/>
      </w:r>
      <w:r w:rsidRPr="0080356A">
        <w:t>What is of</w:t>
      </w:r>
      <w:r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sidRPr="0078695B">
        <w:rPr>
          <w:rStyle w:val="FootnoteReference"/>
        </w:rPr>
        <w:footnoteReference w:id="78"/>
      </w:r>
      <w:r w:rsidRPr="0080356A">
        <w:t xml:space="preserve"> </w:t>
      </w:r>
      <w:r>
        <w:t xml:space="preserve"> </w:t>
      </w:r>
      <w:r w:rsidRPr="006C6679">
        <w:t>Thus, the Supreme Court clearly distinguished what it now saw as the distinct roles of federal and state courts in policing partisan gerrymandering.</w:t>
      </w:r>
      <w:r w:rsidRPr="00FB52C4">
        <w:t xml:space="preserve"> </w:t>
      </w:r>
    </w:p>
    <w:p w14:paraId="3F5AD1E2" w14:textId="680AE4F6" w:rsidR="00414F57" w:rsidRDefault="00414F57" w:rsidP="00212B79">
      <w:pPr>
        <w:pStyle w:val="BodyText"/>
        <w:numPr>
          <w:ilvl w:val="2"/>
          <w:numId w:val="2"/>
        </w:numPr>
      </w:pPr>
      <w:r w:rsidRPr="0080356A">
        <w:t xml:space="preserve">The 2010 round provided inspiration for state courts in the 2020 round by showing how provisions affecting </w:t>
      </w:r>
      <w:r w:rsidRPr="0080356A">
        <w:lastRenderedPageBreak/>
        <w:t>gerrymandering could be operationalized and enforced, especially in terms of showing how language such as “free and equal” in a state constitution could be used as a bar against egregious partisan gerrymandering.</w:t>
      </w:r>
      <w:r>
        <w:t xml:space="preserve">  </w:t>
      </w:r>
      <w:r w:rsidRPr="0080356A">
        <w:t xml:space="preserve">Even </w:t>
      </w:r>
      <w:r>
        <w:t>in states where</w:t>
      </w:r>
      <w:r w:rsidRPr="0080356A">
        <w:t xml:space="preserve"> there was not language directly about partisan fairness, </w:t>
      </w:r>
      <w:r>
        <w:t xml:space="preserve">twenty </w:t>
      </w:r>
      <w:r w:rsidRPr="0080356A">
        <w:t>states have constitutional language, such as that requiring elections to be “Free</w:t>
      </w:r>
      <w:r w:rsidRPr="009E6B1A">
        <w:t>,”</w:t>
      </w:r>
      <w:r w:rsidRPr="0080356A">
        <w:t xml:space="preserve"> “Free and Open</w:t>
      </w:r>
      <w:r w:rsidRPr="009E6B1A">
        <w:t>,</w:t>
      </w:r>
      <w:r w:rsidRPr="0080356A">
        <w:t>” or “Free and Equal</w:t>
      </w:r>
      <w:r w:rsidRPr="00EF5841">
        <w:t>.”</w:t>
      </w:r>
      <w:r w:rsidRPr="0078695B">
        <w:rPr>
          <w:rStyle w:val="FootnoteReference"/>
        </w:rPr>
        <w:footnoteReference w:id="79"/>
      </w:r>
      <w:r>
        <w:t xml:space="preserve">  </w:t>
      </w:r>
      <w:r w:rsidRPr="0080356A">
        <w:t xml:space="preserve">The Pennsylvania </w:t>
      </w:r>
      <w:r>
        <w:t xml:space="preserve">Supreme </w:t>
      </w:r>
      <w:r w:rsidRPr="0080356A">
        <w:t xml:space="preserve">Court in </w:t>
      </w:r>
      <w:r w:rsidRPr="006C6679">
        <w:rPr>
          <w:i/>
        </w:rPr>
        <w:t>League of Women Voters</w:t>
      </w:r>
      <w:r w:rsidRPr="0080356A">
        <w:t xml:space="preserve"> was the first state court to creatively reinterpret such language as being violated if there </w:t>
      </w:r>
      <w:r>
        <w:t>was</w:t>
      </w:r>
      <w:r w:rsidRPr="0080356A">
        <w:t xml:space="preserve"> egregious partisan gerrymandering.</w:t>
      </w:r>
      <w:r w:rsidRPr="0078695B">
        <w:rPr>
          <w:rStyle w:val="FootnoteReference"/>
        </w:rPr>
        <w:footnoteReference w:id="80"/>
      </w:r>
      <w:r w:rsidRPr="0080356A">
        <w:t xml:space="preserve"> </w:t>
      </w:r>
    </w:p>
    <w:p w14:paraId="1A329582" w14:textId="711640FF" w:rsidR="00414F57" w:rsidRDefault="00414F57" w:rsidP="00212B79">
      <w:pPr>
        <w:pStyle w:val="BodyText"/>
        <w:numPr>
          <w:ilvl w:val="2"/>
          <w:numId w:val="2"/>
        </w:numPr>
      </w:pPr>
      <w:r>
        <w:t>In</w:t>
      </w:r>
      <w:r w:rsidRPr="0080356A">
        <w:t xml:space="preserve"> the post-</w:t>
      </w:r>
      <w:r w:rsidRPr="00732751">
        <w:rPr>
          <w:i/>
          <w:iCs/>
        </w:rPr>
        <w:t xml:space="preserve">Baker v. </w:t>
      </w:r>
      <w:proofErr w:type="spellStart"/>
      <w:r w:rsidRPr="00732751">
        <w:rPr>
          <w:i/>
          <w:iCs/>
        </w:rPr>
        <w:t>Carr</w:t>
      </w:r>
      <w:proofErr w:type="spellEnd"/>
      <w:r w:rsidRPr="0078695B">
        <w:rPr>
          <w:rStyle w:val="FootnoteReference"/>
        </w:rPr>
        <w:footnoteReference w:id="81"/>
      </w:r>
      <w:r w:rsidRPr="00530C21">
        <w:t xml:space="preserve"> </w:t>
      </w:r>
      <w:r w:rsidRPr="0080356A">
        <w:t>decades</w:t>
      </w:r>
      <w:r>
        <w:t>, state governments were largely under divided control.</w:t>
      </w:r>
      <w:r w:rsidRPr="0078695B">
        <w:rPr>
          <w:rStyle w:val="FootnoteReference"/>
        </w:rPr>
        <w:footnoteReference w:id="82"/>
      </w:r>
      <w:r>
        <w:t xml:space="preserve">  Even when the government was not divided, there was much more crossover voting such that voters would split their ballots between parties.</w:t>
      </w:r>
      <w:r w:rsidRPr="0078695B">
        <w:rPr>
          <w:rStyle w:val="FootnoteReference"/>
        </w:rPr>
        <w:footnoteReference w:id="83"/>
      </w:r>
      <w:r>
        <w:t xml:space="preserve">  Trifecta government</w:t>
      </w:r>
      <w:r w:rsidRPr="0080356A">
        <w:t xml:space="preserve"> </w:t>
      </w:r>
      <w:r>
        <w:t>has increased over time, especially as states have realigned after the Solid South transitioned from Democratic control to Republican control.</w:t>
      </w:r>
      <w:r w:rsidRPr="0078695B">
        <w:rPr>
          <w:rStyle w:val="FootnoteReference"/>
        </w:rPr>
        <w:footnoteReference w:id="84"/>
      </w:r>
      <w:r>
        <w:t xml:space="preserve"> </w:t>
      </w:r>
    </w:p>
    <w:p w14:paraId="219E5DDE" w14:textId="49A3EE58" w:rsidR="00414F57" w:rsidRPr="00B02412" w:rsidRDefault="00414F57" w:rsidP="00212B79">
      <w:pPr>
        <w:pStyle w:val="BodyText"/>
      </w:pPr>
      <w:r w:rsidRPr="0080356A">
        <w:t>In the 2010 redistricting round</w:t>
      </w:r>
      <w:r>
        <w:t xml:space="preserve">, </w:t>
      </w:r>
      <w:r w:rsidRPr="0080356A">
        <w:t xml:space="preserve">Republicans disproportionately had </w:t>
      </w:r>
      <w:r>
        <w:t>party</w:t>
      </w:r>
      <w:r w:rsidRPr="0080356A">
        <w:t xml:space="preserve"> </w:t>
      </w:r>
      <w:r>
        <w:t>control.</w:t>
      </w:r>
      <w:r w:rsidRPr="0078695B">
        <w:rPr>
          <w:rStyle w:val="FootnoteReference"/>
        </w:rPr>
        <w:footnoteReference w:id="85"/>
      </w:r>
      <w:r>
        <w:t xml:space="preserve">  However, this advantage in places where Republicans controlled the process declined in the 2020 round.</w:t>
      </w:r>
      <w:r w:rsidRPr="0078695B">
        <w:rPr>
          <w:rStyle w:val="FootnoteReference"/>
        </w:rPr>
        <w:footnoteReference w:id="86"/>
      </w:r>
      <w:r>
        <w:t xml:space="preserve">  Although the total </w:t>
      </w:r>
      <w:r>
        <w:lastRenderedPageBreak/>
        <w:t>number of states where the process was controlled by a single party actually increased, and Republicans controlled the process in one additional state and the Democrats in two additional states,</w:t>
      </w:r>
      <w:r w:rsidRPr="0078695B">
        <w:rPr>
          <w:rStyle w:val="FootnoteReference"/>
        </w:rPr>
        <w:footnoteReference w:id="87"/>
      </w:r>
      <w:r>
        <w:t xml:space="preserve"> the advantage that Republicans had in 2010 (162 district advantage) was significantly reduced by 2020 (108 district advantage).</w:t>
      </w:r>
      <w:r w:rsidRPr="0078695B">
        <w:rPr>
          <w:rStyle w:val="FootnoteReference"/>
        </w:rPr>
        <w:footnoteReference w:id="88"/>
      </w:r>
      <w:r>
        <w:t xml:space="preserve">  </w:t>
      </w:r>
    </w:p>
    <w:p w14:paraId="5383C59E" w14:textId="63AB3B90" w:rsidR="00414F57" w:rsidRDefault="00414F57" w:rsidP="00212B79">
      <w:pPr>
        <w:pStyle w:val="BodyText"/>
        <w:numPr>
          <w:ilvl w:val="2"/>
          <w:numId w:val="2"/>
        </w:numPr>
      </w:pPr>
      <w:r w:rsidRPr="0080356A">
        <w:t xml:space="preserve">The incentives for partisan gerrymandering increased in the 2020 round. </w:t>
      </w:r>
      <w:r>
        <w:t xml:space="preserve"> </w:t>
      </w:r>
      <w:r w:rsidRPr="0080356A">
        <w:t xml:space="preserve">On the one hand, the </w:t>
      </w:r>
      <w:r>
        <w:t>U.S.</w:t>
      </w:r>
      <w:r w:rsidRPr="0080356A">
        <w:t xml:space="preserve"> is experiencing hyper levels of </w:t>
      </w:r>
      <w:r>
        <w:t xml:space="preserve">elite </w:t>
      </w:r>
      <w:r w:rsidRPr="0080356A">
        <w:t>party polarization</w:t>
      </w:r>
      <w:r>
        <w:t>,</w:t>
      </w:r>
      <w:r w:rsidRPr="0080356A">
        <w:t xml:space="preserve"> last seen more than a century ago.</w:t>
      </w:r>
      <w:bookmarkStart w:id="212" w:name="_Ref138949385"/>
      <w:r w:rsidRPr="0078695B">
        <w:rPr>
          <w:rStyle w:val="FootnoteReference"/>
        </w:rPr>
        <w:footnoteReference w:id="89"/>
      </w:r>
      <w:bookmarkEnd w:id="212"/>
      <w:r>
        <w:t xml:space="preserve">  </w:t>
      </w:r>
      <w:r w:rsidRPr="0080356A">
        <w:t>On the other hand, politics is more competitive (for the presidency, control of the Senate, and control of the U.S. House of Representatives) than at any time in the previous 130 years.</w:t>
      </w:r>
      <w:r w:rsidRPr="0078695B">
        <w:rPr>
          <w:rStyle w:val="FootnoteReference"/>
        </w:rPr>
        <w:footnoteReference w:id="90"/>
      </w:r>
      <w:r>
        <w:t xml:space="preserve">  </w:t>
      </w:r>
      <w:r w:rsidRPr="0080356A">
        <w:t xml:space="preserve">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141328B" w14:textId="70344300" w:rsidR="00414F57" w:rsidRDefault="00414F57" w:rsidP="00212B79">
      <w:pPr>
        <w:pStyle w:val="BodyText"/>
        <w:numPr>
          <w:ilvl w:val="2"/>
          <w:numId w:val="2"/>
        </w:numPr>
      </w:pPr>
      <w:r w:rsidRPr="0080356A">
        <w:t xml:space="preserve">There was not a perfect congruence between control of the legislative </w:t>
      </w:r>
      <w:r w:rsidRPr="00FB52C4">
        <w:rPr>
          <w:u w:val="single"/>
        </w:rPr>
        <w:t>and</w:t>
      </w:r>
      <w:r w:rsidRPr="0080356A">
        <w:t xml:space="preserve"> executive branches of a state </w:t>
      </w:r>
      <w:r w:rsidRPr="00FB52C4">
        <w:rPr>
          <w:u w:val="single"/>
        </w:rPr>
        <w:t>and</w:t>
      </w:r>
      <w:r w:rsidRPr="0080356A">
        <w:t xml:space="preserve"> dominance vis</w:t>
      </w:r>
      <w:r>
        <w:t>-à-v</w:t>
      </w:r>
      <w:r w:rsidRPr="0080356A">
        <w:t>is the partisan identification of state supreme court justices.</w:t>
      </w:r>
      <w:r>
        <w:t xml:space="preserve"> </w:t>
      </w:r>
      <w:r w:rsidRPr="0080356A">
        <w:t xml:space="preserve"> Because of longer terms for judicial </w:t>
      </w:r>
      <w:r>
        <w:t>officers, at-large elections, partisan (or nonpartisan) contests versus appointment, and other dynamics</w:t>
      </w:r>
      <w:r w:rsidRPr="00F912CF">
        <w:t>,</w:t>
      </w:r>
      <w:r>
        <w:t xml:space="preserve"> including gerrymandered </w:t>
      </w:r>
      <w:r>
        <w:lastRenderedPageBreak/>
        <w:t>legislatures</w:t>
      </w:r>
      <w:r w:rsidRPr="0080356A">
        <w:t>, state courts were somewhat more Democratic than state legislatures</w:t>
      </w:r>
      <w:r>
        <w:t>.</w:t>
      </w:r>
      <w:r w:rsidRPr="0078695B">
        <w:rPr>
          <w:rStyle w:val="FootnoteReference"/>
        </w:rPr>
        <w:footnoteReference w:id="91"/>
      </w:r>
      <w:r>
        <w:t xml:space="preserve">  Relevant here, i</w:t>
      </w:r>
      <w:r w:rsidRPr="0080356A">
        <w:t>n some states, the balance of partisan identifications on the court was such that if most or all of the justices who identified with the minority party found a map unconstitutional under state law, even if only one or a few justices whose party was congruent with that of the party in legislative control declined to support a map from that party</w:t>
      </w:r>
      <w:r>
        <w:t>,</w:t>
      </w:r>
      <w:r w:rsidRPr="0078695B">
        <w:rPr>
          <w:rStyle w:val="FootnoteReference"/>
        </w:rPr>
        <w:footnoteReference w:id="92"/>
      </w:r>
      <w:r w:rsidRPr="0080356A">
        <w:t xml:space="preserve"> the state court might, by a divided vote, nonetheless end up rejecting that map as unconstitutional.</w:t>
      </w:r>
      <w:r w:rsidRPr="0078695B">
        <w:rPr>
          <w:rStyle w:val="FootnoteReference"/>
        </w:rPr>
        <w:footnoteReference w:id="93"/>
      </w:r>
    </w:p>
    <w:p w14:paraId="3D3CA070" w14:textId="422209D9" w:rsidR="00414F57" w:rsidRDefault="00414F57" w:rsidP="00212B79">
      <w:pPr>
        <w:pStyle w:val="BodyText"/>
        <w:numPr>
          <w:ilvl w:val="2"/>
          <w:numId w:val="2"/>
        </w:numPr>
      </w:pPr>
      <w:r>
        <w:t xml:space="preserve">Data from the federal census is required for the purpose of reapportionment and redistricting the House of Representatives.  </w:t>
      </w:r>
      <w:r w:rsidRPr="0080356A">
        <w:t>The Census</w:t>
      </w:r>
      <w:r>
        <w:t xml:space="preserve"> Bureau’s</w:t>
      </w:r>
      <w:r w:rsidRPr="0080356A">
        <w:t xml:space="preserve"> report to the states of the data needed for redistricting was delayed to an unprecedented extent</w:t>
      </w:r>
      <w:r>
        <w:t>.</w:t>
      </w:r>
      <w:r w:rsidRPr="0078695B">
        <w:rPr>
          <w:rStyle w:val="FootnoteReference"/>
        </w:rPr>
        <w:footnoteReference w:id="94"/>
      </w:r>
      <w:r>
        <w:t xml:space="preserve">  Usually delivered by April 1 in the year ended in “1” (and usually released earlier </w:t>
      </w:r>
      <w:ins w:id="216" w:author="Jonathan Cervas" w:date="2023-06-20T17:44:00Z">
        <w:r w:rsidR="00D13FD7">
          <w:t xml:space="preserve">and </w:t>
        </w:r>
      </w:ins>
      <w:r>
        <w:t>on a rolling basis</w:t>
      </w:r>
      <w:r w:rsidRPr="00F912CF">
        <w:t>,</w:t>
      </w:r>
      <w:r>
        <w:t xml:space="preserve"> so states that have legislative elections in odd years have the data with enough time to complete their new districting plans), it was not delivered until August 12,</w:t>
      </w:r>
      <w:r w:rsidRPr="0080356A">
        <w:t xml:space="preserve"> four months late.</w:t>
      </w:r>
      <w:r w:rsidRPr="0078695B">
        <w:rPr>
          <w:rStyle w:val="FootnoteReference"/>
        </w:rPr>
        <w:footnoteReference w:id="95"/>
      </w:r>
      <w:r>
        <w:t xml:space="preserve">  </w:t>
      </w:r>
      <w:r w:rsidRPr="0080356A">
        <w:t>This delay had consequences for how the redistricting process played out</w:t>
      </w:r>
      <w:r>
        <w:t xml:space="preserve">.  Pertinent to our current discussion, the delay of data meant that there was a shorter time between enactment and an election, and that resulted in less </w:t>
      </w:r>
      <w:r w:rsidRPr="009B652D">
        <w:t>time for a plan to be litigated as being violative of state or federal law.</w:t>
      </w:r>
      <w:r>
        <w:t xml:space="preserve">   </w:t>
      </w:r>
      <w:r w:rsidRPr="009B652D">
        <w:t xml:space="preserve">The </w:t>
      </w:r>
      <w:r w:rsidRPr="009B652D">
        <w:lastRenderedPageBreak/>
        <w:t xml:space="preserve">consequences of delay in map-making by the primary redistricting authority </w:t>
      </w:r>
      <w:r w:rsidRPr="00F912CF">
        <w:t>are</w:t>
      </w:r>
      <w:r w:rsidRPr="009B652D">
        <w:t xml:space="preserve"> elaborated on in point</w:t>
      </w:r>
      <w:r>
        <w:t xml:space="preserve"> twelve</w:t>
      </w:r>
      <w:r w:rsidRPr="009B652D">
        <w:t>.</w:t>
      </w:r>
    </w:p>
    <w:p w14:paraId="59E3CD64" w14:textId="4712D4F3" w:rsidR="00414F57" w:rsidRDefault="00414F57" w:rsidP="00212B79">
      <w:pPr>
        <w:pStyle w:val="BodyText"/>
        <w:numPr>
          <w:ilvl w:val="2"/>
          <w:numId w:val="2"/>
        </w:numPr>
      </w:pPr>
      <w:r w:rsidRPr="009C73A3">
        <w:t xml:space="preserve">The Supreme Court’s gutting of Section </w:t>
      </w:r>
      <w:r>
        <w:t>Five</w:t>
      </w:r>
      <w:r w:rsidRPr="009C73A3">
        <w:t xml:space="preserve"> of the Voting Rights Act in </w:t>
      </w:r>
      <w:r w:rsidRPr="004B6F05">
        <w:rPr>
          <w:i/>
          <w:iCs/>
        </w:rPr>
        <w:t>Shelby County v. Holder</w:t>
      </w:r>
      <w:r w:rsidRPr="0078695B">
        <w:rPr>
          <w:rStyle w:val="FootnoteReference"/>
        </w:rPr>
        <w:footnoteReference w:id="96"/>
      </w:r>
      <w:r w:rsidRPr="00A35BE3">
        <w:t xml:space="preserve"> </w:t>
      </w:r>
      <w:r w:rsidRPr="004B6F05">
        <w:t>represents a radical turn from the previous five decades of redistricting</w:t>
      </w:r>
      <w:r w:rsidRPr="009E2F11">
        <w:t>.</w:t>
      </w:r>
      <w:r w:rsidRPr="0078695B">
        <w:rPr>
          <w:rStyle w:val="FootnoteReference"/>
        </w:rPr>
        <w:footnoteReference w:id="97"/>
      </w:r>
      <w:r>
        <w:rPr>
          <w:rStyle w:val="FootnoteReference"/>
        </w:rPr>
        <w:t xml:space="preserve"> </w:t>
      </w:r>
      <w:r>
        <w:t xml:space="preserve">  </w:t>
      </w:r>
      <w:r w:rsidRPr="004B6F05">
        <w:t xml:space="preserve">Section </w:t>
      </w:r>
      <w:r>
        <w:t xml:space="preserve">Five </w:t>
      </w:r>
      <w:r w:rsidRPr="004B6F05">
        <w:t>of the Voting Right Act</w:t>
      </w:r>
      <w:r w:rsidRPr="009E2F11">
        <w:t xml:space="preserve"> required preclearance by the Voting Rights Section of</w:t>
      </w:r>
      <w:r w:rsidRPr="004B6F05">
        <w:t xml:space="preserve"> the Civil Rights Division of the U.S. Department of Justice or the District Court for the District of Columbia of any election law changes, including redistricting.</w:t>
      </w:r>
      <w:r w:rsidRPr="0078695B">
        <w:rPr>
          <w:rStyle w:val="FootnoteReference"/>
        </w:rPr>
        <w:footnoteReference w:id="98"/>
      </w:r>
      <w:r>
        <w:t xml:space="preserve">  </w:t>
      </w:r>
      <w:r w:rsidRPr="004B6F05">
        <w:t xml:space="preserve">The trigger clause for Section </w:t>
      </w:r>
      <w:r>
        <w:t>Five</w:t>
      </w:r>
      <w:r w:rsidRPr="004B6F05">
        <w:t xml:space="preserve"> was held to rely on outdated data (voter turnout by race) to identify which states (or portions of states) would come under preclearance scrutiny</w:t>
      </w:r>
      <w:r>
        <w:t>.</w:t>
      </w:r>
      <w:r w:rsidRPr="0078695B">
        <w:rPr>
          <w:rStyle w:val="FootnoteReference"/>
        </w:rPr>
        <w:footnoteReference w:id="99"/>
      </w:r>
      <w:r>
        <w:t xml:space="preserve">  </w:t>
      </w:r>
      <w:r w:rsidRPr="004B6F05">
        <w:t xml:space="preserve">At the time of the 2010 redistricting cycle, Section </w:t>
      </w:r>
      <w:r>
        <w:t xml:space="preserve">Five </w:t>
      </w:r>
      <w:r w:rsidRPr="004B6F05">
        <w:t>applied to sixteen states in whole or in part</w:t>
      </w:r>
      <w:r w:rsidRPr="00A55BB9">
        <w:t>—</w:t>
      </w:r>
      <w:r w:rsidRPr="004B6F05">
        <w:t>most of the southern states and some other states with substantial minority populations</w:t>
      </w:r>
      <w:r>
        <w:t>.</w:t>
      </w:r>
      <w:r w:rsidRPr="0078695B">
        <w:rPr>
          <w:rStyle w:val="FootnoteReference"/>
        </w:rPr>
        <w:footnoteReference w:id="100"/>
      </w:r>
      <w:r>
        <w:t xml:space="preserve">  </w:t>
      </w:r>
      <w:r w:rsidRPr="004B6F05">
        <w:t>Now it applies to none.</w:t>
      </w:r>
      <w:r w:rsidRPr="0078695B">
        <w:rPr>
          <w:rStyle w:val="FootnoteReference"/>
        </w:rPr>
        <w:footnoteReference w:id="101"/>
      </w:r>
      <w:r w:rsidRPr="004B6F05">
        <w:t xml:space="preserve"> </w:t>
      </w:r>
      <w:r>
        <w:t xml:space="preserve"> </w:t>
      </w:r>
      <w:r w:rsidRPr="004B6F05">
        <w:t xml:space="preserve">Because of the partisan divisions and polarization in Congress, Section </w:t>
      </w:r>
      <w:r>
        <w:t>Four</w:t>
      </w:r>
      <w:r w:rsidRPr="004B6F05">
        <w:t xml:space="preserve"> (the trigger clause) has not been restored</w:t>
      </w:r>
      <w:r>
        <w:t>,</w:t>
      </w:r>
      <w:r w:rsidRPr="0078695B">
        <w:rPr>
          <w:rStyle w:val="FootnoteReference"/>
        </w:rPr>
        <w:footnoteReference w:id="102"/>
      </w:r>
      <w:r w:rsidRPr="004B6F05">
        <w:t xml:space="preserve"> and the present composition of the U.S. Supreme Court suggests that even if a better designed trigger clause were to be passed by Congress</w:t>
      </w:r>
      <w:r>
        <w:t>,</w:t>
      </w:r>
      <w:r w:rsidRPr="004B6F05">
        <w:t xml:space="preserve"> it might not survive Supreme Court review.</w:t>
      </w:r>
      <w:r>
        <w:t xml:space="preserve">  </w:t>
      </w:r>
      <w:r w:rsidRPr="0080356A">
        <w:t xml:space="preserve">Without preclearance, states previously covered under Section </w:t>
      </w:r>
      <w:r>
        <w:t xml:space="preserve">Five </w:t>
      </w:r>
      <w:r w:rsidRPr="0080356A">
        <w:t xml:space="preserve">need not submit their plans for approval by the federal </w:t>
      </w:r>
      <w:r w:rsidRPr="0080356A">
        <w:lastRenderedPageBreak/>
        <w:t>government as non-retrogressive.</w:t>
      </w:r>
      <w:r w:rsidRPr="0078695B">
        <w:rPr>
          <w:rStyle w:val="FootnoteReference"/>
        </w:rPr>
        <w:footnoteReference w:id="103"/>
      </w:r>
      <w:r>
        <w:t xml:space="preserve">  </w:t>
      </w:r>
      <w:r w:rsidRPr="0080356A">
        <w:t xml:space="preserve">Taking advantage of this new freedom, some previously covered states neglected to draw districts that would have been required by Section </w:t>
      </w:r>
      <w:r>
        <w:t xml:space="preserve">Five </w:t>
      </w:r>
      <w:r w:rsidRPr="0080356A">
        <w:t xml:space="preserve">and failed to draw districts that would be seen as required by Section </w:t>
      </w:r>
      <w:r>
        <w:t>Two</w:t>
      </w:r>
      <w:r w:rsidRPr="0080356A">
        <w:t xml:space="preserve"> under existing case law</w:t>
      </w:r>
      <w:r>
        <w:t>.</w:t>
      </w:r>
      <w:r w:rsidRPr="0078695B">
        <w:rPr>
          <w:rStyle w:val="FootnoteReference"/>
        </w:rPr>
        <w:footnoteReference w:id="104"/>
      </w:r>
    </w:p>
    <w:p w14:paraId="134B5F6E" w14:textId="29EF029C" w:rsidR="00414F57" w:rsidRPr="009B652D" w:rsidRDefault="00414F57" w:rsidP="00212B79">
      <w:pPr>
        <w:pStyle w:val="BodyText"/>
      </w:pPr>
      <w:r w:rsidRPr="000A7B2E">
        <w:t>It might not seem that a provision about racial/ethnic representation would be that relevant to issues of partisan gerrymandering</w:t>
      </w:r>
      <w:r>
        <w:t xml:space="preserve"> but,</w:t>
      </w:r>
      <w:r w:rsidRPr="000A7B2E">
        <w:t xml:space="preserve"> in reality, the two are highly </w:t>
      </w:r>
      <w:r w:rsidRPr="007E7E1C">
        <w:rPr>
          <w:bCs/>
        </w:rPr>
        <w:t>connected</w:t>
      </w:r>
      <w:r w:rsidRPr="000A7B2E">
        <w:t>.</w:t>
      </w:r>
      <w:r w:rsidRPr="0078695B">
        <w:rPr>
          <w:rStyle w:val="FootnoteReference"/>
        </w:rPr>
        <w:footnoteReference w:id="105"/>
      </w:r>
      <w:r>
        <w:t xml:space="preserve">  </w:t>
      </w:r>
      <w:r w:rsidRPr="000A7B2E">
        <w:t>In states with substantial minority populations, the consequences of maps for racial representation and the consequences of those same maps for partisan representation are usually inextricably intertwined.</w:t>
      </w:r>
      <w:r w:rsidRPr="0078695B">
        <w:rPr>
          <w:rStyle w:val="FootnoteReference"/>
        </w:rPr>
        <w:footnoteReference w:id="106"/>
      </w:r>
      <w:r>
        <w:t xml:space="preserve">  </w:t>
      </w:r>
      <w:r w:rsidRPr="000A7B2E">
        <w:t xml:space="preserve">Minority populations are still heavily Democratic, while non-Hispanic Whites tend to vote Republican, with the proportion of non-Hispanic Whites voting Republican in some southern states now at or over </w:t>
      </w:r>
      <w:r>
        <w:t>seventy percent</w:t>
      </w:r>
      <w:r w:rsidRPr="000A7B2E">
        <w:t>.</w:t>
      </w:r>
      <w:r w:rsidRPr="0078695B">
        <w:rPr>
          <w:rStyle w:val="FootnoteReference"/>
        </w:rPr>
        <w:footnoteReference w:id="107"/>
      </w:r>
      <w:r>
        <w:t xml:space="preserve"> </w:t>
      </w:r>
      <w:r w:rsidRPr="000A7B2E">
        <w:t xml:space="preserve">By “cracking” (dispersal gerrymandering) or “packing” (concentration gerrymandering) </w:t>
      </w:r>
      <w:r w:rsidRPr="00FB52C4">
        <w:rPr>
          <w:u w:val="single"/>
        </w:rPr>
        <w:t>minority voters</w:t>
      </w:r>
      <w:r w:rsidRPr="000A7B2E">
        <w:t xml:space="preserve">, Republicans can obtain </w:t>
      </w:r>
      <w:r w:rsidRPr="00FB52C4">
        <w:rPr>
          <w:u w:val="single"/>
        </w:rPr>
        <w:t>partisan</w:t>
      </w:r>
      <w:r w:rsidRPr="000A7B2E">
        <w:t xml:space="preserve"> advantage.</w:t>
      </w:r>
      <w:r>
        <w:t xml:space="preserve">  </w:t>
      </w:r>
      <w:r w:rsidRPr="000A7B2E">
        <w:t xml:space="preserve">Thus, when Section </w:t>
      </w:r>
      <w:r>
        <w:t xml:space="preserve">Five </w:t>
      </w:r>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r>
        <w:t>Two</w:t>
      </w:r>
      <w:r w:rsidRPr="000A7B2E">
        <w:t xml:space="preserve"> of the Voting Rights and choose to manipulate minority population concentrations in the maps that are passed</w:t>
      </w:r>
      <w:r>
        <w:t>,</w:t>
      </w:r>
      <w:r w:rsidRPr="000A7B2E">
        <w:t xml:space="preserve"> in a way that benefits them in partisan terms.</w:t>
      </w:r>
      <w:r>
        <w:t xml:space="preserve">  </w:t>
      </w:r>
      <w:r w:rsidRPr="00DB7211">
        <w:t xml:space="preserve">Even when subsequently found as in violation of </w:t>
      </w:r>
      <w:r>
        <w:t>Section Two</w:t>
      </w:r>
      <w:r w:rsidRPr="00DB7211">
        <w:t xml:space="preserve">, a remedy might not </w:t>
      </w:r>
      <w:r w:rsidRPr="00DB7211">
        <w:lastRenderedPageBreak/>
        <w:t xml:space="preserve">occur until after one or </w:t>
      </w:r>
      <w:r>
        <w:t xml:space="preserve">even </w:t>
      </w:r>
      <w:r w:rsidRPr="00DB7211">
        <w:t>several elections are held under discriminatory maps.</w:t>
      </w:r>
      <w:r>
        <w:t xml:space="preserve"> </w:t>
      </w:r>
    </w:p>
    <w:p w14:paraId="4D98BA3B" w14:textId="7D59D825" w:rsidR="00414F57" w:rsidRDefault="00414F57" w:rsidP="00212B79">
      <w:pPr>
        <w:pStyle w:val="BodyText"/>
        <w:numPr>
          <w:ilvl w:val="2"/>
          <w:numId w:val="2"/>
        </w:numPr>
      </w:pPr>
      <w:r w:rsidRPr="00DB7211">
        <w:t xml:space="preserve">Challenges to the application of the </w:t>
      </w:r>
      <w:proofErr w:type="spellStart"/>
      <w:r w:rsidRPr="00DB7211">
        <w:rPr>
          <w:i/>
          <w:iCs/>
        </w:rPr>
        <w:t>Gingles</w:t>
      </w:r>
      <w:proofErr w:type="spellEnd"/>
      <w:r w:rsidRPr="0078695B">
        <w:rPr>
          <w:rStyle w:val="FootnoteReference"/>
        </w:rPr>
        <w:footnoteReference w:id="108"/>
      </w:r>
      <w:r w:rsidRPr="00DB7211">
        <w:t xml:space="preserve"> prongs for identifying a violation of </w:t>
      </w:r>
      <w:r>
        <w:t>Section Two</w:t>
      </w:r>
      <w:r w:rsidRPr="00DB7211">
        <w:t xml:space="preserve"> </w:t>
      </w:r>
      <w:del w:id="234" w:author="Jonathan Cervas" w:date="2023-06-20T17:48:00Z">
        <w:r w:rsidRPr="00DB7211" w:rsidDel="00FD57D9">
          <w:delText>have been</w:delText>
        </w:r>
      </w:del>
      <w:ins w:id="235" w:author="Jonathan Cervas" w:date="2023-06-20T17:48:00Z">
        <w:r w:rsidR="00FD57D9">
          <w:t>were</w:t>
        </w:r>
      </w:ins>
      <w:r w:rsidRPr="00DB7211">
        <w:t xml:space="preserve"> </w:t>
      </w:r>
      <w:r w:rsidRPr="009A2739">
        <w:t>brought</w:t>
      </w:r>
      <w:r w:rsidRPr="00DB7211">
        <w:t>.</w:t>
      </w:r>
      <w:r w:rsidRPr="0078695B">
        <w:rPr>
          <w:rStyle w:val="FootnoteReference"/>
        </w:rPr>
        <w:footnoteReference w:id="109"/>
      </w:r>
      <w:r>
        <w:t xml:space="preserve">  </w:t>
      </w:r>
      <w:r w:rsidRPr="00DB7211">
        <w:t xml:space="preserve">The claim </w:t>
      </w:r>
      <w:ins w:id="236" w:author="Jonathan Cervas" w:date="2023-06-20T17:48:00Z">
        <w:r w:rsidR="00FD57D9">
          <w:t>wa</w:t>
        </w:r>
      </w:ins>
      <w:del w:id="237" w:author="Jonathan Cervas" w:date="2023-06-20T17:48:00Z">
        <w:r w:rsidRPr="00DB7211" w:rsidDel="00FD57D9">
          <w:delText>i</w:delText>
        </w:r>
      </w:del>
      <w:r w:rsidRPr="00DB7211">
        <w:t xml:space="preserve">s that Section </w:t>
      </w:r>
      <w:r>
        <w:t>Two</w:t>
      </w:r>
      <w:r w:rsidRPr="00DB7211">
        <w:t xml:space="preserve"> requires plaintiffs to show that a </w:t>
      </w:r>
      <w:r w:rsidRPr="00DB7211">
        <w:rPr>
          <w:i/>
          <w:iCs/>
        </w:rPr>
        <w:t>race-blind</w:t>
      </w:r>
      <w:r w:rsidRPr="00DB7211">
        <w:t xml:space="preserve"> map could have been drawn </w:t>
      </w:r>
      <w:r w:rsidRPr="009A2739">
        <w:t xml:space="preserve">(or perhaps even was </w:t>
      </w:r>
      <w:r w:rsidRPr="009A2739">
        <w:rPr>
          <w:i/>
          <w:iCs/>
        </w:rPr>
        <w:t>likely</w:t>
      </w:r>
      <w:r w:rsidRPr="009A2739">
        <w:t xml:space="preserve"> to be drawn)</w:t>
      </w:r>
      <w:r w:rsidRPr="00DB7211">
        <w:t xml:space="preserve"> </w:t>
      </w:r>
      <w:r>
        <w:t>to</w:t>
      </w:r>
      <w:r w:rsidRPr="009A2739">
        <w:t xml:space="preserve"> satisf</w:t>
      </w:r>
      <w:r>
        <w:t>y</w:t>
      </w:r>
      <w:r w:rsidRPr="009A2739">
        <w:t xml:space="preserve"> the first prong of the three-pronged </w:t>
      </w:r>
      <w:proofErr w:type="spellStart"/>
      <w:r w:rsidRPr="009A2739">
        <w:rPr>
          <w:i/>
          <w:iCs/>
        </w:rPr>
        <w:t>Gingles</w:t>
      </w:r>
      <w:proofErr w:type="spellEnd"/>
      <w:r w:rsidRPr="009A2739">
        <w:t xml:space="preserve"> test for a Section </w:t>
      </w:r>
      <w:r>
        <w:t>Two</w:t>
      </w:r>
      <w:r w:rsidRPr="009A2739">
        <w:t xml:space="preserve"> violation</w:t>
      </w:r>
      <w:r>
        <w:t>.</w:t>
      </w:r>
      <w:r w:rsidRPr="0078695B">
        <w:rPr>
          <w:rStyle w:val="FootnoteReference"/>
        </w:rPr>
        <w:footnoteReference w:id="110"/>
      </w:r>
      <w:r>
        <w:t xml:space="preserve">  </w:t>
      </w:r>
      <w:ins w:id="238" w:author="Jonathan Cervas" w:date="2023-06-18T19:13:00Z">
        <w:r w:rsidR="009410F0">
          <w:t xml:space="preserve">The court rejected these claims in June </w:t>
        </w:r>
      </w:ins>
      <w:ins w:id="239" w:author="Jonathan Cervas" w:date="2023-06-18T19:14:00Z">
        <w:r w:rsidR="009410F0">
          <w:t>2023.</w:t>
        </w:r>
        <w:r w:rsidR="009410F0">
          <w:rPr>
            <w:rStyle w:val="FootnoteReference"/>
          </w:rPr>
          <w:footnoteReference w:id="111"/>
        </w:r>
        <w:r w:rsidR="009410F0">
          <w:t xml:space="preserve"> </w:t>
        </w:r>
      </w:ins>
      <w:r>
        <w:t>The first prong</w:t>
      </w:r>
      <w:r w:rsidRPr="00DB7211">
        <w:t xml:space="preserve"> requires a district that is reasonably compact containing a majority of the protected minority to be drawn.</w:t>
      </w:r>
      <w:r w:rsidRPr="0078695B">
        <w:rPr>
          <w:rStyle w:val="FootnoteReference"/>
        </w:rPr>
        <w:footnoteReference w:id="112"/>
      </w:r>
      <w:r>
        <w:t xml:space="preserve">  Just as the elimination of Section Five had consequences for the feasibility of partisan gerrymandering, the elimination of Section Two as it is presently implemented, and its replacement by a requirement for entirely race-blind mapmaking, would make partisan gerrymandering much easier.</w:t>
      </w:r>
    </w:p>
    <w:p w14:paraId="772D36E8" w14:textId="4B445E46" w:rsidR="00414F57" w:rsidRPr="00915943" w:rsidRDefault="00414F57" w:rsidP="00212B79">
      <w:pPr>
        <w:pStyle w:val="BodyText"/>
        <w:numPr>
          <w:ilvl w:val="2"/>
          <w:numId w:val="2"/>
        </w:numPr>
      </w:pPr>
      <w:r w:rsidRPr="00EA44DD">
        <w:t xml:space="preserve">Beginning in the 2010 redistricting round and continuing </w:t>
      </w:r>
      <w:r>
        <w:t>throughout the decade</w:t>
      </w:r>
      <w:r w:rsidRPr="00F912CF">
        <w:t>,</w:t>
      </w:r>
      <w:r w:rsidRPr="00EA44DD">
        <w:t xml:space="preserve"> we saw dramatic changes in which </w:t>
      </w:r>
      <w:r w:rsidRPr="00FB52C4">
        <w:rPr>
          <w:u w:val="single"/>
        </w:rPr>
        <w:t>type</w:t>
      </w:r>
      <w:r w:rsidRPr="00EA44DD">
        <w:t xml:space="preserve"> of litigant was motivated to challenge redistricting plans under the </w:t>
      </w:r>
      <w:r w:rsidRPr="00DB7211">
        <w:rPr>
          <w:i/>
          <w:iCs/>
        </w:rPr>
        <w:t xml:space="preserve">Shaw </w:t>
      </w:r>
      <w:r w:rsidRPr="00EA44DD">
        <w:t>standard that race could not be used as the preponderant motive in how (all or some) of the district lines were drawn in a plan.</w:t>
      </w:r>
      <w:r w:rsidRPr="0078695B">
        <w:rPr>
          <w:rStyle w:val="FootnoteReference"/>
        </w:rPr>
        <w:footnoteReference w:id="113"/>
      </w:r>
      <w:r>
        <w:t xml:space="preserve">  </w:t>
      </w:r>
      <w:r w:rsidRPr="00EA44DD">
        <w:t xml:space="preserve">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w:t>
      </w:r>
      <w:r>
        <w:t>law</w:t>
      </w:r>
      <w:r w:rsidRPr="00EA44DD">
        <w:t>suits</w:t>
      </w:r>
      <w:r>
        <w:t xml:space="preserve">; </w:t>
      </w:r>
      <w:r w:rsidRPr="00EA44DD">
        <w:t>minorities, liberals, and Democrats opposed them</w:t>
      </w:r>
      <w:r>
        <w:t>.</w:t>
      </w:r>
      <w:r w:rsidRPr="0078695B">
        <w:rPr>
          <w:rStyle w:val="FootnoteReference"/>
        </w:rPr>
        <w:footnoteReference w:id="114"/>
      </w:r>
      <w:r>
        <w:t xml:space="preserve">  There have been major changes regarding the</w:t>
      </w:r>
      <w:r w:rsidRPr="00EA44DD">
        <w:t xml:space="preserve"> motivation for using a </w:t>
      </w:r>
      <w:r w:rsidRPr="003973DA">
        <w:rPr>
          <w:i/>
          <w:iCs/>
        </w:rPr>
        <w:t>Shaw</w:t>
      </w:r>
      <w:r w:rsidRPr="00EA44DD">
        <w:t xml:space="preserve">-based strategy to challenge a </w:t>
      </w:r>
      <w:r w:rsidRPr="00EA44DD">
        <w:lastRenderedPageBreak/>
        <w:t>map.</w:t>
      </w:r>
      <w:r>
        <w:t xml:space="preserve">  </w:t>
      </w:r>
      <w:r w:rsidRPr="00EA44DD">
        <w:t>On the one hand</w:t>
      </w:r>
      <w:r>
        <w:t>,</w:t>
      </w:r>
      <w:r w:rsidRPr="00EA44DD">
        <w:t xml:space="preserve"> there was a principled belief that the only legitimate kind of redistricting was race-neutral (if not race-blind).</w:t>
      </w:r>
      <w:r w:rsidRPr="0078695B">
        <w:rPr>
          <w:rStyle w:val="FootnoteReference"/>
        </w:rPr>
        <w:footnoteReference w:id="115"/>
      </w:r>
      <w:r>
        <w:t xml:space="preserve"> </w:t>
      </w:r>
      <w:r w:rsidRPr="00EA44DD">
        <w:t>On the other hand, there was the strategic consideration that if a racial gerrymander was undone then the partisan gerrymander that it helped to effectuate would be mitigated even if not eliminated.</w:t>
      </w:r>
      <w:r w:rsidRPr="0078695B">
        <w:rPr>
          <w:rStyle w:val="FootnoteReference"/>
        </w:rPr>
        <w:footnoteReference w:id="116"/>
      </w:r>
      <w:r>
        <w:t xml:space="preserve">  </w:t>
      </w:r>
      <w:r w:rsidRPr="00EA44DD">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Democrats.</w:t>
      </w:r>
      <w:commentRangeStart w:id="256"/>
      <w:commentRangeStart w:id="257"/>
      <w:r w:rsidRPr="0078695B">
        <w:rPr>
          <w:rStyle w:val="FootnoteReference"/>
        </w:rPr>
        <w:footnoteReference w:id="117"/>
      </w:r>
      <w:commentRangeEnd w:id="256"/>
      <w:r>
        <w:rPr>
          <w:rStyle w:val="CommentReference"/>
        </w:rPr>
        <w:commentReference w:id="256"/>
      </w:r>
      <w:commentRangeEnd w:id="257"/>
      <w:r w:rsidR="008B4EBD">
        <w:rPr>
          <w:rStyle w:val="CommentReference"/>
          <w:szCs w:val="20"/>
        </w:rPr>
        <w:commentReference w:id="257"/>
      </w:r>
      <w:r>
        <w:t xml:space="preserve">  </w:t>
      </w:r>
      <w:r w:rsidRPr="00EA44DD">
        <w:t>But as time wore on, southern states came under Republican control</w:t>
      </w:r>
      <w:r>
        <w:t xml:space="preserve"> </w:t>
      </w:r>
      <w:r w:rsidRPr="00EA44DD">
        <w:t xml:space="preserve">and so the incentives to bring a </w:t>
      </w:r>
      <w:r w:rsidRPr="003973DA">
        <w:rPr>
          <w:i/>
          <w:iCs/>
        </w:rPr>
        <w:t>Shaw</w:t>
      </w:r>
      <w:r w:rsidRPr="00EA44DD">
        <w:t>-type lawsuit flipped.</w:t>
      </w:r>
      <w:r w:rsidRPr="0078695B">
        <w:rPr>
          <w:rStyle w:val="FootnoteReference"/>
        </w:rPr>
        <w:footnoteReference w:id="118"/>
      </w:r>
      <w:r>
        <w:t xml:space="preserve">  </w:t>
      </w:r>
      <w:r w:rsidRPr="00EA44DD">
        <w:t>Now it</w:t>
      </w:r>
      <w:r>
        <w:t xml:space="preserve"> is</w:t>
      </w:r>
      <w:r w:rsidRPr="00EA44DD">
        <w:t xml:space="preserve"> Democrat</w:t>
      </w:r>
      <w:r>
        <w:t>ic and minority interest groups</w:t>
      </w:r>
      <w:r w:rsidRPr="00EA44DD">
        <w:t xml:space="preserve"> who are most likely to file a </w:t>
      </w:r>
      <w:r w:rsidRPr="003973DA">
        <w:rPr>
          <w:i/>
          <w:iCs/>
        </w:rPr>
        <w:t>Shaw</w:t>
      </w:r>
      <w:r w:rsidRPr="00EA44DD">
        <w:t xml:space="preserve">-type </w:t>
      </w:r>
      <w:r>
        <w:t xml:space="preserve">litigation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opportunity to elect candidates of its choice</w:t>
      </w:r>
      <w:r>
        <w:t>.</w:t>
      </w:r>
      <w:r w:rsidRPr="0078695B">
        <w:rPr>
          <w:rStyle w:val="FootnoteReference"/>
        </w:rPr>
        <w:footnoteReference w:id="119"/>
      </w:r>
      <w:r>
        <w:t xml:space="preserve">  </w:t>
      </w:r>
      <w:r w:rsidRPr="00EA44DD">
        <w:t xml:space="preserve">Thus, just as the end of Section </w:t>
      </w:r>
      <w:r>
        <w:t>Five</w:t>
      </w:r>
      <w:r w:rsidRPr="00EA44DD">
        <w:t xml:space="preserve"> preclearance affected the context within which districting occurs and changed the incentives/opportunities for partisan gerrymandering because race and partisanship are so closely intertwined, so too did the </w:t>
      </w:r>
      <w:r w:rsidRPr="00EA44DD">
        <w:lastRenderedPageBreak/>
        <w:t xml:space="preserve">changes in partisan control of state legislatures affect the incentives to bring </w:t>
      </w:r>
      <w:r w:rsidRPr="009E2F11">
        <w:rPr>
          <w:i/>
          <w:iCs/>
        </w:rPr>
        <w:t>Shaw</w:t>
      </w:r>
      <w:r w:rsidRPr="00EA44DD">
        <w:t>-type suits.</w:t>
      </w:r>
    </w:p>
    <w:p w14:paraId="1CA05B71" w14:textId="528D82B3" w:rsidR="00414F57" w:rsidRPr="009E2F11" w:rsidRDefault="00414F57" w:rsidP="00212B79">
      <w:pPr>
        <w:pStyle w:val="BodyText"/>
        <w:numPr>
          <w:ilvl w:val="2"/>
          <w:numId w:val="2"/>
        </w:numPr>
      </w:pPr>
      <w:bookmarkStart w:id="262" w:name="_Ref120529738"/>
      <w:r w:rsidRPr="0080356A">
        <w:t>In 2022, to a greater extent than in previous decades, there will be congressional plans used for elections that trial courts have found to be unconstitutional.</w:t>
      </w:r>
      <w:r w:rsidRPr="0078695B">
        <w:rPr>
          <w:rStyle w:val="FootnoteReference"/>
        </w:rPr>
        <w:footnoteReference w:id="120"/>
      </w:r>
      <w:r>
        <w:t xml:space="preserve">  </w:t>
      </w:r>
      <w:r w:rsidRPr="0080356A">
        <w:t xml:space="preserve">Delay in delivering census data, in conjunction with the end of Section </w:t>
      </w:r>
      <w:r>
        <w:t>Five</w:t>
      </w:r>
      <w:r w:rsidRPr="0080356A">
        <w:t xml:space="preserve"> preclearance and </w:t>
      </w:r>
      <w:r>
        <w:t>contemporaneously w</w:t>
      </w:r>
      <w:r w:rsidRPr="0080356A">
        <w:t xml:space="preserve">ith a new and unfortunate use of the </w:t>
      </w:r>
      <w:r w:rsidRPr="00DB7211">
        <w:rPr>
          <w:i/>
          <w:iCs/>
        </w:rPr>
        <w:t>Purcell Principle</w:t>
      </w:r>
      <w:r w:rsidRPr="00E020DF">
        <w:t>,</w:t>
      </w:r>
      <w:bookmarkStart w:id="263" w:name="_Ref122773338"/>
      <w:r w:rsidRPr="0078695B">
        <w:rPr>
          <w:rStyle w:val="FootnoteReference"/>
        </w:rPr>
        <w:footnoteReference w:id="121"/>
      </w:r>
      <w:bookmarkEnd w:id="263"/>
      <w:r w:rsidRPr="00DB7211">
        <w:rPr>
          <w:i/>
          <w:iCs/>
        </w:rPr>
        <w:t xml:space="preserve"> </w:t>
      </w:r>
      <w:r w:rsidRPr="0080356A">
        <w:t>made it possible for some maps found by trial courts to be unconstitutional to still be permitted for use for just the 2022 election.</w:t>
      </w:r>
      <w:commentRangeStart w:id="264"/>
      <w:commentRangeStart w:id="265"/>
      <w:r w:rsidRPr="0078695B">
        <w:rPr>
          <w:rStyle w:val="FootnoteReference"/>
        </w:rPr>
        <w:footnoteReference w:id="122"/>
      </w:r>
      <w:commentRangeEnd w:id="264"/>
      <w:r>
        <w:rPr>
          <w:rStyle w:val="CommentReference"/>
        </w:rPr>
        <w:commentReference w:id="264"/>
      </w:r>
      <w:commentRangeEnd w:id="265"/>
      <w:r w:rsidR="00360BB1">
        <w:rPr>
          <w:rStyle w:val="CommentReference"/>
          <w:szCs w:val="20"/>
        </w:rPr>
        <w:commentReference w:id="265"/>
      </w:r>
      <w:r>
        <w:t xml:space="preserve">  </w:t>
      </w:r>
      <w:r w:rsidRPr="00DB7211">
        <w:rPr>
          <w:i/>
          <w:iCs/>
        </w:rPr>
        <w:t>Purcell</w:t>
      </w:r>
      <w:r w:rsidRPr="0080356A">
        <w:t xml:space="preserve"> demands “that courts should not issue orders which change election rules in the period just before the election</w:t>
      </w:r>
      <w:r w:rsidRPr="00EF5841">
        <w:t>.”</w:t>
      </w:r>
      <w:r w:rsidRPr="0078695B">
        <w:rPr>
          <w:rStyle w:val="FootnoteReference"/>
        </w:rPr>
        <w:footnoteReference w:id="123"/>
      </w:r>
      <w:r>
        <w:t xml:space="preserve">  </w:t>
      </w:r>
      <w:r w:rsidRPr="0080356A">
        <w:t>Moreover, the delay</w:t>
      </w:r>
      <w:r>
        <w:t xml:space="preserve"> in</w:t>
      </w:r>
      <w:r w:rsidRPr="0080356A">
        <w:t xml:space="preserve"> the creation of plans</w:t>
      </w:r>
      <w:r>
        <w:t xml:space="preserve"> prohibited</w:t>
      </w:r>
      <w:r w:rsidRPr="0080356A">
        <w:t xml:space="preserve"> courts</w:t>
      </w:r>
      <w:r>
        <w:t xml:space="preserve"> from holding trial on the merits and issue rulings in time for the first election held under the new plan.</w:t>
      </w:r>
      <w:r w:rsidRPr="0078695B">
        <w:rPr>
          <w:rStyle w:val="FootnoteReference"/>
        </w:rPr>
        <w:footnoteReference w:id="124"/>
      </w:r>
      <w:r>
        <w:t xml:space="preserve"> 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w:t>
      </w:r>
      <w:r w:rsidRPr="0080356A">
        <w:lastRenderedPageBreak/>
        <w:t xml:space="preserve">court deemed it necessary to give the legislature </w:t>
      </w:r>
      <w:r w:rsidRPr="00EF5841">
        <w:t>“</w:t>
      </w:r>
      <w:r w:rsidRPr="0080356A">
        <w:t>another bite at the apple</w:t>
      </w:r>
      <w:r w:rsidRPr="00EF5841">
        <w:t>.</w:t>
      </w:r>
      <w:r w:rsidRPr="009E6B1A">
        <w:t>”</w:t>
      </w:r>
      <w:r>
        <w:t xml:space="preserve">  Alternatively,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 xml:space="preserve">unconstitutional on </w:t>
      </w:r>
      <w:r>
        <w:t>Section Two</w:t>
      </w:r>
      <w:r w:rsidRPr="000164FB">
        <w:t xml:space="preserve"> grounds</w:t>
      </w:r>
      <w:r>
        <w:t xml:space="preserve"> </w:t>
      </w:r>
      <w:r w:rsidRPr="0080356A">
        <w:t>and ordered both states to draw new plans that comply with the Voting Rights Act</w:t>
      </w:r>
      <w:commentRangeStart w:id="274"/>
      <w:ins w:id="275" w:author="Jonathan Cervas" w:date="2023-06-22T10:32:00Z">
        <w:r w:rsidR="001B69B3">
          <w:rPr>
            <w:rStyle w:val="FootnoteReference"/>
          </w:rPr>
          <w:footnoteReference w:id="125"/>
        </w:r>
      </w:ins>
      <w:commentRangeEnd w:id="274"/>
      <w:ins w:id="279" w:author="Jonathan Cervas" w:date="2023-06-22T10:35:00Z">
        <w:r w:rsidR="00360BB1">
          <w:rPr>
            <w:rStyle w:val="CommentReference"/>
            <w:szCs w:val="20"/>
          </w:rPr>
          <w:commentReference w:id="274"/>
        </w:r>
      </w:ins>
      <w:r w:rsidRPr="0080356A">
        <w:t>, but the U</w:t>
      </w:r>
      <w:r>
        <w:t>.</w:t>
      </w:r>
      <w:r w:rsidRPr="0080356A">
        <w:t>S</w:t>
      </w:r>
      <w:r>
        <w:t>.</w:t>
      </w:r>
      <w:r w:rsidRPr="0080356A">
        <w:t xml:space="preserve"> Supreme Court has stayed those rulings based on the </w:t>
      </w:r>
      <w:r w:rsidRPr="00DB7211">
        <w:rPr>
          <w:i/>
          <w:iCs/>
        </w:rPr>
        <w:t>Purcell</w:t>
      </w:r>
      <w:r w:rsidRPr="0080356A">
        <w:t xml:space="preserve"> principle.</w:t>
      </w:r>
      <w:r w:rsidRPr="0078695B">
        <w:rPr>
          <w:rStyle w:val="FootnoteReference"/>
        </w:rPr>
        <w:footnoteReference w:id="126"/>
      </w:r>
      <w:bookmarkEnd w:id="262"/>
    </w:p>
    <w:p w14:paraId="4EE0CCF3" w14:textId="004B0C65" w:rsidR="00414F57" w:rsidRPr="009E2F11" w:rsidRDefault="00414F57" w:rsidP="00212B79">
      <w:pPr>
        <w:pStyle w:val="BodyText"/>
        <w:numPr>
          <w:ilvl w:val="2"/>
          <w:numId w:val="14"/>
        </w:numPr>
      </w:pPr>
      <w:r w:rsidRPr="00EA44DD">
        <w:t>Several new metrics</w:t>
      </w:r>
      <w:r w:rsidRPr="00276322">
        <w:t xml:space="preserve"> </w:t>
      </w:r>
      <w:r w:rsidRPr="00EA44DD">
        <w:t xml:space="preserve">for assessing partisan gerrymandering were introduced in the past decade, including the </w:t>
      </w:r>
      <w:r w:rsidRPr="003D4869">
        <w:rPr>
          <w:i/>
          <w:iCs/>
        </w:rPr>
        <w:t>eff</w:t>
      </w:r>
      <w:r w:rsidRPr="009E2F11">
        <w:rPr>
          <w:i/>
          <w:iCs/>
        </w:rPr>
        <w:t>iciency gap</w:t>
      </w:r>
      <w:r w:rsidRPr="00EA44DD">
        <w:t xml:space="preserve"> and the </w:t>
      </w:r>
      <w:r w:rsidRPr="009E2F11">
        <w:rPr>
          <w:i/>
          <w:iCs/>
        </w:rPr>
        <w:t>declination</w:t>
      </w:r>
      <w:r w:rsidRPr="00EA44DD">
        <w:t>.</w:t>
      </w:r>
      <w:r w:rsidRPr="0078695B">
        <w:rPr>
          <w:rStyle w:val="FootnoteReference"/>
        </w:rPr>
        <w:footnoteReference w:id="127"/>
      </w:r>
      <w:r>
        <w:t xml:space="preserve">  T</w:t>
      </w:r>
      <w:r w:rsidRPr="00EA44DD">
        <w:t>he degree of concordance among alternatives m</w:t>
      </w:r>
      <w:r>
        <w:t>e</w:t>
      </w:r>
      <w:r w:rsidRPr="00EA44DD">
        <w:t>trics, such as the two mentioned above</w:t>
      </w:r>
      <w:r>
        <w:t>,</w:t>
      </w:r>
      <w:r w:rsidRPr="00EA44DD">
        <w:t xml:space="preserve"> with long</w:t>
      </w:r>
      <w:r w:rsidRPr="00F912CF">
        <w:t>-</w:t>
      </w:r>
      <w:r w:rsidRPr="00EA44DD">
        <w:t xml:space="preserve">established metrics such as </w:t>
      </w:r>
      <w:r w:rsidRPr="002474A2">
        <w:rPr>
          <w:i/>
        </w:rPr>
        <w:t>partisan bias</w:t>
      </w:r>
      <w:r w:rsidRPr="00287EE1">
        <w:t xml:space="preserve"> </w:t>
      </w:r>
      <w:r w:rsidRPr="00EA44DD">
        <w:t xml:space="preserve">(in vote share or in seat share) and the </w:t>
      </w:r>
      <w:r w:rsidRPr="009E2F11">
        <w:rPr>
          <w:i/>
          <w:iCs/>
        </w:rPr>
        <w:t>mean minus median gap</w:t>
      </w:r>
      <w:r w:rsidRPr="00EA44DD">
        <w:t xml:space="preserve"> were investigated to look at the question of whether (at least for states that were reasonably competitive) it was plausible to expect a high concordance of the various measures.</w:t>
      </w:r>
      <w:r w:rsidRPr="0078695B">
        <w:rPr>
          <w:rStyle w:val="FootnoteReference"/>
        </w:rPr>
        <w:footnoteReference w:id="128"/>
      </w:r>
      <w:r>
        <w:t xml:space="preserve">  In states </w:t>
      </w:r>
      <w:r>
        <w:lastRenderedPageBreak/>
        <w:t>that are competitive, the measures do seem to have considerable overlap in whether they evaluate plans as partisan gerrymanders.</w:t>
      </w:r>
      <w:commentRangeStart w:id="288"/>
      <w:r w:rsidRPr="0078695B">
        <w:rPr>
          <w:rStyle w:val="FootnoteReference"/>
        </w:rPr>
        <w:footnoteReference w:id="129"/>
      </w:r>
      <w:commentRangeEnd w:id="288"/>
      <w:r>
        <w:rPr>
          <w:rStyle w:val="CommentReference"/>
        </w:rPr>
        <w:commentReference w:id="288"/>
      </w:r>
    </w:p>
    <w:p w14:paraId="21236A62" w14:textId="3B86E62E" w:rsidR="00414F57" w:rsidRPr="009E2F11" w:rsidRDefault="00414F57" w:rsidP="00212B79">
      <w:pPr>
        <w:pStyle w:val="BodyText"/>
        <w:numPr>
          <w:ilvl w:val="2"/>
          <w:numId w:val="15"/>
        </w:numPr>
      </w:pPr>
      <w:r>
        <w:t>Mapping t</w:t>
      </w:r>
      <w:r w:rsidRPr="00503617">
        <w:t>ools</w:t>
      </w:r>
      <w:r>
        <w:t xml:space="preserve"> </w:t>
      </w:r>
      <w:r w:rsidRPr="00503617">
        <w:t>such as Dave’s Redistricting</w:t>
      </w:r>
      <w:r>
        <w:t xml:space="preserve"> </w:t>
      </w:r>
      <w:r w:rsidRPr="00503617">
        <w:t xml:space="preserve">App and </w:t>
      </w:r>
      <w:proofErr w:type="spellStart"/>
      <w:r w:rsidRPr="00503617">
        <w:t>PlanScore</w:t>
      </w:r>
      <w:proofErr w:type="spellEnd"/>
      <w:r>
        <w:t xml:space="preserve"> allowed the public to participate in new ways in a process from which they had previously been excluded.  </w:t>
      </w:r>
      <w:r w:rsidRPr="00287EE1">
        <w:rPr>
          <w:bCs/>
        </w:rPr>
        <w:t>These tools included data on past election results and demography.</w:t>
      </w:r>
      <w:r w:rsidRPr="0078695B">
        <w:rPr>
          <w:rStyle w:val="FootnoteReference"/>
        </w:rPr>
        <w:footnoteReference w:id="130"/>
      </w:r>
      <w:r w:rsidRPr="00287EE1">
        <w:rPr>
          <w:bCs/>
        </w:rPr>
        <w:t xml:space="preserve"> </w:t>
      </w:r>
      <w:r>
        <w:rPr>
          <w:bCs/>
        </w:rPr>
        <w:t xml:space="preserve"> </w:t>
      </w:r>
      <w:r w:rsidRPr="00287EE1">
        <w:rPr>
          <w:bCs/>
        </w:rPr>
        <w:t>Members of the public could use them to create plans and submit them to a commission or legislature</w:t>
      </w:r>
      <w:r>
        <w:t>.</w:t>
      </w:r>
      <w:r w:rsidRPr="0078695B">
        <w:rPr>
          <w:rStyle w:val="FootnoteReference"/>
        </w:rPr>
        <w:footnoteReference w:id="131"/>
      </w:r>
      <w:r>
        <w:t xml:space="preserve">  Perhaps even more importantly, such tools </w:t>
      </w:r>
      <w:r w:rsidRPr="00503617">
        <w:t>enabled both line drawers and reformers to quickly assess the degree to which a plan deviated from neutrality</w:t>
      </w:r>
      <w:r>
        <w:t>,</w:t>
      </w:r>
      <w:r w:rsidRPr="00503617">
        <w:t xml:space="preserve"> </w:t>
      </w:r>
      <w:r>
        <w:t>with respect to a large set of metrics, and compare legislative maps to alternatives.</w:t>
      </w:r>
      <w:r w:rsidRPr="0078695B">
        <w:rPr>
          <w:rStyle w:val="FootnoteReference"/>
        </w:rPr>
        <w:footnoteReference w:id="132"/>
      </w:r>
      <w:r>
        <w:t xml:space="preserve"> </w:t>
      </w:r>
    </w:p>
    <w:p w14:paraId="66B4FEDA" w14:textId="31B33185" w:rsidR="00414F57" w:rsidRPr="00DF05DB" w:rsidRDefault="00414F57" w:rsidP="00212B79">
      <w:pPr>
        <w:pStyle w:val="BodyText"/>
        <w:numPr>
          <w:ilvl w:val="2"/>
          <w:numId w:val="15"/>
        </w:num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were used by experts to create ensembles (a set of feasible plans satisfying pre-designated criteria) that</w:t>
      </w:r>
      <w:r w:rsidRPr="00503617">
        <w:t xml:space="preserve"> could inform mapmakers (and courts) about the range of feasible outcomes under the specified </w:t>
      </w:r>
      <w:r w:rsidRPr="007074EC">
        <w:t>assumptions and could be used to identify</w:t>
      </w:r>
      <w:r w:rsidRPr="00503617">
        <w:t xml:space="preserve"> outliers or plans that came closest to perfect neutrality vis-</w:t>
      </w:r>
      <w:r w:rsidRPr="00623982">
        <w:t>à</w:t>
      </w:r>
      <w:r w:rsidRPr="00503617">
        <w:t>-vis any given metric</w:t>
      </w:r>
      <w:r>
        <w:t>.</w:t>
      </w:r>
      <w:r w:rsidRPr="0078695B">
        <w:rPr>
          <w:rStyle w:val="FootnoteReference"/>
        </w:rPr>
        <w:footnoteReference w:id="133"/>
      </w:r>
    </w:p>
    <w:p w14:paraId="6E2CD813" w14:textId="131267BC" w:rsidR="00F50016" w:rsidRDefault="00414F57" w:rsidP="00212B79">
      <w:pPr>
        <w:pStyle w:val="BodyText"/>
      </w:pPr>
      <w:r>
        <w:lastRenderedPageBreak/>
        <w:t xml:space="preserve">Above, we described some of the important ways in which redistricting in the 2020s round differed from redistricting in earlier rounds. </w:t>
      </w:r>
      <w:r w:rsidRPr="00F912CF">
        <w:t xml:space="preserve">In </w:t>
      </w:r>
      <w:r w:rsidRPr="00FB61B1">
        <w:fldChar w:fldCharType="begin"/>
      </w:r>
      <w:r w:rsidRPr="00F912CF">
        <w:instrText xml:space="preserve"> REF _Ref123137422 \h  \* MERGEFORMAT </w:instrText>
      </w:r>
      <w:r w:rsidRPr="00FB61B1">
        <w:fldChar w:fldCharType="separate"/>
      </w:r>
      <w:r>
        <w:t xml:space="preserve">Table </w:t>
      </w:r>
      <w:r>
        <w:rPr>
          <w:noProof/>
        </w:rPr>
        <w:t>1</w:t>
      </w:r>
      <w:r w:rsidRPr="00FB61B1">
        <w:fldChar w:fldCharType="end"/>
      </w:r>
      <w:r w:rsidRPr="00F912CF">
        <w:t>,</w:t>
      </w:r>
      <w:r>
        <w:t xml:space="preserve"> we summarize a variety of aspects of redistricting circa 2020 that impact the likelihood of partisan gerrymandering and the likelihood that state courts will address partisan gerrymandering issues in the state, if those exist.  </w:t>
      </w:r>
      <w:r>
        <w:fldChar w:fldCharType="begin"/>
      </w:r>
      <w:r>
        <w:instrText xml:space="preserve"> REF _Ref123137422 \h  \* MERGEFORMAT </w:instrText>
      </w:r>
      <w:r>
        <w:fldChar w:fldCharType="separate"/>
      </w:r>
      <w:r>
        <w:t xml:space="preserve">Table </w:t>
      </w:r>
      <w:r>
        <w:rPr>
          <w:noProof/>
        </w:rPr>
        <w:t>1</w:t>
      </w:r>
      <w:r>
        <w:fldChar w:fldCharType="end"/>
      </w:r>
      <w:r>
        <w:t xml:space="preserve"> </w:t>
      </w:r>
      <w:r w:rsidRPr="007074EC">
        <w:t xml:space="preserve">shows </w:t>
      </w:r>
      <w:r w:rsidRPr="007074EC">
        <w:rPr>
          <w:iCs/>
        </w:rPr>
        <w:t>which entity</w:t>
      </w:r>
      <w:r w:rsidRPr="002474A2">
        <w:rPr>
          <w:iCs/>
        </w:rPr>
        <w:t xml:space="preserve"> has </w:t>
      </w:r>
      <w:r w:rsidRPr="007074EC">
        <w:rPr>
          <w:iCs/>
        </w:rPr>
        <w:t>i</w:t>
      </w:r>
      <w:r w:rsidRPr="002474A2">
        <w:rPr>
          <w:iCs/>
        </w:rPr>
        <w:t xml:space="preserve">nitial </w:t>
      </w:r>
      <w:r w:rsidRPr="007074EC">
        <w:rPr>
          <w:iCs/>
        </w:rPr>
        <w:t>c</w:t>
      </w:r>
      <w:r w:rsidRPr="002474A2">
        <w:rPr>
          <w:iCs/>
        </w:rPr>
        <w:t>ontrol over redistricting;</w:t>
      </w:r>
      <w:r w:rsidRPr="0078695B">
        <w:rPr>
          <w:rStyle w:val="FootnoteReference"/>
        </w:rPr>
        <w:footnoteReference w:id="134"/>
      </w:r>
      <w:r w:rsidRPr="002474A2">
        <w:rPr>
          <w:iCs/>
        </w:rPr>
        <w:t xml:space="preserve"> </w:t>
      </w:r>
      <w:r w:rsidRPr="007074EC">
        <w:rPr>
          <w:iCs/>
        </w:rPr>
        <w:t>wh</w:t>
      </w:r>
      <w:r>
        <w:rPr>
          <w:iCs/>
        </w:rPr>
        <w:t>ich</w:t>
      </w:r>
      <w:r w:rsidRPr="007074EC">
        <w:rPr>
          <w:iCs/>
        </w:rPr>
        <w:t xml:space="preserve"> party</w:t>
      </w:r>
      <w:r>
        <w:rPr>
          <w:iCs/>
        </w:rPr>
        <w:t xml:space="preserve"> is in</w:t>
      </w:r>
      <w:r w:rsidRPr="007074EC">
        <w:rPr>
          <w:iCs/>
        </w:rPr>
        <w:t xml:space="preserve"> control in the state; which entity </w:t>
      </w:r>
      <w:r w:rsidRPr="002474A2">
        <w:rPr>
          <w:iCs/>
        </w:rPr>
        <w:t xml:space="preserve">drew the </w:t>
      </w:r>
      <w:r w:rsidRPr="007074EC">
        <w:rPr>
          <w:iCs/>
        </w:rPr>
        <w:t>congressional m</w:t>
      </w:r>
      <w:r w:rsidRPr="002474A2">
        <w:rPr>
          <w:iCs/>
        </w:rPr>
        <w:t xml:space="preserve">ap </w:t>
      </w:r>
      <w:r w:rsidRPr="007074EC">
        <w:rPr>
          <w:iCs/>
        </w:rPr>
        <w:t>u</w:t>
      </w:r>
      <w:r w:rsidRPr="002474A2">
        <w:rPr>
          <w:iCs/>
        </w:rPr>
        <w:t>sed in 2022</w:t>
      </w:r>
      <w:r w:rsidRPr="007074EC">
        <w:rPr>
          <w:iCs/>
        </w:rPr>
        <w:t>; and what</w:t>
      </w:r>
      <w:r w:rsidRPr="002474A2">
        <w:rPr>
          <w:iCs/>
        </w:rPr>
        <w:t xml:space="preserve"> does the </w:t>
      </w:r>
      <w:r w:rsidRPr="007074EC">
        <w:rPr>
          <w:iCs/>
        </w:rPr>
        <w:t>s</w:t>
      </w:r>
      <w:r w:rsidRPr="002474A2">
        <w:rPr>
          <w:iCs/>
        </w:rPr>
        <w:t xml:space="preserve">tate </w:t>
      </w:r>
      <w:r w:rsidRPr="007074EC">
        <w:rPr>
          <w:iCs/>
        </w:rPr>
        <w:t>c</w:t>
      </w:r>
      <w:r w:rsidRPr="002474A2">
        <w:rPr>
          <w:iCs/>
        </w:rPr>
        <w:t xml:space="preserve">onstitution </w:t>
      </w:r>
      <w:r w:rsidRPr="007074EC">
        <w:rPr>
          <w:iCs/>
        </w:rPr>
        <w:t>o</w:t>
      </w:r>
      <w:r w:rsidRPr="002474A2">
        <w:rPr>
          <w:iCs/>
        </w:rPr>
        <w:t xml:space="preserve">ffer vis-à-vis </w:t>
      </w:r>
      <w:r w:rsidRPr="007074EC">
        <w:rPr>
          <w:iCs/>
        </w:rPr>
        <w:t>direct</w:t>
      </w:r>
      <w:r w:rsidRPr="002474A2">
        <w:rPr>
          <w:iCs/>
        </w:rPr>
        <w:t xml:space="preserve"> </w:t>
      </w:r>
      <w:r w:rsidRPr="007074EC">
        <w:rPr>
          <w:iCs/>
        </w:rPr>
        <w:t xml:space="preserve">language </w:t>
      </w:r>
      <w:r w:rsidRPr="002474A2">
        <w:rPr>
          <w:iCs/>
        </w:rPr>
        <w:t xml:space="preserve">or </w:t>
      </w:r>
      <w:r w:rsidRPr="007074EC">
        <w:rPr>
          <w:iCs/>
        </w:rPr>
        <w:t>language with the p</w:t>
      </w:r>
      <w:r w:rsidRPr="002474A2">
        <w:rPr>
          <w:iCs/>
        </w:rPr>
        <w:t xml:space="preserve">otential </w:t>
      </w:r>
      <w:r w:rsidRPr="007074EC">
        <w:rPr>
          <w:iCs/>
        </w:rPr>
        <w:t>to be used to p</w:t>
      </w:r>
      <w:r w:rsidRPr="002474A2">
        <w:rPr>
          <w:iCs/>
        </w:rPr>
        <w:t>rohibit</w:t>
      </w:r>
      <w:r w:rsidRPr="007074EC">
        <w:rPr>
          <w:iCs/>
        </w:rPr>
        <w:t>/limit</w:t>
      </w:r>
      <w:r w:rsidRPr="002474A2">
        <w:rPr>
          <w:iCs/>
        </w:rPr>
        <w:t xml:space="preserve"> </w:t>
      </w:r>
      <w:r w:rsidRPr="007074EC">
        <w:rPr>
          <w:iCs/>
        </w:rPr>
        <w:t>g</w:t>
      </w:r>
      <w:r w:rsidRPr="002474A2">
        <w:rPr>
          <w:iCs/>
        </w:rPr>
        <w:t>errymandering</w:t>
      </w:r>
      <w:r w:rsidRPr="007074EC">
        <w:rPr>
          <w:iCs/>
        </w:rPr>
        <w:t>.</w:t>
      </w:r>
      <w:r>
        <w:t xml:space="preserve"> </w:t>
      </w:r>
    </w:p>
    <w:p w14:paraId="5A3103C6" w14:textId="77777777" w:rsidR="00F8234C" w:rsidRDefault="00F8234C" w:rsidP="00212B79">
      <w:pPr>
        <w:pStyle w:val="BodyText"/>
      </w:pPr>
    </w:p>
    <w:p w14:paraId="58B51ABE" w14:textId="77777777" w:rsidR="00414F57" w:rsidRPr="00F50016" w:rsidRDefault="00414F57" w:rsidP="008B4EBD">
      <w:pPr>
        <w:pStyle w:val="BodyText"/>
        <w:ind w:left="-450" w:right="-120" w:firstLine="0"/>
        <w:jc w:val="left"/>
        <w:rPr>
          <w:b/>
          <w:bCs/>
        </w:rPr>
      </w:pPr>
      <w:bookmarkStart w:id="290" w:name="_Ref123137422"/>
      <w:r w:rsidRPr="008B4EBD">
        <w:rPr>
          <w:b/>
          <w:bCs/>
          <w:i/>
          <w:iCs/>
        </w:rPr>
        <w:t xml:space="preserve">Table </w:t>
      </w:r>
      <w:r w:rsidRPr="008B4EBD">
        <w:rPr>
          <w:b/>
          <w:bCs/>
          <w:i/>
          <w:iCs/>
        </w:rPr>
        <w:fldChar w:fldCharType="begin"/>
      </w:r>
      <w:r w:rsidRPr="008B4EBD">
        <w:rPr>
          <w:b/>
          <w:bCs/>
          <w:i/>
          <w:iCs/>
        </w:rPr>
        <w:instrText xml:space="preserve"> SEQ Table \* ARABIC </w:instrText>
      </w:r>
      <w:r w:rsidRPr="008B4EBD">
        <w:rPr>
          <w:b/>
          <w:bCs/>
          <w:i/>
          <w:iCs/>
        </w:rPr>
        <w:fldChar w:fldCharType="separate"/>
      </w:r>
      <w:r w:rsidRPr="008B4EBD">
        <w:rPr>
          <w:b/>
          <w:bCs/>
          <w:i/>
          <w:iCs/>
          <w:noProof/>
        </w:rPr>
        <w:t>1</w:t>
      </w:r>
      <w:r w:rsidRPr="008B4EBD">
        <w:rPr>
          <w:b/>
          <w:bCs/>
          <w:i/>
          <w:iCs/>
          <w:noProof/>
        </w:rPr>
        <w:fldChar w:fldCharType="end"/>
      </w:r>
      <w:bookmarkEnd w:id="290"/>
      <w:r w:rsidRPr="008B4EBD">
        <w:rPr>
          <w:b/>
          <w:bCs/>
        </w:rPr>
        <w:t>. Information on Party Composition of Legislatures, Initial Districting Authority, Actual Author of the 2022 Map, and State Constitutional Criteria for Redistricting</w:t>
      </w:r>
      <w:bookmarkStart w:id="291" w:name="_Ref138329809"/>
      <w:r w:rsidRPr="008B4EBD">
        <w:rPr>
          <w:rStyle w:val="FootnoteReference"/>
          <w:b/>
          <w:bCs/>
        </w:rPr>
        <w:footnoteReference w:id="135"/>
      </w:r>
      <w:bookmarkEnd w:id="291"/>
    </w:p>
    <w:tbl>
      <w:tblPr>
        <w:tblW w:w="56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170"/>
        <w:gridCol w:w="720"/>
        <w:gridCol w:w="1080"/>
        <w:gridCol w:w="900"/>
        <w:gridCol w:w="900"/>
        <w:gridCol w:w="990"/>
        <w:gridCol w:w="910"/>
      </w:tblGrid>
      <w:tr w:rsidR="00C93FE1" w:rsidRPr="00C93FE1" w14:paraId="6F5B0188" w14:textId="77777777" w:rsidTr="008B4EBD">
        <w:trPr>
          <w:jc w:val="center"/>
        </w:trPr>
        <w:tc>
          <w:tcPr>
            <w:tcW w:w="1345" w:type="dxa"/>
            <w:shd w:val="clear" w:color="auto" w:fill="auto"/>
            <w:noWrap/>
            <w:vAlign w:val="center"/>
            <w:hideMark/>
          </w:tcPr>
          <w:p w14:paraId="36CFC6F6" w14:textId="75A60731" w:rsidR="00C93FE1" w:rsidRPr="00C133C9" w:rsidRDefault="00C93FE1" w:rsidP="008B4EBD">
            <w:pPr>
              <w:rPr>
                <w:b/>
                <w:bCs/>
                <w:sz w:val="19"/>
                <w:szCs w:val="19"/>
              </w:rPr>
            </w:pPr>
            <w:r w:rsidRPr="00C133C9">
              <w:rPr>
                <w:b/>
                <w:bCs/>
                <w:sz w:val="19"/>
                <w:szCs w:val="19"/>
              </w:rPr>
              <w:t>State</w:t>
            </w:r>
          </w:p>
        </w:tc>
        <w:tc>
          <w:tcPr>
            <w:tcW w:w="1170" w:type="dxa"/>
            <w:shd w:val="clear" w:color="auto" w:fill="auto"/>
            <w:noWrap/>
            <w:vAlign w:val="center"/>
            <w:hideMark/>
          </w:tcPr>
          <w:p w14:paraId="5C10A056" w14:textId="54FA1A66" w:rsidR="00C93FE1" w:rsidRPr="00C133C9" w:rsidRDefault="00C93FE1" w:rsidP="00C93FE1">
            <w:pPr>
              <w:jc w:val="center"/>
              <w:rPr>
                <w:b/>
                <w:bCs/>
                <w:sz w:val="19"/>
                <w:szCs w:val="19"/>
              </w:rPr>
            </w:pPr>
            <w:r w:rsidRPr="00C133C9">
              <w:rPr>
                <w:b/>
                <w:bCs/>
                <w:sz w:val="19"/>
                <w:szCs w:val="19"/>
              </w:rPr>
              <w:t>Population</w:t>
            </w:r>
          </w:p>
        </w:tc>
        <w:tc>
          <w:tcPr>
            <w:tcW w:w="720" w:type="dxa"/>
            <w:shd w:val="clear" w:color="auto" w:fill="auto"/>
            <w:noWrap/>
            <w:vAlign w:val="center"/>
            <w:hideMark/>
          </w:tcPr>
          <w:p w14:paraId="04E3DC56" w14:textId="4F5B7F01" w:rsidR="00C93FE1" w:rsidRPr="00C133C9" w:rsidRDefault="00C93FE1" w:rsidP="00C93FE1">
            <w:pPr>
              <w:jc w:val="center"/>
              <w:rPr>
                <w:b/>
                <w:bCs/>
                <w:sz w:val="19"/>
                <w:szCs w:val="19"/>
              </w:rPr>
            </w:pPr>
            <w:r w:rsidRPr="00C133C9">
              <w:rPr>
                <w:b/>
                <w:bCs/>
                <w:sz w:val="19"/>
                <w:szCs w:val="19"/>
              </w:rPr>
              <w:t>Seats</w:t>
            </w:r>
          </w:p>
        </w:tc>
        <w:tc>
          <w:tcPr>
            <w:tcW w:w="1080" w:type="dxa"/>
            <w:shd w:val="clear" w:color="auto" w:fill="auto"/>
            <w:noWrap/>
            <w:vAlign w:val="center"/>
            <w:hideMark/>
          </w:tcPr>
          <w:p w14:paraId="34888198" w14:textId="012657F7" w:rsidR="00C93FE1" w:rsidRPr="00C133C9" w:rsidRDefault="00C93FE1" w:rsidP="00C93FE1">
            <w:pPr>
              <w:jc w:val="center"/>
              <w:rPr>
                <w:b/>
                <w:bCs/>
                <w:sz w:val="19"/>
                <w:szCs w:val="19"/>
              </w:rPr>
            </w:pPr>
            <w:r w:rsidRPr="00C133C9">
              <w:rPr>
                <w:b/>
                <w:bCs/>
                <w:sz w:val="19"/>
                <w:szCs w:val="19"/>
              </w:rPr>
              <w:t>Primary Authority for Drawing the Lines</w:t>
            </w:r>
          </w:p>
        </w:tc>
        <w:tc>
          <w:tcPr>
            <w:tcW w:w="900" w:type="dxa"/>
            <w:shd w:val="clear" w:color="auto" w:fill="auto"/>
            <w:noWrap/>
            <w:vAlign w:val="center"/>
            <w:hideMark/>
          </w:tcPr>
          <w:p w14:paraId="73E08074" w14:textId="7E4528EC" w:rsidR="00C93FE1" w:rsidRPr="00C133C9" w:rsidRDefault="00C93FE1" w:rsidP="00C93FE1">
            <w:pPr>
              <w:jc w:val="center"/>
              <w:rPr>
                <w:b/>
                <w:bCs/>
                <w:sz w:val="19"/>
                <w:szCs w:val="19"/>
              </w:rPr>
            </w:pPr>
            <w:r w:rsidRPr="00C133C9">
              <w:rPr>
                <w:b/>
                <w:bCs/>
                <w:sz w:val="19"/>
                <w:szCs w:val="19"/>
              </w:rPr>
              <w:t>Party Control</w:t>
            </w:r>
          </w:p>
        </w:tc>
        <w:tc>
          <w:tcPr>
            <w:tcW w:w="900" w:type="dxa"/>
            <w:shd w:val="clear" w:color="auto" w:fill="auto"/>
            <w:vAlign w:val="center"/>
          </w:tcPr>
          <w:p w14:paraId="06ACD2FD" w14:textId="34EC13EF" w:rsidR="00C93FE1" w:rsidRPr="00C133C9" w:rsidRDefault="00C93FE1" w:rsidP="00C93FE1">
            <w:pPr>
              <w:jc w:val="center"/>
              <w:rPr>
                <w:b/>
                <w:bCs/>
                <w:sz w:val="19"/>
                <w:szCs w:val="19"/>
              </w:rPr>
            </w:pPr>
            <w:r w:rsidRPr="00C133C9">
              <w:rPr>
                <w:b/>
                <w:bCs/>
                <w:sz w:val="19"/>
                <w:szCs w:val="19"/>
              </w:rPr>
              <w:t>Who Drew the Lines</w:t>
            </w:r>
          </w:p>
        </w:tc>
        <w:tc>
          <w:tcPr>
            <w:tcW w:w="990" w:type="dxa"/>
            <w:vAlign w:val="center"/>
          </w:tcPr>
          <w:p w14:paraId="2F26D64E" w14:textId="356FC69A" w:rsidR="00C93FE1" w:rsidRPr="00C133C9" w:rsidRDefault="00C93FE1" w:rsidP="00C93FE1">
            <w:pPr>
              <w:jc w:val="center"/>
              <w:rPr>
                <w:b/>
                <w:bCs/>
                <w:sz w:val="19"/>
                <w:szCs w:val="19"/>
              </w:rPr>
            </w:pPr>
            <w:r w:rsidRPr="00C133C9">
              <w:rPr>
                <w:b/>
                <w:bCs/>
                <w:sz w:val="19"/>
                <w:szCs w:val="19"/>
              </w:rPr>
              <w:t>Direct Language</w:t>
            </w:r>
          </w:p>
        </w:tc>
        <w:tc>
          <w:tcPr>
            <w:tcW w:w="910" w:type="dxa"/>
            <w:shd w:val="clear" w:color="auto" w:fill="auto"/>
            <w:noWrap/>
            <w:vAlign w:val="center"/>
            <w:hideMark/>
          </w:tcPr>
          <w:p w14:paraId="6F18A63F" w14:textId="36D144B4" w:rsidR="00C133C9" w:rsidRDefault="00C93FE1" w:rsidP="00C93FE1">
            <w:pPr>
              <w:jc w:val="center"/>
              <w:rPr>
                <w:b/>
                <w:bCs/>
                <w:sz w:val="19"/>
                <w:szCs w:val="19"/>
              </w:rPr>
            </w:pPr>
            <w:r w:rsidRPr="00C133C9">
              <w:rPr>
                <w:b/>
                <w:bCs/>
                <w:sz w:val="19"/>
                <w:szCs w:val="19"/>
              </w:rPr>
              <w:t>Free and Equal</w:t>
            </w:r>
            <w:r w:rsidR="00A10FF6">
              <w:rPr>
                <w:b/>
                <w:bCs/>
                <w:sz w:val="19"/>
                <w:szCs w:val="19"/>
              </w:rPr>
              <w:t xml:space="preserve"> </w:t>
            </w:r>
            <w:r w:rsidRPr="00C133C9">
              <w:rPr>
                <w:b/>
                <w:bCs/>
                <w:sz w:val="19"/>
                <w:szCs w:val="19"/>
              </w:rPr>
              <w:t>/</w:t>
            </w:r>
          </w:p>
          <w:p w14:paraId="7FF8301F" w14:textId="6B88830E" w:rsidR="00C93FE1" w:rsidRPr="00C133C9" w:rsidRDefault="00C93FE1" w:rsidP="00C93FE1">
            <w:pPr>
              <w:jc w:val="center"/>
              <w:rPr>
                <w:b/>
                <w:bCs/>
                <w:sz w:val="19"/>
                <w:szCs w:val="19"/>
              </w:rPr>
            </w:pPr>
            <w:r w:rsidRPr="00C133C9">
              <w:rPr>
                <w:b/>
                <w:bCs/>
                <w:sz w:val="19"/>
                <w:szCs w:val="19"/>
              </w:rPr>
              <w:t>Open</w:t>
            </w:r>
          </w:p>
        </w:tc>
      </w:tr>
      <w:tr w:rsidR="00C133C9" w:rsidRPr="00C93FE1" w14:paraId="2AEE1F11" w14:textId="77777777" w:rsidTr="008B4EBD">
        <w:trPr>
          <w:jc w:val="center"/>
        </w:trPr>
        <w:tc>
          <w:tcPr>
            <w:tcW w:w="1345" w:type="dxa"/>
            <w:shd w:val="clear" w:color="auto" w:fill="D9D9D9" w:themeFill="background1" w:themeFillShade="D9"/>
            <w:noWrap/>
            <w:vAlign w:val="center"/>
            <w:hideMark/>
          </w:tcPr>
          <w:p w14:paraId="1156AA62" w14:textId="532D59F0" w:rsidR="00C93FE1" w:rsidRPr="008B4EBD" w:rsidRDefault="00C93FE1" w:rsidP="008B4EBD">
            <w:pPr>
              <w:rPr>
                <w:i/>
                <w:color w:val="000000"/>
                <w:sz w:val="18"/>
                <w:szCs w:val="18"/>
              </w:rPr>
            </w:pPr>
            <w:r w:rsidRPr="008B4EBD">
              <w:rPr>
                <w:i/>
                <w:color w:val="000000"/>
                <w:sz w:val="18"/>
                <w:szCs w:val="18"/>
              </w:rPr>
              <w:t>Alabama</w:t>
            </w:r>
          </w:p>
        </w:tc>
        <w:tc>
          <w:tcPr>
            <w:tcW w:w="1170" w:type="dxa"/>
            <w:shd w:val="clear" w:color="auto" w:fill="D9D9D9" w:themeFill="background1" w:themeFillShade="D9"/>
            <w:noWrap/>
            <w:vAlign w:val="center"/>
            <w:hideMark/>
          </w:tcPr>
          <w:p w14:paraId="44D31B56" w14:textId="6BC94495" w:rsidR="00C93FE1" w:rsidRPr="008B4EBD" w:rsidRDefault="00C93FE1" w:rsidP="00C93FE1">
            <w:pPr>
              <w:jc w:val="center"/>
              <w:rPr>
                <w:color w:val="000000"/>
                <w:sz w:val="18"/>
                <w:szCs w:val="18"/>
              </w:rPr>
            </w:pPr>
            <w:r w:rsidRPr="008B4EBD">
              <w:rPr>
                <w:color w:val="000000"/>
                <w:sz w:val="18"/>
                <w:szCs w:val="18"/>
              </w:rPr>
              <w:t>5,024,279</w:t>
            </w:r>
          </w:p>
        </w:tc>
        <w:tc>
          <w:tcPr>
            <w:tcW w:w="720" w:type="dxa"/>
            <w:shd w:val="clear" w:color="auto" w:fill="D9D9D9" w:themeFill="background1" w:themeFillShade="D9"/>
            <w:noWrap/>
            <w:vAlign w:val="center"/>
            <w:hideMark/>
          </w:tcPr>
          <w:p w14:paraId="71CC92BF" w14:textId="279EEDB4" w:rsidR="00C93FE1" w:rsidRPr="008B4EBD" w:rsidRDefault="00C93FE1" w:rsidP="00C93FE1">
            <w:pPr>
              <w:jc w:val="center"/>
              <w:rPr>
                <w:color w:val="000000"/>
                <w:sz w:val="18"/>
                <w:szCs w:val="18"/>
              </w:rPr>
            </w:pPr>
            <w:r w:rsidRPr="008B4EBD">
              <w:rPr>
                <w:color w:val="000000"/>
                <w:sz w:val="18"/>
                <w:szCs w:val="18"/>
              </w:rPr>
              <w:t>7</w:t>
            </w:r>
          </w:p>
        </w:tc>
        <w:tc>
          <w:tcPr>
            <w:tcW w:w="1080" w:type="dxa"/>
            <w:shd w:val="clear" w:color="auto" w:fill="D9D9D9" w:themeFill="background1" w:themeFillShade="D9"/>
            <w:noWrap/>
            <w:vAlign w:val="center"/>
            <w:hideMark/>
          </w:tcPr>
          <w:p w14:paraId="5026A7CA" w14:textId="211FB8F8" w:rsidR="00C93FE1" w:rsidRPr="008B4EBD" w:rsidRDefault="00C93FE1" w:rsidP="00C93FE1">
            <w:pPr>
              <w:jc w:val="center"/>
              <w:rPr>
                <w:color w:val="000000"/>
                <w:sz w:val="18"/>
                <w:szCs w:val="18"/>
              </w:rPr>
            </w:pPr>
            <w:r w:rsidRPr="008B4EBD">
              <w:rPr>
                <w:color w:val="000000"/>
                <w:sz w:val="18"/>
                <w:szCs w:val="18"/>
              </w:rPr>
              <w:t>L</w:t>
            </w:r>
          </w:p>
        </w:tc>
        <w:tc>
          <w:tcPr>
            <w:tcW w:w="900" w:type="dxa"/>
            <w:shd w:val="clear" w:color="auto" w:fill="D9D9D9" w:themeFill="background1" w:themeFillShade="D9"/>
            <w:noWrap/>
            <w:vAlign w:val="center"/>
            <w:hideMark/>
          </w:tcPr>
          <w:p w14:paraId="75FFDAB4" w14:textId="182C4F72" w:rsidR="00C93FE1" w:rsidRPr="008B4EBD" w:rsidRDefault="00C93FE1" w:rsidP="00C93FE1">
            <w:pPr>
              <w:jc w:val="center"/>
              <w:rPr>
                <w:color w:val="000000"/>
                <w:sz w:val="18"/>
                <w:szCs w:val="18"/>
              </w:rPr>
            </w:pPr>
            <w:r w:rsidRPr="008B4EBD">
              <w:rPr>
                <w:color w:val="000000"/>
                <w:sz w:val="18"/>
                <w:szCs w:val="18"/>
              </w:rPr>
              <w:t>GOP</w:t>
            </w:r>
          </w:p>
        </w:tc>
        <w:tc>
          <w:tcPr>
            <w:tcW w:w="900" w:type="dxa"/>
            <w:shd w:val="clear" w:color="auto" w:fill="D9D9D9" w:themeFill="background1" w:themeFillShade="D9"/>
            <w:vAlign w:val="center"/>
          </w:tcPr>
          <w:p w14:paraId="737621ED" w14:textId="055A2E26" w:rsidR="00C93FE1" w:rsidRPr="008B4EBD" w:rsidRDefault="00C93FE1" w:rsidP="00C93FE1">
            <w:pPr>
              <w:jc w:val="center"/>
              <w:rPr>
                <w:color w:val="000000"/>
                <w:sz w:val="18"/>
                <w:szCs w:val="18"/>
              </w:rPr>
            </w:pPr>
            <w:r w:rsidRPr="008B4EBD">
              <w:rPr>
                <w:color w:val="000000"/>
                <w:sz w:val="18"/>
                <w:szCs w:val="18"/>
              </w:rPr>
              <w:t>L</w:t>
            </w:r>
          </w:p>
        </w:tc>
        <w:tc>
          <w:tcPr>
            <w:tcW w:w="990" w:type="dxa"/>
            <w:shd w:val="clear" w:color="auto" w:fill="D9D9D9" w:themeFill="background1" w:themeFillShade="D9"/>
            <w:vAlign w:val="center"/>
          </w:tcPr>
          <w:p w14:paraId="160068BA" w14:textId="6CA8CF73" w:rsidR="00C93FE1" w:rsidRPr="008B4EBD"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28BE6324" w14:textId="77777777" w:rsidR="00C93FE1" w:rsidRPr="008B4EBD" w:rsidRDefault="00C93FE1" w:rsidP="00C93FE1">
            <w:pPr>
              <w:jc w:val="center"/>
              <w:rPr>
                <w:color w:val="000000"/>
                <w:sz w:val="18"/>
                <w:szCs w:val="18"/>
              </w:rPr>
            </w:pPr>
          </w:p>
        </w:tc>
      </w:tr>
      <w:tr w:rsidR="00C93FE1" w:rsidRPr="00C93FE1" w14:paraId="6FEC936B" w14:textId="77777777" w:rsidTr="008B4EBD">
        <w:trPr>
          <w:jc w:val="center"/>
        </w:trPr>
        <w:tc>
          <w:tcPr>
            <w:tcW w:w="1345" w:type="dxa"/>
            <w:shd w:val="clear" w:color="auto" w:fill="auto"/>
            <w:noWrap/>
            <w:vAlign w:val="center"/>
            <w:hideMark/>
          </w:tcPr>
          <w:p w14:paraId="0C2A917E" w14:textId="63EBBB0C" w:rsidR="00C93FE1" w:rsidRPr="008B4EBD" w:rsidRDefault="00C93FE1" w:rsidP="0089545C">
            <w:pPr>
              <w:rPr>
                <w:i/>
                <w:color w:val="000000"/>
                <w:sz w:val="18"/>
                <w:szCs w:val="18"/>
              </w:rPr>
            </w:pPr>
            <w:r w:rsidRPr="008B4EBD">
              <w:rPr>
                <w:i/>
                <w:color w:val="000000"/>
                <w:sz w:val="18"/>
                <w:szCs w:val="18"/>
              </w:rPr>
              <w:t>Alaska</w:t>
            </w:r>
          </w:p>
        </w:tc>
        <w:tc>
          <w:tcPr>
            <w:tcW w:w="1170" w:type="dxa"/>
            <w:shd w:val="clear" w:color="auto" w:fill="auto"/>
            <w:noWrap/>
            <w:vAlign w:val="center"/>
            <w:hideMark/>
          </w:tcPr>
          <w:p w14:paraId="581C38BB" w14:textId="1F324B90" w:rsidR="00C93FE1" w:rsidRPr="008B4EBD" w:rsidRDefault="00C93FE1" w:rsidP="00C93FE1">
            <w:pPr>
              <w:jc w:val="center"/>
              <w:rPr>
                <w:color w:val="000000"/>
                <w:sz w:val="18"/>
                <w:szCs w:val="18"/>
              </w:rPr>
            </w:pPr>
            <w:r w:rsidRPr="008B4EBD">
              <w:rPr>
                <w:color w:val="000000"/>
                <w:sz w:val="18"/>
                <w:szCs w:val="18"/>
              </w:rPr>
              <w:t>733,391</w:t>
            </w:r>
          </w:p>
        </w:tc>
        <w:tc>
          <w:tcPr>
            <w:tcW w:w="720" w:type="dxa"/>
            <w:shd w:val="clear" w:color="auto" w:fill="auto"/>
            <w:noWrap/>
            <w:vAlign w:val="center"/>
            <w:hideMark/>
          </w:tcPr>
          <w:p w14:paraId="4DB95359" w14:textId="23DC2FD9" w:rsidR="00C93FE1" w:rsidRPr="008B4EBD" w:rsidRDefault="00C93FE1" w:rsidP="00C93FE1">
            <w:pPr>
              <w:jc w:val="center"/>
              <w:rPr>
                <w:color w:val="000000"/>
                <w:sz w:val="18"/>
                <w:szCs w:val="18"/>
              </w:rPr>
            </w:pPr>
            <w:r w:rsidRPr="008B4EBD">
              <w:rPr>
                <w:color w:val="000000"/>
                <w:sz w:val="18"/>
                <w:szCs w:val="18"/>
              </w:rPr>
              <w:t>1</w:t>
            </w:r>
          </w:p>
        </w:tc>
        <w:tc>
          <w:tcPr>
            <w:tcW w:w="1080" w:type="dxa"/>
            <w:shd w:val="clear" w:color="auto" w:fill="auto"/>
            <w:noWrap/>
            <w:vAlign w:val="center"/>
            <w:hideMark/>
          </w:tcPr>
          <w:p w14:paraId="59BF4902" w14:textId="7A8C0ECC" w:rsidR="00C93FE1" w:rsidRPr="008B4EBD" w:rsidRDefault="00C93FE1" w:rsidP="00C93FE1">
            <w:pPr>
              <w:jc w:val="center"/>
              <w:rPr>
                <w:color w:val="000000"/>
                <w:sz w:val="18"/>
                <w:szCs w:val="18"/>
              </w:rPr>
            </w:pPr>
            <w:r w:rsidRPr="008B4EBD">
              <w:rPr>
                <w:color w:val="000000"/>
                <w:sz w:val="18"/>
                <w:szCs w:val="18"/>
              </w:rPr>
              <w:t>-</w:t>
            </w:r>
          </w:p>
        </w:tc>
        <w:tc>
          <w:tcPr>
            <w:tcW w:w="900" w:type="dxa"/>
            <w:shd w:val="clear" w:color="auto" w:fill="auto"/>
            <w:noWrap/>
            <w:vAlign w:val="center"/>
            <w:hideMark/>
          </w:tcPr>
          <w:p w14:paraId="1A60BD1A" w14:textId="7F78F2BD" w:rsidR="00C93FE1" w:rsidRPr="008B4EBD" w:rsidRDefault="00C93FE1" w:rsidP="00C93FE1">
            <w:pPr>
              <w:jc w:val="center"/>
              <w:rPr>
                <w:color w:val="000000"/>
                <w:sz w:val="18"/>
                <w:szCs w:val="18"/>
              </w:rPr>
            </w:pPr>
            <w:r w:rsidRPr="008B4EBD">
              <w:rPr>
                <w:color w:val="000000"/>
                <w:sz w:val="18"/>
                <w:szCs w:val="18"/>
              </w:rPr>
              <w:t>-</w:t>
            </w:r>
          </w:p>
        </w:tc>
        <w:tc>
          <w:tcPr>
            <w:tcW w:w="900" w:type="dxa"/>
            <w:shd w:val="clear" w:color="auto" w:fill="auto"/>
            <w:vAlign w:val="center"/>
          </w:tcPr>
          <w:p w14:paraId="0C434D17" w14:textId="0C21C369" w:rsidR="00C93FE1" w:rsidRPr="008B4EBD" w:rsidRDefault="00C93FE1" w:rsidP="00C93FE1">
            <w:pPr>
              <w:jc w:val="center"/>
              <w:rPr>
                <w:color w:val="000000"/>
                <w:sz w:val="18"/>
                <w:szCs w:val="18"/>
              </w:rPr>
            </w:pPr>
            <w:r w:rsidRPr="008B4EBD">
              <w:rPr>
                <w:color w:val="000000"/>
                <w:sz w:val="18"/>
                <w:szCs w:val="18"/>
              </w:rPr>
              <w:t>-</w:t>
            </w:r>
          </w:p>
        </w:tc>
        <w:tc>
          <w:tcPr>
            <w:tcW w:w="990" w:type="dxa"/>
            <w:vAlign w:val="center"/>
          </w:tcPr>
          <w:p w14:paraId="0CF11924" w14:textId="232B5163" w:rsidR="00C93FE1" w:rsidRPr="008B4EBD" w:rsidRDefault="00C93FE1" w:rsidP="00C93FE1">
            <w:pPr>
              <w:jc w:val="center"/>
              <w:rPr>
                <w:color w:val="000000"/>
                <w:sz w:val="18"/>
                <w:szCs w:val="18"/>
              </w:rPr>
            </w:pPr>
          </w:p>
        </w:tc>
        <w:tc>
          <w:tcPr>
            <w:tcW w:w="910" w:type="dxa"/>
            <w:shd w:val="clear" w:color="auto" w:fill="auto"/>
            <w:noWrap/>
            <w:vAlign w:val="center"/>
            <w:hideMark/>
          </w:tcPr>
          <w:p w14:paraId="185E2CE2" w14:textId="77777777" w:rsidR="00C93FE1" w:rsidRPr="008B4EBD" w:rsidRDefault="00C93FE1" w:rsidP="00C93FE1">
            <w:pPr>
              <w:jc w:val="center"/>
              <w:rPr>
                <w:color w:val="000000"/>
                <w:sz w:val="18"/>
                <w:szCs w:val="18"/>
              </w:rPr>
            </w:pPr>
          </w:p>
        </w:tc>
      </w:tr>
      <w:tr w:rsidR="00C93FE1" w:rsidRPr="00C93FE1" w14:paraId="05710036" w14:textId="77777777" w:rsidTr="008B4EBD">
        <w:trPr>
          <w:jc w:val="center"/>
        </w:trPr>
        <w:tc>
          <w:tcPr>
            <w:tcW w:w="1345" w:type="dxa"/>
            <w:shd w:val="clear" w:color="auto" w:fill="auto"/>
            <w:noWrap/>
            <w:vAlign w:val="center"/>
            <w:hideMark/>
          </w:tcPr>
          <w:p w14:paraId="61E06E59" w14:textId="4DAB3378" w:rsidR="00C93FE1" w:rsidRPr="0089545C" w:rsidRDefault="00C93FE1" w:rsidP="0089545C">
            <w:pPr>
              <w:rPr>
                <w:i/>
                <w:color w:val="000000"/>
                <w:sz w:val="18"/>
                <w:szCs w:val="18"/>
              </w:rPr>
            </w:pPr>
            <w:r w:rsidRPr="0089545C">
              <w:rPr>
                <w:i/>
                <w:color w:val="000000"/>
                <w:sz w:val="18"/>
                <w:szCs w:val="18"/>
              </w:rPr>
              <w:t>Arizona</w:t>
            </w:r>
          </w:p>
        </w:tc>
        <w:tc>
          <w:tcPr>
            <w:tcW w:w="1170" w:type="dxa"/>
            <w:shd w:val="clear" w:color="auto" w:fill="auto"/>
            <w:noWrap/>
            <w:vAlign w:val="center"/>
            <w:hideMark/>
          </w:tcPr>
          <w:p w14:paraId="79F63D8C" w14:textId="7881E327" w:rsidR="00C93FE1" w:rsidRPr="0089545C" w:rsidRDefault="00C93FE1" w:rsidP="00C93FE1">
            <w:pPr>
              <w:jc w:val="center"/>
              <w:rPr>
                <w:color w:val="000000"/>
                <w:sz w:val="18"/>
                <w:szCs w:val="18"/>
              </w:rPr>
            </w:pPr>
            <w:r w:rsidRPr="0089545C">
              <w:rPr>
                <w:color w:val="000000"/>
                <w:sz w:val="18"/>
                <w:szCs w:val="18"/>
              </w:rPr>
              <w:t>7,151,502</w:t>
            </w:r>
          </w:p>
        </w:tc>
        <w:tc>
          <w:tcPr>
            <w:tcW w:w="720" w:type="dxa"/>
            <w:shd w:val="clear" w:color="auto" w:fill="auto"/>
            <w:noWrap/>
            <w:vAlign w:val="center"/>
            <w:hideMark/>
          </w:tcPr>
          <w:p w14:paraId="76A40F4E" w14:textId="1CC69EFD" w:rsidR="00C93FE1" w:rsidRPr="0089545C" w:rsidRDefault="00C93FE1" w:rsidP="00C93FE1">
            <w:pPr>
              <w:jc w:val="center"/>
              <w:rPr>
                <w:color w:val="000000"/>
                <w:sz w:val="18"/>
                <w:szCs w:val="18"/>
              </w:rPr>
            </w:pPr>
            <w:r w:rsidRPr="0089545C">
              <w:rPr>
                <w:color w:val="000000"/>
                <w:sz w:val="18"/>
                <w:szCs w:val="18"/>
              </w:rPr>
              <w:t>9</w:t>
            </w:r>
          </w:p>
        </w:tc>
        <w:tc>
          <w:tcPr>
            <w:tcW w:w="1080" w:type="dxa"/>
            <w:shd w:val="clear" w:color="auto" w:fill="auto"/>
            <w:noWrap/>
            <w:vAlign w:val="center"/>
            <w:hideMark/>
          </w:tcPr>
          <w:p w14:paraId="0EEC0F76" w14:textId="1D5353E8" w:rsidR="00C93FE1" w:rsidRPr="0089545C" w:rsidRDefault="00C93FE1" w:rsidP="00C93FE1">
            <w:pPr>
              <w:jc w:val="center"/>
              <w:rPr>
                <w:color w:val="000000"/>
                <w:sz w:val="18"/>
                <w:szCs w:val="18"/>
              </w:rPr>
            </w:pPr>
            <w:r w:rsidRPr="0089545C">
              <w:rPr>
                <w:color w:val="000000"/>
                <w:sz w:val="18"/>
                <w:szCs w:val="18"/>
              </w:rPr>
              <w:t>C</w:t>
            </w:r>
          </w:p>
        </w:tc>
        <w:tc>
          <w:tcPr>
            <w:tcW w:w="900" w:type="dxa"/>
            <w:shd w:val="clear" w:color="auto" w:fill="auto"/>
            <w:noWrap/>
            <w:vAlign w:val="center"/>
            <w:hideMark/>
          </w:tcPr>
          <w:p w14:paraId="1119D98B" w14:textId="7F2FA55C"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auto"/>
            <w:vAlign w:val="center"/>
          </w:tcPr>
          <w:p w14:paraId="27BB5B66" w14:textId="12037D0B" w:rsidR="00C93FE1" w:rsidRPr="0089545C" w:rsidRDefault="00C93FE1" w:rsidP="00C93FE1">
            <w:pPr>
              <w:jc w:val="center"/>
              <w:rPr>
                <w:color w:val="000000"/>
                <w:sz w:val="18"/>
                <w:szCs w:val="18"/>
              </w:rPr>
            </w:pPr>
            <w:r w:rsidRPr="0089545C">
              <w:rPr>
                <w:color w:val="000000"/>
                <w:sz w:val="18"/>
                <w:szCs w:val="18"/>
              </w:rPr>
              <w:t>Comm.</w:t>
            </w:r>
          </w:p>
        </w:tc>
        <w:tc>
          <w:tcPr>
            <w:tcW w:w="990" w:type="dxa"/>
            <w:shd w:val="clear" w:color="auto" w:fill="auto"/>
            <w:vAlign w:val="center"/>
          </w:tcPr>
          <w:p w14:paraId="59AE30D8" w14:textId="0F03E5EE"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auto"/>
            <w:noWrap/>
            <w:vAlign w:val="center"/>
            <w:hideMark/>
          </w:tcPr>
          <w:p w14:paraId="0A94B1AD" w14:textId="2EBEBE37" w:rsidR="00C93FE1" w:rsidRPr="0089545C" w:rsidRDefault="00C93FE1" w:rsidP="00C93FE1">
            <w:pPr>
              <w:jc w:val="center"/>
              <w:rPr>
                <w:color w:val="000000"/>
                <w:sz w:val="18"/>
                <w:szCs w:val="18"/>
              </w:rPr>
            </w:pPr>
            <w:r w:rsidRPr="0089545C">
              <w:rPr>
                <w:color w:val="000000"/>
                <w:sz w:val="18"/>
                <w:szCs w:val="18"/>
              </w:rPr>
              <w:t>x</w:t>
            </w:r>
          </w:p>
        </w:tc>
      </w:tr>
      <w:tr w:rsidR="00C133C9" w:rsidRPr="00C93FE1" w14:paraId="49A02FE6" w14:textId="77777777" w:rsidTr="008B4EBD">
        <w:trPr>
          <w:jc w:val="center"/>
        </w:trPr>
        <w:tc>
          <w:tcPr>
            <w:tcW w:w="1345" w:type="dxa"/>
            <w:shd w:val="clear" w:color="auto" w:fill="D9D9D9" w:themeFill="background1" w:themeFillShade="D9"/>
            <w:noWrap/>
            <w:vAlign w:val="center"/>
            <w:hideMark/>
          </w:tcPr>
          <w:p w14:paraId="5B21BA3C" w14:textId="5821174D" w:rsidR="00C93FE1" w:rsidRPr="0089545C" w:rsidRDefault="00C93FE1" w:rsidP="0089545C">
            <w:pPr>
              <w:rPr>
                <w:i/>
                <w:color w:val="000000"/>
                <w:sz w:val="18"/>
                <w:szCs w:val="18"/>
              </w:rPr>
            </w:pPr>
            <w:r w:rsidRPr="0089545C">
              <w:rPr>
                <w:i/>
                <w:color w:val="000000"/>
                <w:sz w:val="18"/>
                <w:szCs w:val="18"/>
              </w:rPr>
              <w:t>Arkansas</w:t>
            </w:r>
          </w:p>
        </w:tc>
        <w:tc>
          <w:tcPr>
            <w:tcW w:w="1170" w:type="dxa"/>
            <w:shd w:val="clear" w:color="auto" w:fill="D9D9D9" w:themeFill="background1" w:themeFillShade="D9"/>
            <w:noWrap/>
            <w:vAlign w:val="center"/>
            <w:hideMark/>
          </w:tcPr>
          <w:p w14:paraId="37F2667D" w14:textId="5BAFD7B9" w:rsidR="00C93FE1" w:rsidRPr="0089545C" w:rsidRDefault="00C93FE1" w:rsidP="00C93FE1">
            <w:pPr>
              <w:jc w:val="center"/>
              <w:rPr>
                <w:color w:val="000000"/>
                <w:sz w:val="18"/>
                <w:szCs w:val="18"/>
              </w:rPr>
            </w:pPr>
            <w:r w:rsidRPr="0089545C">
              <w:rPr>
                <w:color w:val="000000"/>
                <w:sz w:val="18"/>
                <w:szCs w:val="18"/>
              </w:rPr>
              <w:t>3,011,524</w:t>
            </w:r>
          </w:p>
        </w:tc>
        <w:tc>
          <w:tcPr>
            <w:tcW w:w="720" w:type="dxa"/>
            <w:shd w:val="clear" w:color="auto" w:fill="D9D9D9" w:themeFill="background1" w:themeFillShade="D9"/>
            <w:noWrap/>
            <w:vAlign w:val="center"/>
            <w:hideMark/>
          </w:tcPr>
          <w:p w14:paraId="6952A951" w14:textId="38DE57B6" w:rsidR="00C93FE1" w:rsidRPr="0089545C" w:rsidRDefault="00C93FE1" w:rsidP="00C93FE1">
            <w:pPr>
              <w:jc w:val="center"/>
              <w:rPr>
                <w:color w:val="000000"/>
                <w:sz w:val="18"/>
                <w:szCs w:val="18"/>
              </w:rPr>
            </w:pPr>
            <w:r w:rsidRPr="0089545C">
              <w:rPr>
                <w:color w:val="000000"/>
                <w:sz w:val="18"/>
                <w:szCs w:val="18"/>
              </w:rPr>
              <w:t>4</w:t>
            </w:r>
          </w:p>
        </w:tc>
        <w:tc>
          <w:tcPr>
            <w:tcW w:w="1080" w:type="dxa"/>
            <w:shd w:val="clear" w:color="auto" w:fill="D9D9D9" w:themeFill="background1" w:themeFillShade="D9"/>
            <w:noWrap/>
            <w:vAlign w:val="center"/>
            <w:hideMark/>
          </w:tcPr>
          <w:p w14:paraId="23367573" w14:textId="20159E3E"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7B447B44" w14:textId="416822A0"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0D39CC47" w14:textId="080EF66D"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7D5E7AE8" w14:textId="4FDDF7F0"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2C9E228C" w14:textId="7306B278" w:rsidR="00C93FE1" w:rsidRPr="0089545C" w:rsidRDefault="00C93FE1" w:rsidP="00C93FE1">
            <w:pPr>
              <w:jc w:val="center"/>
              <w:rPr>
                <w:color w:val="000000"/>
                <w:sz w:val="18"/>
                <w:szCs w:val="18"/>
              </w:rPr>
            </w:pPr>
            <w:r w:rsidRPr="0089545C">
              <w:rPr>
                <w:color w:val="000000"/>
                <w:sz w:val="18"/>
                <w:szCs w:val="18"/>
              </w:rPr>
              <w:t>x</w:t>
            </w:r>
          </w:p>
        </w:tc>
      </w:tr>
      <w:tr w:rsidR="00C93FE1" w:rsidRPr="00C93FE1" w14:paraId="4F227DC1" w14:textId="77777777" w:rsidTr="008B4EBD">
        <w:trPr>
          <w:jc w:val="center"/>
        </w:trPr>
        <w:tc>
          <w:tcPr>
            <w:tcW w:w="1345" w:type="dxa"/>
            <w:shd w:val="clear" w:color="auto" w:fill="auto"/>
            <w:noWrap/>
            <w:vAlign w:val="center"/>
            <w:hideMark/>
          </w:tcPr>
          <w:p w14:paraId="215A58A2" w14:textId="1F404A83" w:rsidR="00C93FE1" w:rsidRPr="0089545C" w:rsidRDefault="00C93FE1" w:rsidP="0089545C">
            <w:pPr>
              <w:rPr>
                <w:i/>
                <w:color w:val="000000"/>
                <w:sz w:val="18"/>
                <w:szCs w:val="18"/>
              </w:rPr>
            </w:pPr>
            <w:r w:rsidRPr="0089545C">
              <w:rPr>
                <w:i/>
                <w:color w:val="000000"/>
                <w:sz w:val="18"/>
                <w:szCs w:val="18"/>
              </w:rPr>
              <w:t>California</w:t>
            </w:r>
          </w:p>
        </w:tc>
        <w:tc>
          <w:tcPr>
            <w:tcW w:w="1170" w:type="dxa"/>
            <w:shd w:val="clear" w:color="auto" w:fill="auto"/>
            <w:noWrap/>
            <w:vAlign w:val="center"/>
            <w:hideMark/>
          </w:tcPr>
          <w:p w14:paraId="2206FCAB" w14:textId="7BD852B1" w:rsidR="00C93FE1" w:rsidRPr="0089545C" w:rsidRDefault="00C93FE1" w:rsidP="00C93FE1">
            <w:pPr>
              <w:jc w:val="center"/>
              <w:rPr>
                <w:color w:val="000000"/>
                <w:sz w:val="18"/>
                <w:szCs w:val="18"/>
              </w:rPr>
            </w:pPr>
            <w:r w:rsidRPr="0089545C">
              <w:rPr>
                <w:color w:val="000000"/>
                <w:sz w:val="18"/>
                <w:szCs w:val="18"/>
              </w:rPr>
              <w:t>39,538,223</w:t>
            </w:r>
          </w:p>
        </w:tc>
        <w:tc>
          <w:tcPr>
            <w:tcW w:w="720" w:type="dxa"/>
            <w:shd w:val="clear" w:color="auto" w:fill="auto"/>
            <w:noWrap/>
            <w:vAlign w:val="center"/>
            <w:hideMark/>
          </w:tcPr>
          <w:p w14:paraId="01180058" w14:textId="777A0E49" w:rsidR="00C93FE1" w:rsidRPr="0089545C" w:rsidRDefault="00C93FE1" w:rsidP="00C93FE1">
            <w:pPr>
              <w:jc w:val="center"/>
              <w:rPr>
                <w:color w:val="000000"/>
                <w:sz w:val="18"/>
                <w:szCs w:val="18"/>
              </w:rPr>
            </w:pPr>
            <w:r w:rsidRPr="0089545C">
              <w:rPr>
                <w:color w:val="000000"/>
                <w:sz w:val="18"/>
                <w:szCs w:val="18"/>
              </w:rPr>
              <w:t>52</w:t>
            </w:r>
          </w:p>
        </w:tc>
        <w:tc>
          <w:tcPr>
            <w:tcW w:w="1080" w:type="dxa"/>
            <w:shd w:val="clear" w:color="auto" w:fill="auto"/>
            <w:noWrap/>
            <w:vAlign w:val="center"/>
            <w:hideMark/>
          </w:tcPr>
          <w:p w14:paraId="10D1E9BE" w14:textId="5AEB384E" w:rsidR="00C93FE1" w:rsidRPr="0089545C" w:rsidRDefault="00C93FE1" w:rsidP="00C93FE1">
            <w:pPr>
              <w:jc w:val="center"/>
              <w:rPr>
                <w:color w:val="000000"/>
                <w:sz w:val="18"/>
                <w:szCs w:val="18"/>
              </w:rPr>
            </w:pPr>
            <w:r w:rsidRPr="0089545C">
              <w:rPr>
                <w:color w:val="000000"/>
                <w:sz w:val="18"/>
                <w:szCs w:val="18"/>
              </w:rPr>
              <w:t>C</w:t>
            </w:r>
          </w:p>
        </w:tc>
        <w:tc>
          <w:tcPr>
            <w:tcW w:w="900" w:type="dxa"/>
            <w:shd w:val="clear" w:color="auto" w:fill="auto"/>
            <w:noWrap/>
            <w:vAlign w:val="center"/>
            <w:hideMark/>
          </w:tcPr>
          <w:p w14:paraId="6000D339" w14:textId="6B07C3F0" w:rsidR="00C93FE1" w:rsidRPr="0089545C" w:rsidRDefault="00C93FE1" w:rsidP="00C93FE1">
            <w:pPr>
              <w:jc w:val="center"/>
              <w:rPr>
                <w:color w:val="000000"/>
                <w:sz w:val="18"/>
                <w:szCs w:val="18"/>
              </w:rPr>
            </w:pPr>
            <w:r w:rsidRPr="0089545C">
              <w:rPr>
                <w:color w:val="000000"/>
                <w:sz w:val="18"/>
                <w:szCs w:val="18"/>
              </w:rPr>
              <w:t>DEM</w:t>
            </w:r>
          </w:p>
        </w:tc>
        <w:tc>
          <w:tcPr>
            <w:tcW w:w="900" w:type="dxa"/>
            <w:shd w:val="clear" w:color="auto" w:fill="auto"/>
            <w:vAlign w:val="center"/>
          </w:tcPr>
          <w:p w14:paraId="1AB415B4" w14:textId="01458803" w:rsidR="00C93FE1" w:rsidRPr="0089545C" w:rsidRDefault="00C93FE1" w:rsidP="00C93FE1">
            <w:pPr>
              <w:jc w:val="center"/>
              <w:rPr>
                <w:color w:val="000000"/>
                <w:sz w:val="18"/>
                <w:szCs w:val="18"/>
              </w:rPr>
            </w:pPr>
            <w:r w:rsidRPr="0089545C">
              <w:rPr>
                <w:color w:val="000000"/>
                <w:sz w:val="18"/>
                <w:szCs w:val="18"/>
              </w:rPr>
              <w:t>Comm.</w:t>
            </w:r>
          </w:p>
        </w:tc>
        <w:tc>
          <w:tcPr>
            <w:tcW w:w="990" w:type="dxa"/>
            <w:vAlign w:val="center"/>
          </w:tcPr>
          <w:p w14:paraId="09B14A0C" w14:textId="3161AD45"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auto"/>
            <w:noWrap/>
            <w:vAlign w:val="center"/>
            <w:hideMark/>
          </w:tcPr>
          <w:p w14:paraId="717275EA" w14:textId="77777777" w:rsidR="00C93FE1" w:rsidRPr="0089545C" w:rsidRDefault="00C93FE1" w:rsidP="00C93FE1">
            <w:pPr>
              <w:jc w:val="center"/>
              <w:rPr>
                <w:color w:val="000000"/>
                <w:sz w:val="18"/>
                <w:szCs w:val="18"/>
              </w:rPr>
            </w:pPr>
          </w:p>
        </w:tc>
      </w:tr>
      <w:tr w:rsidR="00C93FE1" w:rsidRPr="00C93FE1" w14:paraId="39200729" w14:textId="77777777" w:rsidTr="008B4EBD">
        <w:trPr>
          <w:jc w:val="center"/>
        </w:trPr>
        <w:tc>
          <w:tcPr>
            <w:tcW w:w="1345" w:type="dxa"/>
            <w:shd w:val="clear" w:color="auto" w:fill="auto"/>
            <w:noWrap/>
            <w:vAlign w:val="center"/>
            <w:hideMark/>
          </w:tcPr>
          <w:p w14:paraId="793F36BE" w14:textId="57DE29B2" w:rsidR="00C93FE1" w:rsidRPr="0089545C" w:rsidRDefault="00C93FE1" w:rsidP="008B4EBD">
            <w:pPr>
              <w:rPr>
                <w:i/>
                <w:color w:val="000000"/>
                <w:sz w:val="18"/>
                <w:szCs w:val="18"/>
              </w:rPr>
            </w:pPr>
            <w:r w:rsidRPr="0089545C">
              <w:rPr>
                <w:i/>
                <w:color w:val="000000"/>
                <w:sz w:val="18"/>
                <w:szCs w:val="18"/>
              </w:rPr>
              <w:t>Colorado</w:t>
            </w:r>
          </w:p>
        </w:tc>
        <w:tc>
          <w:tcPr>
            <w:tcW w:w="1170" w:type="dxa"/>
            <w:shd w:val="clear" w:color="auto" w:fill="auto"/>
            <w:noWrap/>
            <w:vAlign w:val="center"/>
            <w:hideMark/>
          </w:tcPr>
          <w:p w14:paraId="09240ADE" w14:textId="706BF603" w:rsidR="00C93FE1" w:rsidRPr="0089545C" w:rsidRDefault="00C93FE1" w:rsidP="00C93FE1">
            <w:pPr>
              <w:jc w:val="center"/>
              <w:rPr>
                <w:color w:val="000000"/>
                <w:sz w:val="18"/>
                <w:szCs w:val="18"/>
              </w:rPr>
            </w:pPr>
            <w:r w:rsidRPr="0089545C">
              <w:rPr>
                <w:color w:val="000000"/>
                <w:sz w:val="18"/>
                <w:szCs w:val="18"/>
              </w:rPr>
              <w:t>5,773,714</w:t>
            </w:r>
          </w:p>
        </w:tc>
        <w:tc>
          <w:tcPr>
            <w:tcW w:w="720" w:type="dxa"/>
            <w:shd w:val="clear" w:color="auto" w:fill="auto"/>
            <w:noWrap/>
            <w:vAlign w:val="center"/>
            <w:hideMark/>
          </w:tcPr>
          <w:p w14:paraId="46C1933B" w14:textId="71FEC110" w:rsidR="00C93FE1" w:rsidRPr="0089545C" w:rsidRDefault="00C93FE1" w:rsidP="00C93FE1">
            <w:pPr>
              <w:jc w:val="center"/>
              <w:rPr>
                <w:color w:val="000000"/>
                <w:sz w:val="18"/>
                <w:szCs w:val="18"/>
              </w:rPr>
            </w:pPr>
            <w:r w:rsidRPr="0089545C">
              <w:rPr>
                <w:color w:val="000000"/>
                <w:sz w:val="18"/>
                <w:szCs w:val="18"/>
              </w:rPr>
              <w:t>8</w:t>
            </w:r>
          </w:p>
        </w:tc>
        <w:tc>
          <w:tcPr>
            <w:tcW w:w="1080" w:type="dxa"/>
            <w:shd w:val="clear" w:color="auto" w:fill="auto"/>
            <w:noWrap/>
            <w:vAlign w:val="center"/>
            <w:hideMark/>
          </w:tcPr>
          <w:p w14:paraId="0B3A1B33" w14:textId="4BFE9134" w:rsidR="00C93FE1" w:rsidRPr="0089545C" w:rsidRDefault="00C93FE1" w:rsidP="00C93FE1">
            <w:pPr>
              <w:jc w:val="center"/>
              <w:rPr>
                <w:color w:val="000000"/>
                <w:sz w:val="18"/>
                <w:szCs w:val="18"/>
              </w:rPr>
            </w:pPr>
            <w:r w:rsidRPr="0089545C">
              <w:rPr>
                <w:color w:val="000000"/>
                <w:sz w:val="18"/>
                <w:szCs w:val="18"/>
              </w:rPr>
              <w:t>C</w:t>
            </w:r>
          </w:p>
        </w:tc>
        <w:tc>
          <w:tcPr>
            <w:tcW w:w="900" w:type="dxa"/>
            <w:shd w:val="clear" w:color="auto" w:fill="auto"/>
            <w:noWrap/>
            <w:vAlign w:val="center"/>
            <w:hideMark/>
          </w:tcPr>
          <w:p w14:paraId="4F32220F" w14:textId="4ACDFD0C" w:rsidR="00C93FE1" w:rsidRPr="0089545C" w:rsidRDefault="00C93FE1" w:rsidP="00C93FE1">
            <w:pPr>
              <w:jc w:val="center"/>
              <w:rPr>
                <w:color w:val="000000"/>
                <w:sz w:val="18"/>
                <w:szCs w:val="18"/>
              </w:rPr>
            </w:pPr>
            <w:r w:rsidRPr="0089545C">
              <w:rPr>
                <w:color w:val="000000"/>
                <w:sz w:val="18"/>
                <w:szCs w:val="18"/>
              </w:rPr>
              <w:t>DEM</w:t>
            </w:r>
          </w:p>
        </w:tc>
        <w:tc>
          <w:tcPr>
            <w:tcW w:w="900" w:type="dxa"/>
            <w:shd w:val="clear" w:color="auto" w:fill="auto"/>
            <w:vAlign w:val="center"/>
          </w:tcPr>
          <w:p w14:paraId="51516B92" w14:textId="303BC391" w:rsidR="00C93FE1" w:rsidRPr="0089545C" w:rsidRDefault="00C93FE1" w:rsidP="00C93FE1">
            <w:pPr>
              <w:jc w:val="center"/>
              <w:rPr>
                <w:color w:val="000000"/>
                <w:sz w:val="18"/>
                <w:szCs w:val="18"/>
              </w:rPr>
            </w:pPr>
            <w:r w:rsidRPr="0089545C">
              <w:rPr>
                <w:color w:val="000000"/>
                <w:sz w:val="18"/>
                <w:szCs w:val="18"/>
              </w:rPr>
              <w:t>Comm.</w:t>
            </w:r>
          </w:p>
        </w:tc>
        <w:tc>
          <w:tcPr>
            <w:tcW w:w="990" w:type="dxa"/>
            <w:vAlign w:val="center"/>
          </w:tcPr>
          <w:p w14:paraId="3B989CE0" w14:textId="13C7D5EA"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auto"/>
            <w:noWrap/>
            <w:vAlign w:val="center"/>
            <w:hideMark/>
          </w:tcPr>
          <w:p w14:paraId="68C7193C" w14:textId="0C31E94F" w:rsidR="00C93FE1" w:rsidRPr="0089545C" w:rsidRDefault="00C93FE1" w:rsidP="00C93FE1">
            <w:pPr>
              <w:jc w:val="center"/>
              <w:rPr>
                <w:color w:val="000000"/>
                <w:sz w:val="18"/>
                <w:szCs w:val="18"/>
              </w:rPr>
            </w:pPr>
            <w:r w:rsidRPr="0089545C">
              <w:rPr>
                <w:color w:val="000000"/>
                <w:sz w:val="18"/>
                <w:szCs w:val="18"/>
              </w:rPr>
              <w:t>x</w:t>
            </w:r>
          </w:p>
        </w:tc>
      </w:tr>
      <w:tr w:rsidR="00C93FE1" w:rsidRPr="00C93FE1" w14:paraId="24CC8EC8" w14:textId="77777777" w:rsidTr="008B4EBD">
        <w:trPr>
          <w:jc w:val="center"/>
        </w:trPr>
        <w:tc>
          <w:tcPr>
            <w:tcW w:w="1345" w:type="dxa"/>
            <w:shd w:val="clear" w:color="auto" w:fill="auto"/>
            <w:noWrap/>
            <w:vAlign w:val="center"/>
            <w:hideMark/>
          </w:tcPr>
          <w:p w14:paraId="1CBF8D1C" w14:textId="5E23FB30" w:rsidR="00C93FE1" w:rsidRPr="0089545C" w:rsidRDefault="00C93FE1" w:rsidP="0089545C">
            <w:pPr>
              <w:rPr>
                <w:i/>
                <w:color w:val="000000"/>
                <w:sz w:val="18"/>
                <w:szCs w:val="18"/>
              </w:rPr>
            </w:pPr>
            <w:r w:rsidRPr="0089545C">
              <w:rPr>
                <w:i/>
                <w:color w:val="000000"/>
                <w:sz w:val="18"/>
                <w:szCs w:val="18"/>
              </w:rPr>
              <w:t>Connecticut</w:t>
            </w:r>
          </w:p>
        </w:tc>
        <w:tc>
          <w:tcPr>
            <w:tcW w:w="1170" w:type="dxa"/>
            <w:shd w:val="clear" w:color="auto" w:fill="auto"/>
            <w:noWrap/>
            <w:vAlign w:val="center"/>
            <w:hideMark/>
          </w:tcPr>
          <w:p w14:paraId="7B951D25" w14:textId="2A068DAD" w:rsidR="00C93FE1" w:rsidRPr="0089545C" w:rsidRDefault="00C93FE1" w:rsidP="00C93FE1">
            <w:pPr>
              <w:jc w:val="center"/>
              <w:rPr>
                <w:color w:val="000000"/>
                <w:sz w:val="18"/>
                <w:szCs w:val="18"/>
              </w:rPr>
            </w:pPr>
            <w:r w:rsidRPr="0089545C">
              <w:rPr>
                <w:color w:val="000000"/>
                <w:sz w:val="18"/>
                <w:szCs w:val="18"/>
              </w:rPr>
              <w:t>3,605,944</w:t>
            </w:r>
          </w:p>
        </w:tc>
        <w:tc>
          <w:tcPr>
            <w:tcW w:w="720" w:type="dxa"/>
            <w:shd w:val="clear" w:color="auto" w:fill="auto"/>
            <w:noWrap/>
            <w:vAlign w:val="center"/>
            <w:hideMark/>
          </w:tcPr>
          <w:p w14:paraId="228C1A91" w14:textId="3CF3CD41" w:rsidR="00C93FE1" w:rsidRPr="0089545C" w:rsidRDefault="00C93FE1" w:rsidP="00C93FE1">
            <w:pPr>
              <w:jc w:val="center"/>
              <w:rPr>
                <w:color w:val="000000"/>
                <w:sz w:val="18"/>
                <w:szCs w:val="18"/>
              </w:rPr>
            </w:pPr>
            <w:r w:rsidRPr="0089545C">
              <w:rPr>
                <w:color w:val="000000"/>
                <w:sz w:val="18"/>
                <w:szCs w:val="18"/>
              </w:rPr>
              <w:t>5</w:t>
            </w:r>
          </w:p>
        </w:tc>
        <w:tc>
          <w:tcPr>
            <w:tcW w:w="1080" w:type="dxa"/>
            <w:shd w:val="clear" w:color="auto" w:fill="auto"/>
            <w:noWrap/>
            <w:vAlign w:val="center"/>
            <w:hideMark/>
          </w:tcPr>
          <w:p w14:paraId="73E3E58B" w14:textId="19BB813B" w:rsidR="00C93FE1" w:rsidRPr="0089545C" w:rsidRDefault="00C93FE1" w:rsidP="00C93FE1">
            <w:pPr>
              <w:jc w:val="center"/>
              <w:rPr>
                <w:color w:val="000000"/>
                <w:sz w:val="18"/>
                <w:szCs w:val="18"/>
              </w:rPr>
            </w:pPr>
            <w:r w:rsidRPr="0089545C">
              <w:rPr>
                <w:color w:val="000000"/>
                <w:sz w:val="18"/>
                <w:szCs w:val="18"/>
              </w:rPr>
              <w:t>L(C)</w:t>
            </w:r>
          </w:p>
        </w:tc>
        <w:tc>
          <w:tcPr>
            <w:tcW w:w="900" w:type="dxa"/>
            <w:shd w:val="clear" w:color="auto" w:fill="auto"/>
            <w:noWrap/>
            <w:vAlign w:val="center"/>
            <w:hideMark/>
          </w:tcPr>
          <w:p w14:paraId="08EA0088" w14:textId="050E31AB" w:rsidR="00C93FE1" w:rsidRPr="0089545C" w:rsidRDefault="00C93FE1" w:rsidP="00C93FE1">
            <w:pPr>
              <w:jc w:val="center"/>
              <w:rPr>
                <w:color w:val="000000"/>
                <w:sz w:val="18"/>
                <w:szCs w:val="18"/>
              </w:rPr>
            </w:pPr>
            <w:r w:rsidRPr="0089545C">
              <w:rPr>
                <w:color w:val="000000"/>
                <w:sz w:val="18"/>
                <w:szCs w:val="18"/>
              </w:rPr>
              <w:t>SPLIT</w:t>
            </w:r>
          </w:p>
        </w:tc>
        <w:tc>
          <w:tcPr>
            <w:tcW w:w="900" w:type="dxa"/>
            <w:shd w:val="clear" w:color="auto" w:fill="auto"/>
            <w:vAlign w:val="center"/>
          </w:tcPr>
          <w:p w14:paraId="14231EC7" w14:textId="274C3AEE" w:rsidR="00C93FE1" w:rsidRPr="0089545C" w:rsidRDefault="00C93FE1" w:rsidP="00C93FE1">
            <w:pPr>
              <w:jc w:val="center"/>
              <w:rPr>
                <w:color w:val="000000"/>
                <w:sz w:val="18"/>
                <w:szCs w:val="18"/>
              </w:rPr>
            </w:pPr>
            <w:r w:rsidRPr="0089545C">
              <w:rPr>
                <w:color w:val="000000"/>
                <w:sz w:val="18"/>
                <w:szCs w:val="18"/>
              </w:rPr>
              <w:t>Court</w:t>
            </w:r>
          </w:p>
        </w:tc>
        <w:tc>
          <w:tcPr>
            <w:tcW w:w="990" w:type="dxa"/>
            <w:vAlign w:val="center"/>
          </w:tcPr>
          <w:p w14:paraId="226062B4" w14:textId="117D9C24" w:rsidR="00C93FE1" w:rsidRPr="0089545C" w:rsidRDefault="00C93FE1" w:rsidP="00C93FE1">
            <w:pPr>
              <w:jc w:val="center"/>
              <w:rPr>
                <w:color w:val="000000"/>
                <w:sz w:val="18"/>
                <w:szCs w:val="18"/>
              </w:rPr>
            </w:pPr>
          </w:p>
        </w:tc>
        <w:tc>
          <w:tcPr>
            <w:tcW w:w="910" w:type="dxa"/>
            <w:shd w:val="clear" w:color="auto" w:fill="auto"/>
            <w:noWrap/>
            <w:vAlign w:val="center"/>
            <w:hideMark/>
          </w:tcPr>
          <w:p w14:paraId="66B765E2" w14:textId="77777777" w:rsidR="00C93FE1" w:rsidRPr="0089545C" w:rsidRDefault="00C93FE1" w:rsidP="00C93FE1">
            <w:pPr>
              <w:jc w:val="center"/>
              <w:rPr>
                <w:color w:val="000000"/>
                <w:sz w:val="18"/>
                <w:szCs w:val="18"/>
              </w:rPr>
            </w:pPr>
          </w:p>
        </w:tc>
      </w:tr>
      <w:tr w:rsidR="00C93FE1" w:rsidRPr="00C93FE1" w14:paraId="20EE0670" w14:textId="77777777" w:rsidTr="008B4EBD">
        <w:trPr>
          <w:jc w:val="center"/>
        </w:trPr>
        <w:tc>
          <w:tcPr>
            <w:tcW w:w="1345" w:type="dxa"/>
            <w:shd w:val="clear" w:color="auto" w:fill="auto"/>
            <w:noWrap/>
            <w:vAlign w:val="center"/>
            <w:hideMark/>
          </w:tcPr>
          <w:p w14:paraId="568E55E9" w14:textId="45F090AC" w:rsidR="00C93FE1" w:rsidRPr="0089545C" w:rsidRDefault="00C93FE1" w:rsidP="0089545C">
            <w:pPr>
              <w:rPr>
                <w:i/>
                <w:color w:val="000000"/>
                <w:sz w:val="18"/>
                <w:szCs w:val="18"/>
              </w:rPr>
            </w:pPr>
            <w:r w:rsidRPr="0089545C">
              <w:rPr>
                <w:i/>
                <w:color w:val="000000"/>
                <w:sz w:val="18"/>
                <w:szCs w:val="18"/>
              </w:rPr>
              <w:t>Delaware</w:t>
            </w:r>
          </w:p>
        </w:tc>
        <w:tc>
          <w:tcPr>
            <w:tcW w:w="1170" w:type="dxa"/>
            <w:shd w:val="clear" w:color="auto" w:fill="auto"/>
            <w:noWrap/>
            <w:vAlign w:val="center"/>
            <w:hideMark/>
          </w:tcPr>
          <w:p w14:paraId="2D82C1E2" w14:textId="268B836A" w:rsidR="00C93FE1" w:rsidRPr="0089545C" w:rsidRDefault="00C93FE1" w:rsidP="00C93FE1">
            <w:pPr>
              <w:jc w:val="center"/>
              <w:rPr>
                <w:color w:val="000000"/>
                <w:sz w:val="18"/>
                <w:szCs w:val="18"/>
              </w:rPr>
            </w:pPr>
            <w:r w:rsidRPr="0089545C">
              <w:rPr>
                <w:color w:val="000000"/>
                <w:sz w:val="18"/>
                <w:szCs w:val="18"/>
              </w:rPr>
              <w:t>989,948</w:t>
            </w:r>
          </w:p>
        </w:tc>
        <w:tc>
          <w:tcPr>
            <w:tcW w:w="720" w:type="dxa"/>
            <w:shd w:val="clear" w:color="auto" w:fill="auto"/>
            <w:noWrap/>
            <w:vAlign w:val="center"/>
            <w:hideMark/>
          </w:tcPr>
          <w:p w14:paraId="0C54C6B5" w14:textId="366329A5" w:rsidR="00C93FE1" w:rsidRPr="0089545C" w:rsidRDefault="00C93FE1" w:rsidP="00C93FE1">
            <w:pPr>
              <w:jc w:val="center"/>
              <w:rPr>
                <w:color w:val="000000"/>
                <w:sz w:val="18"/>
                <w:szCs w:val="18"/>
              </w:rPr>
            </w:pPr>
            <w:r w:rsidRPr="0089545C">
              <w:rPr>
                <w:color w:val="000000"/>
                <w:sz w:val="18"/>
                <w:szCs w:val="18"/>
              </w:rPr>
              <w:t>1</w:t>
            </w:r>
          </w:p>
        </w:tc>
        <w:tc>
          <w:tcPr>
            <w:tcW w:w="1080" w:type="dxa"/>
            <w:shd w:val="clear" w:color="auto" w:fill="auto"/>
            <w:noWrap/>
            <w:vAlign w:val="center"/>
            <w:hideMark/>
          </w:tcPr>
          <w:p w14:paraId="2B57CBCC" w14:textId="0C6FDA92" w:rsidR="00C93FE1" w:rsidRPr="0089545C" w:rsidRDefault="00C93FE1" w:rsidP="00C93FE1">
            <w:pPr>
              <w:jc w:val="center"/>
              <w:rPr>
                <w:color w:val="000000"/>
                <w:sz w:val="18"/>
                <w:szCs w:val="18"/>
              </w:rPr>
            </w:pPr>
            <w:r w:rsidRPr="0089545C">
              <w:rPr>
                <w:color w:val="000000"/>
                <w:sz w:val="18"/>
                <w:szCs w:val="18"/>
              </w:rPr>
              <w:t>-</w:t>
            </w:r>
          </w:p>
        </w:tc>
        <w:tc>
          <w:tcPr>
            <w:tcW w:w="900" w:type="dxa"/>
            <w:shd w:val="clear" w:color="auto" w:fill="auto"/>
            <w:noWrap/>
            <w:vAlign w:val="center"/>
            <w:hideMark/>
          </w:tcPr>
          <w:p w14:paraId="623213DE" w14:textId="198BA3AD" w:rsidR="00C93FE1" w:rsidRPr="0089545C" w:rsidRDefault="00C93FE1" w:rsidP="00C93FE1">
            <w:pPr>
              <w:jc w:val="center"/>
              <w:rPr>
                <w:color w:val="000000"/>
                <w:sz w:val="18"/>
                <w:szCs w:val="18"/>
              </w:rPr>
            </w:pPr>
            <w:r w:rsidRPr="0089545C">
              <w:rPr>
                <w:color w:val="000000"/>
                <w:sz w:val="18"/>
                <w:szCs w:val="18"/>
              </w:rPr>
              <w:t>-</w:t>
            </w:r>
          </w:p>
        </w:tc>
        <w:tc>
          <w:tcPr>
            <w:tcW w:w="900" w:type="dxa"/>
            <w:shd w:val="clear" w:color="auto" w:fill="auto"/>
            <w:vAlign w:val="center"/>
          </w:tcPr>
          <w:p w14:paraId="363125C8" w14:textId="7793548B" w:rsidR="00C93FE1" w:rsidRPr="0089545C" w:rsidRDefault="00C93FE1" w:rsidP="00C93FE1">
            <w:pPr>
              <w:jc w:val="center"/>
              <w:rPr>
                <w:color w:val="000000"/>
                <w:sz w:val="18"/>
                <w:szCs w:val="18"/>
              </w:rPr>
            </w:pPr>
            <w:r w:rsidRPr="0089545C">
              <w:rPr>
                <w:color w:val="000000"/>
                <w:sz w:val="18"/>
                <w:szCs w:val="18"/>
              </w:rPr>
              <w:t>-</w:t>
            </w:r>
          </w:p>
        </w:tc>
        <w:tc>
          <w:tcPr>
            <w:tcW w:w="990" w:type="dxa"/>
            <w:vAlign w:val="center"/>
          </w:tcPr>
          <w:p w14:paraId="16834658" w14:textId="1ADBBE6A" w:rsidR="00C93FE1" w:rsidRPr="0089545C" w:rsidRDefault="00C93FE1" w:rsidP="00C93FE1">
            <w:pPr>
              <w:jc w:val="center"/>
              <w:rPr>
                <w:color w:val="000000"/>
                <w:sz w:val="18"/>
                <w:szCs w:val="18"/>
              </w:rPr>
            </w:pPr>
          </w:p>
        </w:tc>
        <w:tc>
          <w:tcPr>
            <w:tcW w:w="910" w:type="dxa"/>
            <w:shd w:val="clear" w:color="auto" w:fill="auto"/>
            <w:noWrap/>
            <w:vAlign w:val="center"/>
            <w:hideMark/>
          </w:tcPr>
          <w:p w14:paraId="452E6BE5" w14:textId="132F64C0" w:rsidR="00C93FE1" w:rsidRPr="0089545C" w:rsidRDefault="00C93FE1" w:rsidP="00C93FE1">
            <w:pPr>
              <w:jc w:val="center"/>
              <w:rPr>
                <w:color w:val="000000"/>
                <w:sz w:val="18"/>
                <w:szCs w:val="18"/>
              </w:rPr>
            </w:pPr>
            <w:r w:rsidRPr="0089545C">
              <w:rPr>
                <w:color w:val="000000"/>
                <w:sz w:val="18"/>
                <w:szCs w:val="18"/>
              </w:rPr>
              <w:t>x</w:t>
            </w:r>
          </w:p>
        </w:tc>
      </w:tr>
      <w:tr w:rsidR="00C133C9" w:rsidRPr="00C93FE1" w14:paraId="7E9D4EE9" w14:textId="77777777" w:rsidTr="008B4EBD">
        <w:trPr>
          <w:jc w:val="center"/>
        </w:trPr>
        <w:tc>
          <w:tcPr>
            <w:tcW w:w="1345" w:type="dxa"/>
            <w:shd w:val="clear" w:color="auto" w:fill="D9D9D9" w:themeFill="background1" w:themeFillShade="D9"/>
            <w:noWrap/>
            <w:vAlign w:val="center"/>
            <w:hideMark/>
          </w:tcPr>
          <w:p w14:paraId="6679ACC9" w14:textId="4BFD6688" w:rsidR="00C93FE1" w:rsidRPr="0089545C" w:rsidRDefault="00C93FE1" w:rsidP="0089545C">
            <w:pPr>
              <w:rPr>
                <w:i/>
                <w:color w:val="000000"/>
                <w:sz w:val="18"/>
                <w:szCs w:val="18"/>
              </w:rPr>
            </w:pPr>
            <w:r w:rsidRPr="0089545C">
              <w:rPr>
                <w:i/>
                <w:color w:val="000000"/>
                <w:sz w:val="18"/>
                <w:szCs w:val="18"/>
              </w:rPr>
              <w:t>Florida</w:t>
            </w:r>
          </w:p>
        </w:tc>
        <w:tc>
          <w:tcPr>
            <w:tcW w:w="1170" w:type="dxa"/>
            <w:shd w:val="clear" w:color="auto" w:fill="D9D9D9" w:themeFill="background1" w:themeFillShade="D9"/>
            <w:noWrap/>
            <w:vAlign w:val="center"/>
            <w:hideMark/>
          </w:tcPr>
          <w:p w14:paraId="64E67A67" w14:textId="3F4FEEFD" w:rsidR="00C93FE1" w:rsidRPr="0089545C" w:rsidRDefault="00C93FE1" w:rsidP="00C93FE1">
            <w:pPr>
              <w:jc w:val="center"/>
              <w:rPr>
                <w:color w:val="000000"/>
                <w:sz w:val="18"/>
                <w:szCs w:val="18"/>
              </w:rPr>
            </w:pPr>
            <w:r w:rsidRPr="0089545C">
              <w:rPr>
                <w:color w:val="000000"/>
                <w:sz w:val="18"/>
                <w:szCs w:val="18"/>
              </w:rPr>
              <w:t>21,538,187</w:t>
            </w:r>
          </w:p>
        </w:tc>
        <w:tc>
          <w:tcPr>
            <w:tcW w:w="720" w:type="dxa"/>
            <w:shd w:val="clear" w:color="auto" w:fill="D9D9D9" w:themeFill="background1" w:themeFillShade="D9"/>
            <w:noWrap/>
            <w:vAlign w:val="center"/>
            <w:hideMark/>
          </w:tcPr>
          <w:p w14:paraId="78F2A405" w14:textId="4D97685B" w:rsidR="00C93FE1" w:rsidRPr="0089545C" w:rsidRDefault="00C93FE1" w:rsidP="00C93FE1">
            <w:pPr>
              <w:jc w:val="center"/>
              <w:rPr>
                <w:color w:val="000000"/>
                <w:sz w:val="18"/>
                <w:szCs w:val="18"/>
              </w:rPr>
            </w:pPr>
            <w:r w:rsidRPr="0089545C">
              <w:rPr>
                <w:color w:val="000000"/>
                <w:sz w:val="18"/>
                <w:szCs w:val="18"/>
              </w:rPr>
              <w:t>28</w:t>
            </w:r>
          </w:p>
        </w:tc>
        <w:tc>
          <w:tcPr>
            <w:tcW w:w="1080" w:type="dxa"/>
            <w:shd w:val="clear" w:color="auto" w:fill="D9D9D9" w:themeFill="background1" w:themeFillShade="D9"/>
            <w:noWrap/>
            <w:vAlign w:val="center"/>
            <w:hideMark/>
          </w:tcPr>
          <w:p w14:paraId="0F8B5585" w14:textId="2EFE704C"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6F5C92F9" w14:textId="561A985E"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4D7F5B7C" w14:textId="1B29C895"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29E575CC" w14:textId="0EBF5A96"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D9D9D9" w:themeFill="background1" w:themeFillShade="D9"/>
            <w:noWrap/>
            <w:vAlign w:val="center"/>
            <w:hideMark/>
          </w:tcPr>
          <w:p w14:paraId="62E4CD1A" w14:textId="77777777" w:rsidR="00C93FE1" w:rsidRPr="0089545C" w:rsidRDefault="00C93FE1" w:rsidP="00C93FE1">
            <w:pPr>
              <w:jc w:val="center"/>
              <w:rPr>
                <w:color w:val="000000"/>
                <w:sz w:val="18"/>
                <w:szCs w:val="18"/>
              </w:rPr>
            </w:pPr>
          </w:p>
        </w:tc>
      </w:tr>
      <w:tr w:rsidR="00C133C9" w:rsidRPr="00C93FE1" w14:paraId="0591200D" w14:textId="77777777" w:rsidTr="008B4EBD">
        <w:trPr>
          <w:jc w:val="center"/>
        </w:trPr>
        <w:tc>
          <w:tcPr>
            <w:tcW w:w="1345" w:type="dxa"/>
            <w:shd w:val="clear" w:color="auto" w:fill="D9D9D9" w:themeFill="background1" w:themeFillShade="D9"/>
            <w:noWrap/>
            <w:vAlign w:val="center"/>
            <w:hideMark/>
          </w:tcPr>
          <w:p w14:paraId="73E93322" w14:textId="31456886" w:rsidR="00C93FE1" w:rsidRPr="0089545C" w:rsidRDefault="00C93FE1" w:rsidP="0089545C">
            <w:pPr>
              <w:rPr>
                <w:i/>
                <w:color w:val="000000"/>
                <w:sz w:val="18"/>
                <w:szCs w:val="18"/>
              </w:rPr>
            </w:pPr>
            <w:r w:rsidRPr="0089545C">
              <w:rPr>
                <w:i/>
                <w:color w:val="000000"/>
                <w:sz w:val="18"/>
                <w:szCs w:val="18"/>
              </w:rPr>
              <w:t>Georgia</w:t>
            </w:r>
          </w:p>
        </w:tc>
        <w:tc>
          <w:tcPr>
            <w:tcW w:w="1170" w:type="dxa"/>
            <w:shd w:val="clear" w:color="auto" w:fill="D9D9D9" w:themeFill="background1" w:themeFillShade="D9"/>
            <w:noWrap/>
            <w:vAlign w:val="center"/>
            <w:hideMark/>
          </w:tcPr>
          <w:p w14:paraId="545B8E2B" w14:textId="5BE33E51" w:rsidR="00C93FE1" w:rsidRPr="0089545C" w:rsidRDefault="00C93FE1" w:rsidP="00C93FE1">
            <w:pPr>
              <w:jc w:val="center"/>
              <w:rPr>
                <w:color w:val="000000"/>
                <w:sz w:val="18"/>
                <w:szCs w:val="18"/>
              </w:rPr>
            </w:pPr>
            <w:r w:rsidRPr="0089545C">
              <w:rPr>
                <w:color w:val="000000"/>
                <w:sz w:val="18"/>
                <w:szCs w:val="18"/>
              </w:rPr>
              <w:t>10,711,908</w:t>
            </w:r>
          </w:p>
        </w:tc>
        <w:tc>
          <w:tcPr>
            <w:tcW w:w="720" w:type="dxa"/>
            <w:shd w:val="clear" w:color="auto" w:fill="D9D9D9" w:themeFill="background1" w:themeFillShade="D9"/>
            <w:noWrap/>
            <w:vAlign w:val="center"/>
            <w:hideMark/>
          </w:tcPr>
          <w:p w14:paraId="5769FA56" w14:textId="59C46181" w:rsidR="00C93FE1" w:rsidRPr="0089545C" w:rsidRDefault="00C93FE1" w:rsidP="00C93FE1">
            <w:pPr>
              <w:jc w:val="center"/>
              <w:rPr>
                <w:color w:val="000000"/>
                <w:sz w:val="18"/>
                <w:szCs w:val="18"/>
              </w:rPr>
            </w:pPr>
            <w:r w:rsidRPr="0089545C">
              <w:rPr>
                <w:color w:val="000000"/>
                <w:sz w:val="18"/>
                <w:szCs w:val="18"/>
              </w:rPr>
              <w:t>14</w:t>
            </w:r>
          </w:p>
        </w:tc>
        <w:tc>
          <w:tcPr>
            <w:tcW w:w="1080" w:type="dxa"/>
            <w:shd w:val="clear" w:color="auto" w:fill="D9D9D9" w:themeFill="background1" w:themeFillShade="D9"/>
            <w:noWrap/>
            <w:vAlign w:val="center"/>
            <w:hideMark/>
          </w:tcPr>
          <w:p w14:paraId="17B5929B" w14:textId="15D24387"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2BC60439" w14:textId="33D6528B"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669CD639" w14:textId="0DD2BCC5"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29D3288B" w14:textId="7B2497DC"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24C71C30" w14:textId="77777777" w:rsidR="00C93FE1" w:rsidRPr="0089545C" w:rsidRDefault="00C93FE1" w:rsidP="00C93FE1">
            <w:pPr>
              <w:jc w:val="center"/>
              <w:rPr>
                <w:color w:val="000000"/>
                <w:sz w:val="18"/>
                <w:szCs w:val="18"/>
              </w:rPr>
            </w:pPr>
          </w:p>
        </w:tc>
      </w:tr>
      <w:tr w:rsidR="00C93FE1" w:rsidRPr="00C93FE1" w14:paraId="49E10532" w14:textId="77777777" w:rsidTr="008B4EBD">
        <w:trPr>
          <w:jc w:val="center"/>
        </w:trPr>
        <w:tc>
          <w:tcPr>
            <w:tcW w:w="1345" w:type="dxa"/>
            <w:shd w:val="clear" w:color="auto" w:fill="auto"/>
            <w:noWrap/>
            <w:vAlign w:val="center"/>
            <w:hideMark/>
          </w:tcPr>
          <w:p w14:paraId="2B87588F" w14:textId="34C6D151" w:rsidR="00C93FE1" w:rsidRPr="0089545C" w:rsidRDefault="00C93FE1" w:rsidP="0089545C">
            <w:pPr>
              <w:rPr>
                <w:i/>
                <w:color w:val="000000"/>
                <w:sz w:val="18"/>
                <w:szCs w:val="18"/>
              </w:rPr>
            </w:pPr>
            <w:r w:rsidRPr="0089545C">
              <w:rPr>
                <w:i/>
                <w:color w:val="000000"/>
                <w:sz w:val="18"/>
                <w:szCs w:val="18"/>
              </w:rPr>
              <w:t>Hawaii</w:t>
            </w:r>
          </w:p>
        </w:tc>
        <w:tc>
          <w:tcPr>
            <w:tcW w:w="1170" w:type="dxa"/>
            <w:shd w:val="clear" w:color="auto" w:fill="auto"/>
            <w:noWrap/>
            <w:vAlign w:val="center"/>
            <w:hideMark/>
          </w:tcPr>
          <w:p w14:paraId="025D2485" w14:textId="4C1812CD" w:rsidR="00C93FE1" w:rsidRPr="0089545C" w:rsidRDefault="00C93FE1" w:rsidP="00C93FE1">
            <w:pPr>
              <w:jc w:val="center"/>
              <w:rPr>
                <w:color w:val="000000"/>
                <w:sz w:val="18"/>
                <w:szCs w:val="18"/>
              </w:rPr>
            </w:pPr>
            <w:r w:rsidRPr="0089545C">
              <w:rPr>
                <w:color w:val="000000"/>
                <w:sz w:val="18"/>
                <w:szCs w:val="18"/>
              </w:rPr>
              <w:t>1,455,271</w:t>
            </w:r>
          </w:p>
        </w:tc>
        <w:tc>
          <w:tcPr>
            <w:tcW w:w="720" w:type="dxa"/>
            <w:shd w:val="clear" w:color="auto" w:fill="auto"/>
            <w:noWrap/>
            <w:vAlign w:val="center"/>
            <w:hideMark/>
          </w:tcPr>
          <w:p w14:paraId="4A4EA921" w14:textId="66F67622" w:rsidR="00C93FE1" w:rsidRPr="0089545C" w:rsidRDefault="00C93FE1" w:rsidP="00C93FE1">
            <w:pPr>
              <w:jc w:val="center"/>
              <w:rPr>
                <w:color w:val="000000"/>
                <w:sz w:val="18"/>
                <w:szCs w:val="18"/>
              </w:rPr>
            </w:pPr>
            <w:r w:rsidRPr="0089545C">
              <w:rPr>
                <w:color w:val="000000"/>
                <w:sz w:val="18"/>
                <w:szCs w:val="18"/>
              </w:rPr>
              <w:t>2</w:t>
            </w:r>
          </w:p>
        </w:tc>
        <w:tc>
          <w:tcPr>
            <w:tcW w:w="1080" w:type="dxa"/>
            <w:shd w:val="clear" w:color="auto" w:fill="auto"/>
            <w:noWrap/>
            <w:vAlign w:val="center"/>
            <w:hideMark/>
          </w:tcPr>
          <w:p w14:paraId="46BB3447" w14:textId="7486F28B" w:rsidR="00C93FE1" w:rsidRPr="0089545C" w:rsidRDefault="00C93FE1" w:rsidP="00C93FE1">
            <w:pPr>
              <w:jc w:val="center"/>
              <w:rPr>
                <w:color w:val="000000"/>
                <w:sz w:val="18"/>
                <w:szCs w:val="18"/>
              </w:rPr>
            </w:pPr>
            <w:r w:rsidRPr="0089545C">
              <w:rPr>
                <w:color w:val="000000"/>
                <w:sz w:val="18"/>
                <w:szCs w:val="18"/>
              </w:rPr>
              <w:t>C(P)</w:t>
            </w:r>
          </w:p>
        </w:tc>
        <w:tc>
          <w:tcPr>
            <w:tcW w:w="900" w:type="dxa"/>
            <w:shd w:val="clear" w:color="auto" w:fill="auto"/>
            <w:noWrap/>
            <w:vAlign w:val="center"/>
            <w:hideMark/>
          </w:tcPr>
          <w:p w14:paraId="16D157BF" w14:textId="268AE1BE" w:rsidR="00C93FE1" w:rsidRPr="0089545C" w:rsidRDefault="00C93FE1" w:rsidP="00C93FE1">
            <w:pPr>
              <w:jc w:val="center"/>
              <w:rPr>
                <w:color w:val="000000"/>
                <w:sz w:val="18"/>
                <w:szCs w:val="18"/>
              </w:rPr>
            </w:pPr>
            <w:r w:rsidRPr="0089545C">
              <w:rPr>
                <w:color w:val="000000"/>
                <w:sz w:val="18"/>
                <w:szCs w:val="18"/>
              </w:rPr>
              <w:t>DEM</w:t>
            </w:r>
          </w:p>
        </w:tc>
        <w:tc>
          <w:tcPr>
            <w:tcW w:w="900" w:type="dxa"/>
            <w:shd w:val="clear" w:color="auto" w:fill="auto"/>
            <w:vAlign w:val="center"/>
          </w:tcPr>
          <w:p w14:paraId="781FE697" w14:textId="41E10CDC" w:rsidR="00C93FE1" w:rsidRPr="0089545C" w:rsidRDefault="00C93FE1" w:rsidP="00C93FE1">
            <w:pPr>
              <w:jc w:val="center"/>
              <w:rPr>
                <w:color w:val="000000"/>
                <w:sz w:val="18"/>
                <w:szCs w:val="18"/>
              </w:rPr>
            </w:pPr>
            <w:r w:rsidRPr="0089545C">
              <w:rPr>
                <w:color w:val="000000"/>
                <w:sz w:val="18"/>
                <w:szCs w:val="18"/>
              </w:rPr>
              <w:t>Comm.</w:t>
            </w:r>
          </w:p>
        </w:tc>
        <w:tc>
          <w:tcPr>
            <w:tcW w:w="990" w:type="dxa"/>
            <w:vAlign w:val="center"/>
          </w:tcPr>
          <w:p w14:paraId="7ADE3580" w14:textId="1A32B139"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auto"/>
            <w:noWrap/>
            <w:vAlign w:val="center"/>
            <w:hideMark/>
          </w:tcPr>
          <w:p w14:paraId="39B75913" w14:textId="77777777" w:rsidR="00C93FE1" w:rsidRPr="0089545C" w:rsidRDefault="00C93FE1" w:rsidP="00C93FE1">
            <w:pPr>
              <w:jc w:val="center"/>
              <w:rPr>
                <w:color w:val="000000"/>
                <w:sz w:val="18"/>
                <w:szCs w:val="18"/>
              </w:rPr>
            </w:pPr>
          </w:p>
        </w:tc>
      </w:tr>
      <w:tr w:rsidR="00C93FE1" w:rsidRPr="00C93FE1" w14:paraId="12B19BA8" w14:textId="77777777" w:rsidTr="008B4EBD">
        <w:trPr>
          <w:jc w:val="center"/>
        </w:trPr>
        <w:tc>
          <w:tcPr>
            <w:tcW w:w="1345" w:type="dxa"/>
            <w:shd w:val="clear" w:color="auto" w:fill="auto"/>
            <w:noWrap/>
            <w:vAlign w:val="center"/>
            <w:hideMark/>
          </w:tcPr>
          <w:p w14:paraId="58911A17" w14:textId="28A142EB" w:rsidR="00C93FE1" w:rsidRPr="0089545C" w:rsidRDefault="00C93FE1" w:rsidP="0089545C">
            <w:pPr>
              <w:rPr>
                <w:i/>
                <w:color w:val="000000"/>
                <w:sz w:val="18"/>
                <w:szCs w:val="18"/>
              </w:rPr>
            </w:pPr>
            <w:r w:rsidRPr="0089545C">
              <w:rPr>
                <w:i/>
                <w:color w:val="000000"/>
                <w:sz w:val="18"/>
                <w:szCs w:val="18"/>
              </w:rPr>
              <w:t>Idaho</w:t>
            </w:r>
          </w:p>
        </w:tc>
        <w:tc>
          <w:tcPr>
            <w:tcW w:w="1170" w:type="dxa"/>
            <w:shd w:val="clear" w:color="auto" w:fill="auto"/>
            <w:noWrap/>
            <w:vAlign w:val="center"/>
            <w:hideMark/>
          </w:tcPr>
          <w:p w14:paraId="51A2D6C5" w14:textId="4CBED273" w:rsidR="00C93FE1" w:rsidRPr="0089545C" w:rsidRDefault="00C93FE1" w:rsidP="00C93FE1">
            <w:pPr>
              <w:jc w:val="center"/>
              <w:rPr>
                <w:color w:val="000000"/>
                <w:sz w:val="18"/>
                <w:szCs w:val="18"/>
              </w:rPr>
            </w:pPr>
            <w:r w:rsidRPr="0089545C">
              <w:rPr>
                <w:color w:val="000000"/>
                <w:sz w:val="18"/>
                <w:szCs w:val="18"/>
              </w:rPr>
              <w:t>1,839,106</w:t>
            </w:r>
          </w:p>
        </w:tc>
        <w:tc>
          <w:tcPr>
            <w:tcW w:w="720" w:type="dxa"/>
            <w:shd w:val="clear" w:color="auto" w:fill="auto"/>
            <w:noWrap/>
            <w:vAlign w:val="center"/>
            <w:hideMark/>
          </w:tcPr>
          <w:p w14:paraId="6F162B6A" w14:textId="3D18818E" w:rsidR="00C93FE1" w:rsidRPr="0089545C" w:rsidRDefault="00C93FE1" w:rsidP="00C93FE1">
            <w:pPr>
              <w:jc w:val="center"/>
              <w:rPr>
                <w:color w:val="000000"/>
                <w:sz w:val="18"/>
                <w:szCs w:val="18"/>
              </w:rPr>
            </w:pPr>
            <w:r w:rsidRPr="0089545C">
              <w:rPr>
                <w:color w:val="000000"/>
                <w:sz w:val="18"/>
                <w:szCs w:val="18"/>
              </w:rPr>
              <w:t>2</w:t>
            </w:r>
          </w:p>
        </w:tc>
        <w:tc>
          <w:tcPr>
            <w:tcW w:w="1080" w:type="dxa"/>
            <w:shd w:val="clear" w:color="auto" w:fill="auto"/>
            <w:noWrap/>
            <w:vAlign w:val="center"/>
            <w:hideMark/>
          </w:tcPr>
          <w:p w14:paraId="408C7845" w14:textId="5359CA7F" w:rsidR="00C93FE1" w:rsidRPr="0089545C" w:rsidRDefault="00C93FE1" w:rsidP="00C93FE1">
            <w:pPr>
              <w:jc w:val="center"/>
              <w:rPr>
                <w:color w:val="000000"/>
                <w:sz w:val="18"/>
                <w:szCs w:val="18"/>
              </w:rPr>
            </w:pPr>
            <w:r w:rsidRPr="0089545C">
              <w:rPr>
                <w:color w:val="000000"/>
                <w:sz w:val="18"/>
                <w:szCs w:val="18"/>
              </w:rPr>
              <w:t>C</w:t>
            </w:r>
          </w:p>
        </w:tc>
        <w:tc>
          <w:tcPr>
            <w:tcW w:w="900" w:type="dxa"/>
            <w:shd w:val="clear" w:color="auto" w:fill="auto"/>
            <w:noWrap/>
            <w:vAlign w:val="center"/>
            <w:hideMark/>
          </w:tcPr>
          <w:p w14:paraId="67EEC528" w14:textId="24558DE8"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auto"/>
            <w:vAlign w:val="center"/>
          </w:tcPr>
          <w:p w14:paraId="4E0E846B" w14:textId="6C847B0F" w:rsidR="00C93FE1" w:rsidRPr="0089545C" w:rsidRDefault="00C93FE1" w:rsidP="00C93FE1">
            <w:pPr>
              <w:jc w:val="center"/>
              <w:rPr>
                <w:color w:val="000000"/>
                <w:sz w:val="18"/>
                <w:szCs w:val="18"/>
              </w:rPr>
            </w:pPr>
            <w:r w:rsidRPr="0089545C">
              <w:rPr>
                <w:color w:val="000000"/>
                <w:sz w:val="18"/>
                <w:szCs w:val="18"/>
              </w:rPr>
              <w:t>Comm.</w:t>
            </w:r>
          </w:p>
        </w:tc>
        <w:tc>
          <w:tcPr>
            <w:tcW w:w="990" w:type="dxa"/>
            <w:vAlign w:val="center"/>
          </w:tcPr>
          <w:p w14:paraId="1DFAE480" w14:textId="75F81256"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auto"/>
            <w:noWrap/>
            <w:vAlign w:val="center"/>
            <w:hideMark/>
          </w:tcPr>
          <w:p w14:paraId="3D1CBDFE" w14:textId="77777777" w:rsidR="00C93FE1" w:rsidRPr="0089545C" w:rsidRDefault="00C93FE1" w:rsidP="00C93FE1">
            <w:pPr>
              <w:jc w:val="center"/>
              <w:rPr>
                <w:color w:val="000000"/>
                <w:sz w:val="18"/>
                <w:szCs w:val="18"/>
              </w:rPr>
            </w:pPr>
          </w:p>
        </w:tc>
      </w:tr>
      <w:tr w:rsidR="00C133C9" w:rsidRPr="00C93FE1" w14:paraId="530C7008" w14:textId="77777777" w:rsidTr="008B4EBD">
        <w:trPr>
          <w:jc w:val="center"/>
        </w:trPr>
        <w:tc>
          <w:tcPr>
            <w:tcW w:w="1345" w:type="dxa"/>
            <w:shd w:val="clear" w:color="auto" w:fill="D9D9D9" w:themeFill="background1" w:themeFillShade="D9"/>
            <w:noWrap/>
            <w:vAlign w:val="center"/>
            <w:hideMark/>
          </w:tcPr>
          <w:p w14:paraId="42AD4277" w14:textId="7E27E181" w:rsidR="00C93FE1" w:rsidRPr="0089545C" w:rsidRDefault="00C93FE1" w:rsidP="0089545C">
            <w:pPr>
              <w:rPr>
                <w:i/>
                <w:color w:val="000000"/>
                <w:sz w:val="18"/>
                <w:szCs w:val="18"/>
              </w:rPr>
            </w:pPr>
            <w:r w:rsidRPr="0089545C">
              <w:rPr>
                <w:i/>
                <w:color w:val="000000"/>
                <w:sz w:val="18"/>
                <w:szCs w:val="18"/>
              </w:rPr>
              <w:lastRenderedPageBreak/>
              <w:t>Illinois</w:t>
            </w:r>
          </w:p>
        </w:tc>
        <w:tc>
          <w:tcPr>
            <w:tcW w:w="1170" w:type="dxa"/>
            <w:shd w:val="clear" w:color="auto" w:fill="D9D9D9" w:themeFill="background1" w:themeFillShade="D9"/>
            <w:noWrap/>
            <w:vAlign w:val="center"/>
            <w:hideMark/>
          </w:tcPr>
          <w:p w14:paraId="0BDB9F2F" w14:textId="20D2FCC0" w:rsidR="00C93FE1" w:rsidRPr="0089545C" w:rsidRDefault="00C93FE1" w:rsidP="00C93FE1">
            <w:pPr>
              <w:jc w:val="center"/>
              <w:rPr>
                <w:color w:val="000000"/>
                <w:sz w:val="18"/>
                <w:szCs w:val="18"/>
              </w:rPr>
            </w:pPr>
            <w:r w:rsidRPr="0089545C">
              <w:rPr>
                <w:color w:val="000000"/>
                <w:sz w:val="18"/>
                <w:szCs w:val="18"/>
              </w:rPr>
              <w:t>12,812,508</w:t>
            </w:r>
          </w:p>
        </w:tc>
        <w:tc>
          <w:tcPr>
            <w:tcW w:w="720" w:type="dxa"/>
            <w:shd w:val="clear" w:color="auto" w:fill="D9D9D9" w:themeFill="background1" w:themeFillShade="D9"/>
            <w:noWrap/>
            <w:vAlign w:val="center"/>
            <w:hideMark/>
          </w:tcPr>
          <w:p w14:paraId="03767A49" w14:textId="2ED8F35B" w:rsidR="00C93FE1" w:rsidRPr="0089545C" w:rsidRDefault="00C93FE1" w:rsidP="00C93FE1">
            <w:pPr>
              <w:jc w:val="center"/>
              <w:rPr>
                <w:color w:val="000000"/>
                <w:sz w:val="18"/>
                <w:szCs w:val="18"/>
              </w:rPr>
            </w:pPr>
            <w:r w:rsidRPr="0089545C">
              <w:rPr>
                <w:color w:val="000000"/>
                <w:sz w:val="18"/>
                <w:szCs w:val="18"/>
              </w:rPr>
              <w:t>17</w:t>
            </w:r>
          </w:p>
        </w:tc>
        <w:tc>
          <w:tcPr>
            <w:tcW w:w="1080" w:type="dxa"/>
            <w:shd w:val="clear" w:color="auto" w:fill="D9D9D9" w:themeFill="background1" w:themeFillShade="D9"/>
            <w:noWrap/>
            <w:vAlign w:val="center"/>
            <w:hideMark/>
          </w:tcPr>
          <w:p w14:paraId="733DFC70" w14:textId="21089658"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2C0A3E30" w14:textId="7DC12C6A" w:rsidR="00C93FE1" w:rsidRPr="0089545C" w:rsidRDefault="00C93FE1" w:rsidP="00C93FE1">
            <w:pPr>
              <w:jc w:val="center"/>
              <w:rPr>
                <w:color w:val="000000"/>
                <w:sz w:val="18"/>
                <w:szCs w:val="18"/>
              </w:rPr>
            </w:pPr>
            <w:r w:rsidRPr="0089545C">
              <w:rPr>
                <w:color w:val="000000"/>
                <w:sz w:val="18"/>
                <w:szCs w:val="18"/>
              </w:rPr>
              <w:t>DEM</w:t>
            </w:r>
          </w:p>
        </w:tc>
        <w:tc>
          <w:tcPr>
            <w:tcW w:w="900" w:type="dxa"/>
            <w:shd w:val="clear" w:color="auto" w:fill="D9D9D9" w:themeFill="background1" w:themeFillShade="D9"/>
            <w:vAlign w:val="center"/>
          </w:tcPr>
          <w:p w14:paraId="200087B0" w14:textId="6E3F87EE"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4F623305" w14:textId="45E2CB55"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054C169E" w14:textId="4FFDB0C7" w:rsidR="00C93FE1" w:rsidRPr="0089545C" w:rsidRDefault="00C93FE1" w:rsidP="00C93FE1">
            <w:pPr>
              <w:jc w:val="center"/>
              <w:rPr>
                <w:color w:val="000000"/>
                <w:sz w:val="18"/>
                <w:szCs w:val="18"/>
              </w:rPr>
            </w:pPr>
            <w:r w:rsidRPr="0089545C">
              <w:rPr>
                <w:color w:val="000000"/>
                <w:sz w:val="18"/>
                <w:szCs w:val="18"/>
              </w:rPr>
              <w:t>x</w:t>
            </w:r>
          </w:p>
        </w:tc>
      </w:tr>
      <w:tr w:rsidR="00C133C9" w:rsidRPr="00C93FE1" w14:paraId="79683DDD" w14:textId="77777777" w:rsidTr="008B4EBD">
        <w:trPr>
          <w:jc w:val="center"/>
        </w:trPr>
        <w:tc>
          <w:tcPr>
            <w:tcW w:w="1345" w:type="dxa"/>
            <w:shd w:val="clear" w:color="auto" w:fill="D9D9D9" w:themeFill="background1" w:themeFillShade="D9"/>
            <w:noWrap/>
            <w:vAlign w:val="center"/>
            <w:hideMark/>
          </w:tcPr>
          <w:p w14:paraId="1F32CB6F" w14:textId="3A41DE9E" w:rsidR="00C93FE1" w:rsidRPr="0089545C" w:rsidRDefault="00C93FE1" w:rsidP="0089545C">
            <w:pPr>
              <w:rPr>
                <w:i/>
                <w:color w:val="000000"/>
                <w:sz w:val="18"/>
                <w:szCs w:val="18"/>
              </w:rPr>
            </w:pPr>
            <w:r w:rsidRPr="0089545C">
              <w:rPr>
                <w:i/>
                <w:color w:val="000000"/>
                <w:sz w:val="18"/>
                <w:szCs w:val="18"/>
              </w:rPr>
              <w:t>Indiana</w:t>
            </w:r>
          </w:p>
        </w:tc>
        <w:tc>
          <w:tcPr>
            <w:tcW w:w="1170" w:type="dxa"/>
            <w:shd w:val="clear" w:color="auto" w:fill="D9D9D9" w:themeFill="background1" w:themeFillShade="D9"/>
            <w:noWrap/>
            <w:vAlign w:val="center"/>
            <w:hideMark/>
          </w:tcPr>
          <w:p w14:paraId="7AB323B5" w14:textId="61648CF7" w:rsidR="00C93FE1" w:rsidRPr="0089545C" w:rsidRDefault="00C93FE1" w:rsidP="00C93FE1">
            <w:pPr>
              <w:jc w:val="center"/>
              <w:rPr>
                <w:color w:val="000000"/>
                <w:sz w:val="18"/>
                <w:szCs w:val="18"/>
              </w:rPr>
            </w:pPr>
            <w:r w:rsidRPr="0089545C">
              <w:rPr>
                <w:color w:val="000000"/>
                <w:sz w:val="18"/>
                <w:szCs w:val="18"/>
              </w:rPr>
              <w:t>6,785,528</w:t>
            </w:r>
          </w:p>
        </w:tc>
        <w:tc>
          <w:tcPr>
            <w:tcW w:w="720" w:type="dxa"/>
            <w:shd w:val="clear" w:color="auto" w:fill="D9D9D9" w:themeFill="background1" w:themeFillShade="D9"/>
            <w:noWrap/>
            <w:vAlign w:val="center"/>
            <w:hideMark/>
          </w:tcPr>
          <w:p w14:paraId="456DD469" w14:textId="0A75C68D" w:rsidR="00C93FE1" w:rsidRPr="0089545C" w:rsidRDefault="00C93FE1" w:rsidP="00C93FE1">
            <w:pPr>
              <w:jc w:val="center"/>
              <w:rPr>
                <w:color w:val="000000"/>
                <w:sz w:val="18"/>
                <w:szCs w:val="18"/>
              </w:rPr>
            </w:pPr>
            <w:r w:rsidRPr="0089545C">
              <w:rPr>
                <w:color w:val="000000"/>
                <w:sz w:val="18"/>
                <w:szCs w:val="18"/>
              </w:rPr>
              <w:t>9</w:t>
            </w:r>
          </w:p>
        </w:tc>
        <w:tc>
          <w:tcPr>
            <w:tcW w:w="1080" w:type="dxa"/>
            <w:shd w:val="clear" w:color="auto" w:fill="D9D9D9" w:themeFill="background1" w:themeFillShade="D9"/>
            <w:noWrap/>
            <w:vAlign w:val="center"/>
            <w:hideMark/>
          </w:tcPr>
          <w:p w14:paraId="217A8B26" w14:textId="5FAFBD46"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753903D3" w14:textId="50A35353"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27549962" w14:textId="09536891"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738D1572" w14:textId="289F51D3"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067CB63F" w14:textId="00F6BA38" w:rsidR="00C93FE1" w:rsidRPr="0089545C" w:rsidRDefault="00C93FE1" w:rsidP="00C93FE1">
            <w:pPr>
              <w:jc w:val="center"/>
              <w:rPr>
                <w:color w:val="000000"/>
                <w:sz w:val="18"/>
                <w:szCs w:val="18"/>
              </w:rPr>
            </w:pPr>
            <w:r w:rsidRPr="0089545C">
              <w:rPr>
                <w:color w:val="000000"/>
                <w:sz w:val="18"/>
                <w:szCs w:val="18"/>
              </w:rPr>
              <w:t>x</w:t>
            </w:r>
          </w:p>
        </w:tc>
      </w:tr>
      <w:tr w:rsidR="00C133C9" w:rsidRPr="00C93FE1" w14:paraId="676938ED" w14:textId="77777777" w:rsidTr="008B4EBD">
        <w:trPr>
          <w:jc w:val="center"/>
        </w:trPr>
        <w:tc>
          <w:tcPr>
            <w:tcW w:w="1345" w:type="dxa"/>
            <w:shd w:val="clear" w:color="auto" w:fill="D9D9D9" w:themeFill="background1" w:themeFillShade="D9"/>
            <w:noWrap/>
            <w:vAlign w:val="center"/>
            <w:hideMark/>
          </w:tcPr>
          <w:p w14:paraId="2F1A4338" w14:textId="412FFBA3" w:rsidR="00C93FE1" w:rsidRPr="0089545C" w:rsidRDefault="00C93FE1" w:rsidP="0089545C">
            <w:pPr>
              <w:rPr>
                <w:i/>
                <w:color w:val="000000"/>
                <w:sz w:val="18"/>
                <w:szCs w:val="18"/>
              </w:rPr>
            </w:pPr>
            <w:r w:rsidRPr="0089545C">
              <w:rPr>
                <w:i/>
                <w:color w:val="000000"/>
                <w:sz w:val="18"/>
                <w:szCs w:val="18"/>
              </w:rPr>
              <w:t>Iowa</w:t>
            </w:r>
          </w:p>
        </w:tc>
        <w:tc>
          <w:tcPr>
            <w:tcW w:w="1170" w:type="dxa"/>
            <w:shd w:val="clear" w:color="auto" w:fill="D9D9D9" w:themeFill="background1" w:themeFillShade="D9"/>
            <w:noWrap/>
            <w:vAlign w:val="center"/>
            <w:hideMark/>
          </w:tcPr>
          <w:p w14:paraId="1D917F9B" w14:textId="5F0F2504" w:rsidR="00C93FE1" w:rsidRPr="0089545C" w:rsidRDefault="00C93FE1" w:rsidP="00C93FE1">
            <w:pPr>
              <w:jc w:val="center"/>
              <w:rPr>
                <w:color w:val="000000"/>
                <w:sz w:val="18"/>
                <w:szCs w:val="18"/>
              </w:rPr>
            </w:pPr>
            <w:r w:rsidRPr="0089545C">
              <w:rPr>
                <w:color w:val="000000"/>
                <w:sz w:val="18"/>
                <w:szCs w:val="18"/>
              </w:rPr>
              <w:t>3,190,369</w:t>
            </w:r>
          </w:p>
        </w:tc>
        <w:tc>
          <w:tcPr>
            <w:tcW w:w="720" w:type="dxa"/>
            <w:shd w:val="clear" w:color="auto" w:fill="D9D9D9" w:themeFill="background1" w:themeFillShade="D9"/>
            <w:noWrap/>
            <w:vAlign w:val="center"/>
            <w:hideMark/>
          </w:tcPr>
          <w:p w14:paraId="71D922FD" w14:textId="5B9513A8" w:rsidR="00C93FE1" w:rsidRPr="0089545C" w:rsidRDefault="00C93FE1" w:rsidP="00C93FE1">
            <w:pPr>
              <w:jc w:val="center"/>
              <w:rPr>
                <w:color w:val="000000"/>
                <w:sz w:val="18"/>
                <w:szCs w:val="18"/>
              </w:rPr>
            </w:pPr>
            <w:r w:rsidRPr="0089545C">
              <w:rPr>
                <w:color w:val="000000"/>
                <w:sz w:val="18"/>
                <w:szCs w:val="18"/>
              </w:rPr>
              <w:t>4</w:t>
            </w:r>
          </w:p>
        </w:tc>
        <w:tc>
          <w:tcPr>
            <w:tcW w:w="1080" w:type="dxa"/>
            <w:shd w:val="clear" w:color="auto" w:fill="D9D9D9" w:themeFill="background1" w:themeFillShade="D9"/>
            <w:noWrap/>
            <w:vAlign w:val="center"/>
            <w:hideMark/>
          </w:tcPr>
          <w:p w14:paraId="32204144" w14:textId="42C140FE"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1A74A333" w14:textId="602244DC"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07A598AC" w14:textId="4F2C0AC1"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76DEBA59" w14:textId="52634CDA"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D9D9D9" w:themeFill="background1" w:themeFillShade="D9"/>
            <w:noWrap/>
            <w:vAlign w:val="center"/>
            <w:hideMark/>
          </w:tcPr>
          <w:p w14:paraId="599FED8E" w14:textId="77777777" w:rsidR="00C93FE1" w:rsidRPr="0089545C" w:rsidRDefault="00C93FE1" w:rsidP="00C93FE1">
            <w:pPr>
              <w:jc w:val="center"/>
              <w:rPr>
                <w:color w:val="000000"/>
                <w:sz w:val="18"/>
                <w:szCs w:val="18"/>
              </w:rPr>
            </w:pPr>
          </w:p>
        </w:tc>
      </w:tr>
      <w:tr w:rsidR="00C133C9" w:rsidRPr="00C93FE1" w14:paraId="73739A63" w14:textId="77777777" w:rsidTr="008B4EBD">
        <w:trPr>
          <w:jc w:val="center"/>
        </w:trPr>
        <w:tc>
          <w:tcPr>
            <w:tcW w:w="1345" w:type="dxa"/>
            <w:shd w:val="clear" w:color="auto" w:fill="D9D9D9" w:themeFill="background1" w:themeFillShade="D9"/>
            <w:noWrap/>
            <w:vAlign w:val="center"/>
            <w:hideMark/>
          </w:tcPr>
          <w:p w14:paraId="4AB9BBDB" w14:textId="6F8D8642" w:rsidR="00C93FE1" w:rsidRPr="0089545C" w:rsidRDefault="00C93FE1" w:rsidP="0089545C">
            <w:pPr>
              <w:rPr>
                <w:i/>
                <w:color w:val="000000"/>
                <w:sz w:val="18"/>
                <w:szCs w:val="18"/>
              </w:rPr>
            </w:pPr>
            <w:r w:rsidRPr="0089545C">
              <w:rPr>
                <w:i/>
                <w:color w:val="000000"/>
                <w:sz w:val="18"/>
                <w:szCs w:val="18"/>
              </w:rPr>
              <w:t>Kansas</w:t>
            </w:r>
          </w:p>
        </w:tc>
        <w:tc>
          <w:tcPr>
            <w:tcW w:w="1170" w:type="dxa"/>
            <w:shd w:val="clear" w:color="auto" w:fill="D9D9D9" w:themeFill="background1" w:themeFillShade="D9"/>
            <w:noWrap/>
            <w:vAlign w:val="center"/>
            <w:hideMark/>
          </w:tcPr>
          <w:p w14:paraId="52689FA4" w14:textId="61EFFB8F" w:rsidR="00C93FE1" w:rsidRPr="0089545C" w:rsidRDefault="00C93FE1" w:rsidP="00C93FE1">
            <w:pPr>
              <w:jc w:val="center"/>
              <w:rPr>
                <w:color w:val="000000"/>
                <w:sz w:val="18"/>
                <w:szCs w:val="18"/>
              </w:rPr>
            </w:pPr>
            <w:r w:rsidRPr="0089545C">
              <w:rPr>
                <w:color w:val="000000"/>
                <w:sz w:val="18"/>
                <w:szCs w:val="18"/>
              </w:rPr>
              <w:t>2,937,880</w:t>
            </w:r>
          </w:p>
        </w:tc>
        <w:tc>
          <w:tcPr>
            <w:tcW w:w="720" w:type="dxa"/>
            <w:shd w:val="clear" w:color="auto" w:fill="D9D9D9" w:themeFill="background1" w:themeFillShade="D9"/>
            <w:noWrap/>
            <w:vAlign w:val="center"/>
            <w:hideMark/>
          </w:tcPr>
          <w:p w14:paraId="12C143AD" w14:textId="68815FE6" w:rsidR="00C93FE1" w:rsidRPr="0089545C" w:rsidRDefault="00C93FE1" w:rsidP="00C93FE1">
            <w:pPr>
              <w:jc w:val="center"/>
              <w:rPr>
                <w:color w:val="000000"/>
                <w:sz w:val="18"/>
                <w:szCs w:val="18"/>
              </w:rPr>
            </w:pPr>
            <w:r w:rsidRPr="0089545C">
              <w:rPr>
                <w:color w:val="000000"/>
                <w:sz w:val="18"/>
                <w:szCs w:val="18"/>
              </w:rPr>
              <w:t>4</w:t>
            </w:r>
          </w:p>
        </w:tc>
        <w:tc>
          <w:tcPr>
            <w:tcW w:w="1080" w:type="dxa"/>
            <w:shd w:val="clear" w:color="auto" w:fill="D9D9D9" w:themeFill="background1" w:themeFillShade="D9"/>
            <w:noWrap/>
            <w:vAlign w:val="center"/>
            <w:hideMark/>
          </w:tcPr>
          <w:p w14:paraId="1B4E094F" w14:textId="77DA20E1"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1BC7DDCA" w14:textId="6DA9B0B5"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5D9449CD" w14:textId="1C53B54E"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1CE018E3" w14:textId="0312CC3F"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5C278704" w14:textId="77777777" w:rsidR="00C93FE1" w:rsidRPr="0089545C" w:rsidRDefault="00C93FE1" w:rsidP="00C93FE1">
            <w:pPr>
              <w:jc w:val="center"/>
              <w:rPr>
                <w:color w:val="000000"/>
                <w:sz w:val="18"/>
                <w:szCs w:val="18"/>
              </w:rPr>
            </w:pPr>
          </w:p>
        </w:tc>
      </w:tr>
      <w:tr w:rsidR="00C133C9" w:rsidRPr="00C93FE1" w14:paraId="550EB312" w14:textId="77777777" w:rsidTr="008B4EBD">
        <w:trPr>
          <w:jc w:val="center"/>
        </w:trPr>
        <w:tc>
          <w:tcPr>
            <w:tcW w:w="1345" w:type="dxa"/>
            <w:shd w:val="clear" w:color="auto" w:fill="D9D9D9" w:themeFill="background1" w:themeFillShade="D9"/>
            <w:noWrap/>
            <w:vAlign w:val="center"/>
            <w:hideMark/>
          </w:tcPr>
          <w:p w14:paraId="34F6C46C" w14:textId="41A1D8FE" w:rsidR="00C93FE1" w:rsidRPr="0089545C" w:rsidRDefault="00C93FE1" w:rsidP="0089545C">
            <w:pPr>
              <w:rPr>
                <w:i/>
                <w:color w:val="000000"/>
                <w:sz w:val="18"/>
                <w:szCs w:val="18"/>
              </w:rPr>
            </w:pPr>
            <w:r w:rsidRPr="0089545C">
              <w:rPr>
                <w:i/>
                <w:color w:val="000000"/>
                <w:sz w:val="18"/>
                <w:szCs w:val="18"/>
              </w:rPr>
              <w:t>Kentucky</w:t>
            </w:r>
          </w:p>
        </w:tc>
        <w:tc>
          <w:tcPr>
            <w:tcW w:w="1170" w:type="dxa"/>
            <w:shd w:val="clear" w:color="auto" w:fill="D9D9D9" w:themeFill="background1" w:themeFillShade="D9"/>
            <w:noWrap/>
            <w:vAlign w:val="center"/>
            <w:hideMark/>
          </w:tcPr>
          <w:p w14:paraId="79DA31D5" w14:textId="34E885F6" w:rsidR="00C93FE1" w:rsidRPr="0089545C" w:rsidRDefault="00C93FE1" w:rsidP="00C93FE1">
            <w:pPr>
              <w:jc w:val="center"/>
              <w:rPr>
                <w:color w:val="000000"/>
                <w:sz w:val="18"/>
                <w:szCs w:val="18"/>
              </w:rPr>
            </w:pPr>
            <w:r w:rsidRPr="0089545C">
              <w:rPr>
                <w:color w:val="000000"/>
                <w:sz w:val="18"/>
                <w:szCs w:val="18"/>
              </w:rPr>
              <w:t>4,505,836</w:t>
            </w:r>
          </w:p>
        </w:tc>
        <w:tc>
          <w:tcPr>
            <w:tcW w:w="720" w:type="dxa"/>
            <w:shd w:val="clear" w:color="auto" w:fill="D9D9D9" w:themeFill="background1" w:themeFillShade="D9"/>
            <w:noWrap/>
            <w:vAlign w:val="center"/>
            <w:hideMark/>
          </w:tcPr>
          <w:p w14:paraId="42B6A6F9" w14:textId="4D37E91D" w:rsidR="00C93FE1" w:rsidRPr="0089545C" w:rsidRDefault="00C93FE1" w:rsidP="00C93FE1">
            <w:pPr>
              <w:jc w:val="center"/>
              <w:rPr>
                <w:color w:val="000000"/>
                <w:sz w:val="18"/>
                <w:szCs w:val="18"/>
              </w:rPr>
            </w:pPr>
            <w:r w:rsidRPr="0089545C">
              <w:rPr>
                <w:color w:val="000000"/>
                <w:sz w:val="18"/>
                <w:szCs w:val="18"/>
              </w:rPr>
              <w:t>6</w:t>
            </w:r>
          </w:p>
        </w:tc>
        <w:tc>
          <w:tcPr>
            <w:tcW w:w="1080" w:type="dxa"/>
            <w:shd w:val="clear" w:color="auto" w:fill="D9D9D9" w:themeFill="background1" w:themeFillShade="D9"/>
            <w:noWrap/>
            <w:vAlign w:val="center"/>
            <w:hideMark/>
          </w:tcPr>
          <w:p w14:paraId="74307C31" w14:textId="3F7A2F79"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0319468F" w14:textId="2D55E281"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7BB49F02" w14:textId="58F54A15"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5B44FF5F" w14:textId="03323008"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0105C2CC" w14:textId="56B3EE5F" w:rsidR="00C93FE1" w:rsidRPr="0089545C" w:rsidRDefault="00C93FE1" w:rsidP="00C93FE1">
            <w:pPr>
              <w:jc w:val="center"/>
              <w:rPr>
                <w:color w:val="000000"/>
                <w:sz w:val="18"/>
                <w:szCs w:val="18"/>
              </w:rPr>
            </w:pPr>
            <w:r w:rsidRPr="0089545C">
              <w:rPr>
                <w:color w:val="000000"/>
                <w:sz w:val="18"/>
                <w:szCs w:val="18"/>
              </w:rPr>
              <w:t>x</w:t>
            </w:r>
          </w:p>
        </w:tc>
      </w:tr>
      <w:tr w:rsidR="00C133C9" w:rsidRPr="00C93FE1" w14:paraId="4113D677" w14:textId="77777777" w:rsidTr="008B4EBD">
        <w:trPr>
          <w:jc w:val="center"/>
        </w:trPr>
        <w:tc>
          <w:tcPr>
            <w:tcW w:w="1345" w:type="dxa"/>
            <w:shd w:val="clear" w:color="auto" w:fill="D9D9D9" w:themeFill="background1" w:themeFillShade="D9"/>
            <w:noWrap/>
            <w:vAlign w:val="center"/>
            <w:hideMark/>
          </w:tcPr>
          <w:p w14:paraId="2FF8A4C4" w14:textId="7910DDBF" w:rsidR="00C93FE1" w:rsidRPr="0089545C" w:rsidRDefault="00C93FE1" w:rsidP="0089545C">
            <w:pPr>
              <w:rPr>
                <w:i/>
                <w:color w:val="000000"/>
                <w:sz w:val="18"/>
                <w:szCs w:val="18"/>
              </w:rPr>
            </w:pPr>
            <w:r w:rsidRPr="0089545C">
              <w:rPr>
                <w:i/>
                <w:color w:val="000000"/>
                <w:sz w:val="18"/>
                <w:szCs w:val="18"/>
              </w:rPr>
              <w:t>Louisiana</w:t>
            </w:r>
          </w:p>
        </w:tc>
        <w:tc>
          <w:tcPr>
            <w:tcW w:w="1170" w:type="dxa"/>
            <w:shd w:val="clear" w:color="auto" w:fill="D9D9D9" w:themeFill="background1" w:themeFillShade="D9"/>
            <w:noWrap/>
            <w:vAlign w:val="center"/>
            <w:hideMark/>
          </w:tcPr>
          <w:p w14:paraId="70D5AF5E" w14:textId="0AD85F77" w:rsidR="00C93FE1" w:rsidRPr="0089545C" w:rsidRDefault="00C93FE1" w:rsidP="00C93FE1">
            <w:pPr>
              <w:jc w:val="center"/>
              <w:rPr>
                <w:color w:val="000000"/>
                <w:sz w:val="18"/>
                <w:szCs w:val="18"/>
              </w:rPr>
            </w:pPr>
            <w:r w:rsidRPr="0089545C">
              <w:rPr>
                <w:color w:val="000000"/>
                <w:sz w:val="18"/>
                <w:szCs w:val="18"/>
              </w:rPr>
              <w:t>4,657,757</w:t>
            </w:r>
          </w:p>
        </w:tc>
        <w:tc>
          <w:tcPr>
            <w:tcW w:w="720" w:type="dxa"/>
            <w:shd w:val="clear" w:color="auto" w:fill="D9D9D9" w:themeFill="background1" w:themeFillShade="D9"/>
            <w:noWrap/>
            <w:vAlign w:val="center"/>
            <w:hideMark/>
          </w:tcPr>
          <w:p w14:paraId="50B5A3E1" w14:textId="2254FAD5" w:rsidR="00C93FE1" w:rsidRPr="0089545C" w:rsidRDefault="00C93FE1" w:rsidP="00C93FE1">
            <w:pPr>
              <w:jc w:val="center"/>
              <w:rPr>
                <w:color w:val="000000"/>
                <w:sz w:val="18"/>
                <w:szCs w:val="18"/>
              </w:rPr>
            </w:pPr>
            <w:r w:rsidRPr="0089545C">
              <w:rPr>
                <w:color w:val="000000"/>
                <w:sz w:val="18"/>
                <w:szCs w:val="18"/>
              </w:rPr>
              <w:t>6</w:t>
            </w:r>
          </w:p>
        </w:tc>
        <w:tc>
          <w:tcPr>
            <w:tcW w:w="1080" w:type="dxa"/>
            <w:shd w:val="clear" w:color="auto" w:fill="D9D9D9" w:themeFill="background1" w:themeFillShade="D9"/>
            <w:noWrap/>
            <w:vAlign w:val="center"/>
            <w:hideMark/>
          </w:tcPr>
          <w:p w14:paraId="635CDCF5" w14:textId="51692FFF"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7C958442" w14:textId="37125CF3"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0EFFCF57" w14:textId="3796CC6A"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06C1FDB9" w14:textId="37695DA7"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5B2F4FC3" w14:textId="77777777" w:rsidR="00C93FE1" w:rsidRPr="0089545C" w:rsidRDefault="00C93FE1" w:rsidP="00C93FE1">
            <w:pPr>
              <w:jc w:val="center"/>
              <w:rPr>
                <w:color w:val="000000"/>
                <w:sz w:val="18"/>
                <w:szCs w:val="18"/>
              </w:rPr>
            </w:pPr>
          </w:p>
        </w:tc>
      </w:tr>
      <w:tr w:rsidR="00C93FE1" w:rsidRPr="00C93FE1" w14:paraId="11721522" w14:textId="77777777" w:rsidTr="008B4EBD">
        <w:trPr>
          <w:jc w:val="center"/>
        </w:trPr>
        <w:tc>
          <w:tcPr>
            <w:tcW w:w="1345" w:type="dxa"/>
            <w:shd w:val="clear" w:color="auto" w:fill="auto"/>
            <w:noWrap/>
            <w:vAlign w:val="center"/>
            <w:hideMark/>
          </w:tcPr>
          <w:p w14:paraId="311758EA" w14:textId="5A826F7E" w:rsidR="00C93FE1" w:rsidRPr="0089545C" w:rsidRDefault="00C93FE1" w:rsidP="0089545C">
            <w:pPr>
              <w:rPr>
                <w:i/>
                <w:color w:val="000000"/>
                <w:sz w:val="18"/>
                <w:szCs w:val="18"/>
              </w:rPr>
            </w:pPr>
            <w:r w:rsidRPr="0089545C">
              <w:rPr>
                <w:i/>
                <w:color w:val="000000"/>
                <w:sz w:val="18"/>
                <w:szCs w:val="18"/>
              </w:rPr>
              <w:t>Maine</w:t>
            </w:r>
          </w:p>
        </w:tc>
        <w:tc>
          <w:tcPr>
            <w:tcW w:w="1170" w:type="dxa"/>
            <w:shd w:val="clear" w:color="auto" w:fill="auto"/>
            <w:noWrap/>
            <w:vAlign w:val="center"/>
            <w:hideMark/>
          </w:tcPr>
          <w:p w14:paraId="67BADFFF" w14:textId="5C69E4EF" w:rsidR="00C93FE1" w:rsidRPr="0089545C" w:rsidRDefault="00C93FE1" w:rsidP="00C93FE1">
            <w:pPr>
              <w:jc w:val="center"/>
              <w:rPr>
                <w:color w:val="000000"/>
                <w:sz w:val="18"/>
                <w:szCs w:val="18"/>
              </w:rPr>
            </w:pPr>
            <w:r w:rsidRPr="0089545C">
              <w:rPr>
                <w:color w:val="000000"/>
                <w:sz w:val="18"/>
                <w:szCs w:val="18"/>
              </w:rPr>
              <w:t>1,362,359</w:t>
            </w:r>
          </w:p>
        </w:tc>
        <w:tc>
          <w:tcPr>
            <w:tcW w:w="720" w:type="dxa"/>
            <w:shd w:val="clear" w:color="auto" w:fill="auto"/>
            <w:noWrap/>
            <w:vAlign w:val="center"/>
            <w:hideMark/>
          </w:tcPr>
          <w:p w14:paraId="0730356C" w14:textId="0F345E2A" w:rsidR="00C93FE1" w:rsidRPr="0089545C" w:rsidRDefault="00C93FE1" w:rsidP="00C93FE1">
            <w:pPr>
              <w:jc w:val="center"/>
              <w:rPr>
                <w:color w:val="000000"/>
                <w:sz w:val="18"/>
                <w:szCs w:val="18"/>
              </w:rPr>
            </w:pPr>
            <w:r w:rsidRPr="0089545C">
              <w:rPr>
                <w:color w:val="000000"/>
                <w:sz w:val="18"/>
                <w:szCs w:val="18"/>
              </w:rPr>
              <w:t>2</w:t>
            </w:r>
          </w:p>
        </w:tc>
        <w:tc>
          <w:tcPr>
            <w:tcW w:w="1080" w:type="dxa"/>
            <w:shd w:val="clear" w:color="auto" w:fill="auto"/>
            <w:noWrap/>
            <w:vAlign w:val="center"/>
            <w:hideMark/>
          </w:tcPr>
          <w:p w14:paraId="5F7E2668" w14:textId="7E2D3321"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auto"/>
            <w:noWrap/>
            <w:vAlign w:val="center"/>
            <w:hideMark/>
          </w:tcPr>
          <w:p w14:paraId="05944A23" w14:textId="17670173" w:rsidR="00C93FE1" w:rsidRPr="0089545C" w:rsidRDefault="00C93FE1" w:rsidP="00C93FE1">
            <w:pPr>
              <w:jc w:val="center"/>
              <w:rPr>
                <w:color w:val="000000"/>
                <w:sz w:val="18"/>
                <w:szCs w:val="18"/>
              </w:rPr>
            </w:pPr>
            <w:r w:rsidRPr="0089545C">
              <w:rPr>
                <w:color w:val="000000"/>
                <w:sz w:val="18"/>
                <w:szCs w:val="18"/>
              </w:rPr>
              <w:t>SPLIT</w:t>
            </w:r>
          </w:p>
        </w:tc>
        <w:tc>
          <w:tcPr>
            <w:tcW w:w="900" w:type="dxa"/>
            <w:shd w:val="clear" w:color="auto" w:fill="auto"/>
            <w:vAlign w:val="center"/>
          </w:tcPr>
          <w:p w14:paraId="24ECD8D7" w14:textId="13B0ACE6" w:rsidR="00C93FE1" w:rsidRPr="0089545C" w:rsidRDefault="00C93FE1" w:rsidP="00C93FE1">
            <w:pPr>
              <w:jc w:val="center"/>
              <w:rPr>
                <w:color w:val="000000"/>
                <w:sz w:val="18"/>
                <w:szCs w:val="18"/>
              </w:rPr>
            </w:pPr>
            <w:r w:rsidRPr="0089545C">
              <w:rPr>
                <w:color w:val="000000"/>
                <w:sz w:val="18"/>
                <w:szCs w:val="18"/>
              </w:rPr>
              <w:t>L</w:t>
            </w:r>
          </w:p>
        </w:tc>
        <w:tc>
          <w:tcPr>
            <w:tcW w:w="990" w:type="dxa"/>
            <w:vAlign w:val="center"/>
          </w:tcPr>
          <w:p w14:paraId="2D476575" w14:textId="603AA9BA" w:rsidR="00C93FE1" w:rsidRPr="0089545C" w:rsidRDefault="00C93FE1" w:rsidP="00C93FE1">
            <w:pPr>
              <w:jc w:val="center"/>
              <w:rPr>
                <w:color w:val="000000"/>
                <w:sz w:val="18"/>
                <w:szCs w:val="18"/>
              </w:rPr>
            </w:pPr>
          </w:p>
        </w:tc>
        <w:tc>
          <w:tcPr>
            <w:tcW w:w="910" w:type="dxa"/>
            <w:shd w:val="clear" w:color="auto" w:fill="auto"/>
            <w:noWrap/>
            <w:vAlign w:val="center"/>
            <w:hideMark/>
          </w:tcPr>
          <w:p w14:paraId="270BF992" w14:textId="77777777" w:rsidR="00C93FE1" w:rsidRPr="0089545C" w:rsidRDefault="00C93FE1" w:rsidP="00C93FE1">
            <w:pPr>
              <w:jc w:val="center"/>
              <w:rPr>
                <w:color w:val="000000"/>
                <w:sz w:val="18"/>
                <w:szCs w:val="18"/>
              </w:rPr>
            </w:pPr>
          </w:p>
        </w:tc>
      </w:tr>
      <w:tr w:rsidR="00C133C9" w:rsidRPr="00C93FE1" w14:paraId="0E3427D2" w14:textId="77777777" w:rsidTr="008B4EBD">
        <w:trPr>
          <w:jc w:val="center"/>
        </w:trPr>
        <w:tc>
          <w:tcPr>
            <w:tcW w:w="1345" w:type="dxa"/>
            <w:shd w:val="clear" w:color="auto" w:fill="D9D9D9" w:themeFill="background1" w:themeFillShade="D9"/>
            <w:noWrap/>
            <w:vAlign w:val="center"/>
            <w:hideMark/>
          </w:tcPr>
          <w:p w14:paraId="60A16A94" w14:textId="07B59412" w:rsidR="00C93FE1" w:rsidRPr="0089545C" w:rsidRDefault="00C93FE1" w:rsidP="0089545C">
            <w:pPr>
              <w:rPr>
                <w:i/>
                <w:color w:val="000000"/>
                <w:sz w:val="18"/>
                <w:szCs w:val="18"/>
              </w:rPr>
            </w:pPr>
            <w:r w:rsidRPr="0089545C">
              <w:rPr>
                <w:i/>
                <w:color w:val="000000"/>
                <w:sz w:val="18"/>
                <w:szCs w:val="18"/>
              </w:rPr>
              <w:t>Maryland</w:t>
            </w:r>
          </w:p>
        </w:tc>
        <w:tc>
          <w:tcPr>
            <w:tcW w:w="1170" w:type="dxa"/>
            <w:shd w:val="clear" w:color="auto" w:fill="D9D9D9" w:themeFill="background1" w:themeFillShade="D9"/>
            <w:noWrap/>
            <w:vAlign w:val="center"/>
            <w:hideMark/>
          </w:tcPr>
          <w:p w14:paraId="2B829692" w14:textId="3E09A1DD" w:rsidR="00C93FE1" w:rsidRPr="0089545C" w:rsidRDefault="00C93FE1" w:rsidP="00C93FE1">
            <w:pPr>
              <w:jc w:val="center"/>
              <w:rPr>
                <w:color w:val="000000"/>
                <w:sz w:val="18"/>
                <w:szCs w:val="18"/>
              </w:rPr>
            </w:pPr>
            <w:r w:rsidRPr="0089545C">
              <w:rPr>
                <w:color w:val="000000"/>
                <w:sz w:val="18"/>
                <w:szCs w:val="18"/>
              </w:rPr>
              <w:t>6,177,224</w:t>
            </w:r>
          </w:p>
        </w:tc>
        <w:tc>
          <w:tcPr>
            <w:tcW w:w="720" w:type="dxa"/>
            <w:shd w:val="clear" w:color="auto" w:fill="D9D9D9" w:themeFill="background1" w:themeFillShade="D9"/>
            <w:noWrap/>
            <w:vAlign w:val="center"/>
            <w:hideMark/>
          </w:tcPr>
          <w:p w14:paraId="4BD71A9B" w14:textId="3E5A3A4A" w:rsidR="00C93FE1" w:rsidRPr="0089545C" w:rsidRDefault="00C93FE1" w:rsidP="00C93FE1">
            <w:pPr>
              <w:jc w:val="center"/>
              <w:rPr>
                <w:color w:val="000000"/>
                <w:sz w:val="18"/>
                <w:szCs w:val="18"/>
              </w:rPr>
            </w:pPr>
            <w:r w:rsidRPr="0089545C">
              <w:rPr>
                <w:color w:val="000000"/>
                <w:sz w:val="18"/>
                <w:szCs w:val="18"/>
              </w:rPr>
              <w:t>8</w:t>
            </w:r>
          </w:p>
        </w:tc>
        <w:tc>
          <w:tcPr>
            <w:tcW w:w="1080" w:type="dxa"/>
            <w:shd w:val="clear" w:color="auto" w:fill="D9D9D9" w:themeFill="background1" w:themeFillShade="D9"/>
            <w:noWrap/>
            <w:vAlign w:val="center"/>
            <w:hideMark/>
          </w:tcPr>
          <w:p w14:paraId="162495A9" w14:textId="562D3B83"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148E36B6" w14:textId="5A04FDBA" w:rsidR="00C93FE1" w:rsidRPr="0089545C" w:rsidRDefault="00C93FE1" w:rsidP="00C93FE1">
            <w:pPr>
              <w:jc w:val="center"/>
              <w:rPr>
                <w:color w:val="000000"/>
                <w:sz w:val="18"/>
                <w:szCs w:val="18"/>
              </w:rPr>
            </w:pPr>
            <w:r w:rsidRPr="0089545C">
              <w:rPr>
                <w:color w:val="000000"/>
                <w:sz w:val="18"/>
                <w:szCs w:val="18"/>
              </w:rPr>
              <w:t>DEM*</w:t>
            </w:r>
          </w:p>
        </w:tc>
        <w:tc>
          <w:tcPr>
            <w:tcW w:w="900" w:type="dxa"/>
            <w:shd w:val="clear" w:color="auto" w:fill="D9D9D9" w:themeFill="background1" w:themeFillShade="D9"/>
            <w:vAlign w:val="center"/>
          </w:tcPr>
          <w:p w14:paraId="2ED58E14" w14:textId="281399A6" w:rsidR="00C93FE1" w:rsidRPr="0089545C" w:rsidRDefault="00C93FE1" w:rsidP="00C93FE1">
            <w:pPr>
              <w:jc w:val="center"/>
              <w:rPr>
                <w:color w:val="000000"/>
                <w:sz w:val="18"/>
                <w:szCs w:val="18"/>
              </w:rPr>
            </w:pPr>
            <w:r w:rsidRPr="0089545C">
              <w:rPr>
                <w:color w:val="000000"/>
                <w:sz w:val="18"/>
                <w:szCs w:val="18"/>
              </w:rPr>
              <w:t>L (Court)</w:t>
            </w:r>
          </w:p>
        </w:tc>
        <w:tc>
          <w:tcPr>
            <w:tcW w:w="990" w:type="dxa"/>
            <w:shd w:val="clear" w:color="auto" w:fill="D9D9D9" w:themeFill="background1" w:themeFillShade="D9"/>
            <w:vAlign w:val="center"/>
          </w:tcPr>
          <w:p w14:paraId="51B86450" w14:textId="458E2381"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29ED431B" w14:textId="583EB9CF" w:rsidR="00C93FE1" w:rsidRPr="0089545C" w:rsidRDefault="00C93FE1" w:rsidP="00C93FE1">
            <w:pPr>
              <w:jc w:val="center"/>
              <w:rPr>
                <w:color w:val="000000"/>
                <w:sz w:val="18"/>
                <w:szCs w:val="18"/>
              </w:rPr>
            </w:pPr>
            <w:r w:rsidRPr="0089545C">
              <w:rPr>
                <w:color w:val="000000"/>
                <w:sz w:val="18"/>
                <w:szCs w:val="18"/>
              </w:rPr>
              <w:t>x</w:t>
            </w:r>
          </w:p>
        </w:tc>
      </w:tr>
      <w:tr w:rsidR="00C133C9" w:rsidRPr="00C93FE1" w14:paraId="4FA7AE5A" w14:textId="77777777" w:rsidTr="008B4EBD">
        <w:trPr>
          <w:jc w:val="center"/>
        </w:trPr>
        <w:tc>
          <w:tcPr>
            <w:tcW w:w="1345" w:type="dxa"/>
            <w:shd w:val="clear" w:color="auto" w:fill="D9D9D9" w:themeFill="background1" w:themeFillShade="D9"/>
            <w:noWrap/>
            <w:vAlign w:val="center"/>
            <w:hideMark/>
          </w:tcPr>
          <w:p w14:paraId="01E861EF" w14:textId="1F760C92" w:rsidR="00C93FE1" w:rsidRPr="0089545C" w:rsidRDefault="00C93FE1" w:rsidP="0089545C">
            <w:pPr>
              <w:rPr>
                <w:i/>
                <w:color w:val="000000"/>
                <w:sz w:val="18"/>
                <w:szCs w:val="18"/>
              </w:rPr>
            </w:pPr>
            <w:r w:rsidRPr="0089545C">
              <w:rPr>
                <w:i/>
                <w:color w:val="000000"/>
                <w:sz w:val="18"/>
                <w:szCs w:val="18"/>
              </w:rPr>
              <w:t>Massachusetts</w:t>
            </w:r>
          </w:p>
        </w:tc>
        <w:tc>
          <w:tcPr>
            <w:tcW w:w="1170" w:type="dxa"/>
            <w:shd w:val="clear" w:color="auto" w:fill="D9D9D9" w:themeFill="background1" w:themeFillShade="D9"/>
            <w:noWrap/>
            <w:vAlign w:val="center"/>
            <w:hideMark/>
          </w:tcPr>
          <w:p w14:paraId="4B01BB9B" w14:textId="6813FF89" w:rsidR="00C93FE1" w:rsidRPr="0089545C" w:rsidRDefault="00C93FE1" w:rsidP="00C93FE1">
            <w:pPr>
              <w:jc w:val="center"/>
              <w:rPr>
                <w:color w:val="000000"/>
                <w:sz w:val="18"/>
                <w:szCs w:val="18"/>
              </w:rPr>
            </w:pPr>
            <w:r w:rsidRPr="0089545C">
              <w:rPr>
                <w:color w:val="000000"/>
                <w:sz w:val="18"/>
                <w:szCs w:val="18"/>
              </w:rPr>
              <w:t>7,029,917</w:t>
            </w:r>
          </w:p>
        </w:tc>
        <w:tc>
          <w:tcPr>
            <w:tcW w:w="720" w:type="dxa"/>
            <w:shd w:val="clear" w:color="auto" w:fill="D9D9D9" w:themeFill="background1" w:themeFillShade="D9"/>
            <w:noWrap/>
            <w:vAlign w:val="center"/>
            <w:hideMark/>
          </w:tcPr>
          <w:p w14:paraId="1C87027A" w14:textId="2A217DFF" w:rsidR="00C93FE1" w:rsidRPr="0089545C" w:rsidRDefault="00C93FE1" w:rsidP="00C93FE1">
            <w:pPr>
              <w:jc w:val="center"/>
              <w:rPr>
                <w:color w:val="000000"/>
                <w:sz w:val="18"/>
                <w:szCs w:val="18"/>
              </w:rPr>
            </w:pPr>
            <w:r w:rsidRPr="0089545C">
              <w:rPr>
                <w:color w:val="000000"/>
                <w:sz w:val="18"/>
                <w:szCs w:val="18"/>
              </w:rPr>
              <w:t>9</w:t>
            </w:r>
          </w:p>
        </w:tc>
        <w:tc>
          <w:tcPr>
            <w:tcW w:w="1080" w:type="dxa"/>
            <w:shd w:val="clear" w:color="auto" w:fill="D9D9D9" w:themeFill="background1" w:themeFillShade="D9"/>
            <w:noWrap/>
            <w:vAlign w:val="center"/>
            <w:hideMark/>
          </w:tcPr>
          <w:p w14:paraId="0276D2A6" w14:textId="1E97F1EA"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237BD2FE" w14:textId="13BF543D" w:rsidR="00C93FE1" w:rsidRPr="0089545C" w:rsidRDefault="00C93FE1" w:rsidP="00C93FE1">
            <w:pPr>
              <w:jc w:val="center"/>
              <w:rPr>
                <w:color w:val="000000"/>
                <w:sz w:val="18"/>
                <w:szCs w:val="18"/>
              </w:rPr>
            </w:pPr>
            <w:r w:rsidRPr="0089545C">
              <w:rPr>
                <w:color w:val="000000"/>
                <w:sz w:val="18"/>
                <w:szCs w:val="18"/>
              </w:rPr>
              <w:t>DEM*</w:t>
            </w:r>
          </w:p>
        </w:tc>
        <w:tc>
          <w:tcPr>
            <w:tcW w:w="900" w:type="dxa"/>
            <w:shd w:val="clear" w:color="auto" w:fill="D9D9D9" w:themeFill="background1" w:themeFillShade="D9"/>
            <w:vAlign w:val="center"/>
          </w:tcPr>
          <w:p w14:paraId="605A25F4" w14:textId="20A27237"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7D6EDDA6" w14:textId="78F4EB05"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213A2B9B" w14:textId="7A256CE2" w:rsidR="00C93FE1" w:rsidRPr="0089545C" w:rsidRDefault="00C93FE1" w:rsidP="00C93FE1">
            <w:pPr>
              <w:jc w:val="center"/>
              <w:rPr>
                <w:color w:val="000000"/>
                <w:sz w:val="18"/>
                <w:szCs w:val="18"/>
              </w:rPr>
            </w:pPr>
            <w:r w:rsidRPr="0089545C">
              <w:rPr>
                <w:color w:val="000000"/>
                <w:sz w:val="18"/>
                <w:szCs w:val="18"/>
              </w:rPr>
              <w:t>x</w:t>
            </w:r>
          </w:p>
        </w:tc>
      </w:tr>
      <w:tr w:rsidR="00C93FE1" w:rsidRPr="00C93FE1" w14:paraId="4A6A75D0" w14:textId="77777777" w:rsidTr="008B4EBD">
        <w:trPr>
          <w:jc w:val="center"/>
        </w:trPr>
        <w:tc>
          <w:tcPr>
            <w:tcW w:w="1345" w:type="dxa"/>
            <w:shd w:val="clear" w:color="auto" w:fill="auto"/>
            <w:noWrap/>
            <w:vAlign w:val="center"/>
            <w:hideMark/>
          </w:tcPr>
          <w:p w14:paraId="6ED892C0" w14:textId="0A1497F0" w:rsidR="00C93FE1" w:rsidRPr="0089545C" w:rsidRDefault="00C93FE1" w:rsidP="0089545C">
            <w:pPr>
              <w:rPr>
                <w:i/>
                <w:color w:val="000000"/>
                <w:sz w:val="18"/>
                <w:szCs w:val="18"/>
              </w:rPr>
            </w:pPr>
            <w:r w:rsidRPr="0089545C">
              <w:rPr>
                <w:i/>
                <w:color w:val="000000"/>
                <w:sz w:val="18"/>
                <w:szCs w:val="18"/>
              </w:rPr>
              <w:t>Michigan</w:t>
            </w:r>
          </w:p>
        </w:tc>
        <w:tc>
          <w:tcPr>
            <w:tcW w:w="1170" w:type="dxa"/>
            <w:shd w:val="clear" w:color="auto" w:fill="auto"/>
            <w:noWrap/>
            <w:vAlign w:val="center"/>
            <w:hideMark/>
          </w:tcPr>
          <w:p w14:paraId="0582CAB6" w14:textId="7DA6E60E" w:rsidR="00C93FE1" w:rsidRPr="0089545C" w:rsidRDefault="00C93FE1" w:rsidP="00C93FE1">
            <w:pPr>
              <w:jc w:val="center"/>
              <w:rPr>
                <w:color w:val="000000"/>
                <w:sz w:val="18"/>
                <w:szCs w:val="18"/>
              </w:rPr>
            </w:pPr>
            <w:r w:rsidRPr="0089545C">
              <w:rPr>
                <w:color w:val="000000"/>
                <w:sz w:val="18"/>
                <w:szCs w:val="18"/>
              </w:rPr>
              <w:t>10,077,331</w:t>
            </w:r>
          </w:p>
        </w:tc>
        <w:tc>
          <w:tcPr>
            <w:tcW w:w="720" w:type="dxa"/>
            <w:shd w:val="clear" w:color="auto" w:fill="auto"/>
            <w:noWrap/>
            <w:vAlign w:val="center"/>
            <w:hideMark/>
          </w:tcPr>
          <w:p w14:paraId="05A75E72" w14:textId="23B5DB27" w:rsidR="00C93FE1" w:rsidRPr="0089545C" w:rsidRDefault="00C93FE1" w:rsidP="00C93FE1">
            <w:pPr>
              <w:jc w:val="center"/>
              <w:rPr>
                <w:color w:val="000000"/>
                <w:sz w:val="18"/>
                <w:szCs w:val="18"/>
              </w:rPr>
            </w:pPr>
            <w:r w:rsidRPr="0089545C">
              <w:rPr>
                <w:color w:val="000000"/>
                <w:sz w:val="18"/>
                <w:szCs w:val="18"/>
              </w:rPr>
              <w:t>13</w:t>
            </w:r>
          </w:p>
        </w:tc>
        <w:tc>
          <w:tcPr>
            <w:tcW w:w="1080" w:type="dxa"/>
            <w:shd w:val="clear" w:color="auto" w:fill="auto"/>
            <w:noWrap/>
            <w:vAlign w:val="center"/>
            <w:hideMark/>
          </w:tcPr>
          <w:p w14:paraId="00DEE2FB" w14:textId="63A595FB" w:rsidR="00C93FE1" w:rsidRPr="0089545C" w:rsidRDefault="00C93FE1" w:rsidP="00C93FE1">
            <w:pPr>
              <w:jc w:val="center"/>
              <w:rPr>
                <w:color w:val="000000"/>
                <w:sz w:val="18"/>
                <w:szCs w:val="18"/>
              </w:rPr>
            </w:pPr>
            <w:r w:rsidRPr="0089545C">
              <w:rPr>
                <w:color w:val="000000"/>
                <w:sz w:val="18"/>
                <w:szCs w:val="18"/>
              </w:rPr>
              <w:t>C</w:t>
            </w:r>
          </w:p>
        </w:tc>
        <w:tc>
          <w:tcPr>
            <w:tcW w:w="900" w:type="dxa"/>
            <w:shd w:val="clear" w:color="auto" w:fill="auto"/>
            <w:noWrap/>
            <w:vAlign w:val="center"/>
            <w:hideMark/>
          </w:tcPr>
          <w:p w14:paraId="01B66711" w14:textId="24CD24CA" w:rsidR="00C93FE1" w:rsidRPr="0089545C" w:rsidRDefault="00C93FE1" w:rsidP="00C93FE1">
            <w:pPr>
              <w:jc w:val="center"/>
              <w:rPr>
                <w:color w:val="000000"/>
                <w:sz w:val="18"/>
                <w:szCs w:val="18"/>
              </w:rPr>
            </w:pPr>
            <w:r w:rsidRPr="0089545C">
              <w:rPr>
                <w:color w:val="000000"/>
                <w:sz w:val="18"/>
                <w:szCs w:val="18"/>
              </w:rPr>
              <w:t>SPLIT</w:t>
            </w:r>
          </w:p>
        </w:tc>
        <w:tc>
          <w:tcPr>
            <w:tcW w:w="900" w:type="dxa"/>
            <w:shd w:val="clear" w:color="auto" w:fill="auto"/>
            <w:vAlign w:val="center"/>
          </w:tcPr>
          <w:p w14:paraId="4D9CAD46" w14:textId="107E373E" w:rsidR="00C93FE1" w:rsidRPr="0089545C" w:rsidRDefault="00C93FE1" w:rsidP="00C93FE1">
            <w:pPr>
              <w:jc w:val="center"/>
              <w:rPr>
                <w:color w:val="000000"/>
                <w:sz w:val="18"/>
                <w:szCs w:val="18"/>
              </w:rPr>
            </w:pPr>
            <w:r w:rsidRPr="0089545C">
              <w:rPr>
                <w:color w:val="000000"/>
                <w:sz w:val="18"/>
                <w:szCs w:val="18"/>
              </w:rPr>
              <w:t>Comm.</w:t>
            </w:r>
          </w:p>
        </w:tc>
        <w:tc>
          <w:tcPr>
            <w:tcW w:w="990" w:type="dxa"/>
            <w:vAlign w:val="center"/>
          </w:tcPr>
          <w:p w14:paraId="0EB04151" w14:textId="60D40246"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auto"/>
            <w:noWrap/>
            <w:vAlign w:val="center"/>
            <w:hideMark/>
          </w:tcPr>
          <w:p w14:paraId="1AC6745B" w14:textId="77777777" w:rsidR="00C93FE1" w:rsidRPr="0089545C" w:rsidRDefault="00C93FE1" w:rsidP="00C93FE1">
            <w:pPr>
              <w:jc w:val="center"/>
              <w:rPr>
                <w:color w:val="000000"/>
                <w:sz w:val="18"/>
                <w:szCs w:val="18"/>
              </w:rPr>
            </w:pPr>
          </w:p>
        </w:tc>
      </w:tr>
      <w:tr w:rsidR="00C93FE1" w:rsidRPr="00C93FE1" w14:paraId="0B92AFEF" w14:textId="77777777" w:rsidTr="008B4EBD">
        <w:trPr>
          <w:jc w:val="center"/>
        </w:trPr>
        <w:tc>
          <w:tcPr>
            <w:tcW w:w="1345" w:type="dxa"/>
            <w:shd w:val="clear" w:color="auto" w:fill="auto"/>
            <w:noWrap/>
            <w:vAlign w:val="center"/>
            <w:hideMark/>
          </w:tcPr>
          <w:p w14:paraId="71369396" w14:textId="7559BF7E" w:rsidR="00C93FE1" w:rsidRPr="0089545C" w:rsidRDefault="00C93FE1" w:rsidP="0089545C">
            <w:pPr>
              <w:rPr>
                <w:i/>
                <w:color w:val="000000"/>
                <w:sz w:val="18"/>
                <w:szCs w:val="18"/>
              </w:rPr>
            </w:pPr>
            <w:r w:rsidRPr="0089545C">
              <w:rPr>
                <w:i/>
                <w:color w:val="000000"/>
                <w:sz w:val="18"/>
                <w:szCs w:val="18"/>
              </w:rPr>
              <w:t>Minnesota</w:t>
            </w:r>
          </w:p>
        </w:tc>
        <w:tc>
          <w:tcPr>
            <w:tcW w:w="1170" w:type="dxa"/>
            <w:shd w:val="clear" w:color="auto" w:fill="auto"/>
            <w:noWrap/>
            <w:vAlign w:val="center"/>
            <w:hideMark/>
          </w:tcPr>
          <w:p w14:paraId="55C8D854" w14:textId="14D85CE7" w:rsidR="00C93FE1" w:rsidRPr="0089545C" w:rsidRDefault="00C93FE1" w:rsidP="00C93FE1">
            <w:pPr>
              <w:jc w:val="center"/>
              <w:rPr>
                <w:color w:val="000000"/>
                <w:sz w:val="18"/>
                <w:szCs w:val="18"/>
              </w:rPr>
            </w:pPr>
            <w:r w:rsidRPr="0089545C">
              <w:rPr>
                <w:color w:val="000000"/>
                <w:sz w:val="18"/>
                <w:szCs w:val="18"/>
              </w:rPr>
              <w:t>5,706,494</w:t>
            </w:r>
          </w:p>
        </w:tc>
        <w:tc>
          <w:tcPr>
            <w:tcW w:w="720" w:type="dxa"/>
            <w:shd w:val="clear" w:color="auto" w:fill="auto"/>
            <w:noWrap/>
            <w:vAlign w:val="center"/>
            <w:hideMark/>
          </w:tcPr>
          <w:p w14:paraId="151FEBA8" w14:textId="3F43FBAF" w:rsidR="00C93FE1" w:rsidRPr="0089545C" w:rsidRDefault="00C93FE1" w:rsidP="00C93FE1">
            <w:pPr>
              <w:jc w:val="center"/>
              <w:rPr>
                <w:color w:val="000000"/>
                <w:sz w:val="18"/>
                <w:szCs w:val="18"/>
              </w:rPr>
            </w:pPr>
            <w:r w:rsidRPr="0089545C">
              <w:rPr>
                <w:color w:val="000000"/>
                <w:sz w:val="18"/>
                <w:szCs w:val="18"/>
              </w:rPr>
              <w:t>8</w:t>
            </w:r>
          </w:p>
        </w:tc>
        <w:tc>
          <w:tcPr>
            <w:tcW w:w="1080" w:type="dxa"/>
            <w:shd w:val="clear" w:color="auto" w:fill="auto"/>
            <w:noWrap/>
            <w:vAlign w:val="center"/>
            <w:hideMark/>
          </w:tcPr>
          <w:p w14:paraId="04A0370B" w14:textId="6476E935"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auto"/>
            <w:noWrap/>
            <w:vAlign w:val="center"/>
            <w:hideMark/>
          </w:tcPr>
          <w:p w14:paraId="116C5E84" w14:textId="0CA8DD4C" w:rsidR="00C93FE1" w:rsidRPr="0089545C" w:rsidRDefault="00C93FE1" w:rsidP="00C93FE1">
            <w:pPr>
              <w:jc w:val="center"/>
              <w:rPr>
                <w:color w:val="000000"/>
                <w:sz w:val="18"/>
                <w:szCs w:val="18"/>
              </w:rPr>
            </w:pPr>
            <w:r w:rsidRPr="0089545C">
              <w:rPr>
                <w:color w:val="000000"/>
                <w:sz w:val="18"/>
                <w:szCs w:val="18"/>
              </w:rPr>
              <w:t>SPLIT</w:t>
            </w:r>
          </w:p>
        </w:tc>
        <w:tc>
          <w:tcPr>
            <w:tcW w:w="900" w:type="dxa"/>
            <w:shd w:val="clear" w:color="auto" w:fill="auto"/>
            <w:vAlign w:val="center"/>
          </w:tcPr>
          <w:p w14:paraId="0572A64E" w14:textId="03EDA9B2" w:rsidR="00C93FE1" w:rsidRPr="0089545C" w:rsidRDefault="00C93FE1" w:rsidP="00C93FE1">
            <w:pPr>
              <w:jc w:val="center"/>
              <w:rPr>
                <w:color w:val="000000"/>
                <w:sz w:val="18"/>
                <w:szCs w:val="18"/>
              </w:rPr>
            </w:pPr>
            <w:r w:rsidRPr="0089545C">
              <w:rPr>
                <w:color w:val="000000"/>
                <w:sz w:val="18"/>
                <w:szCs w:val="18"/>
              </w:rPr>
              <w:t>Court</w:t>
            </w:r>
          </w:p>
        </w:tc>
        <w:tc>
          <w:tcPr>
            <w:tcW w:w="990" w:type="dxa"/>
            <w:vAlign w:val="center"/>
          </w:tcPr>
          <w:p w14:paraId="1A62A23B" w14:textId="66E912E1" w:rsidR="00C93FE1" w:rsidRPr="0089545C" w:rsidRDefault="00C93FE1" w:rsidP="00C93FE1">
            <w:pPr>
              <w:jc w:val="center"/>
              <w:rPr>
                <w:color w:val="000000"/>
                <w:sz w:val="18"/>
                <w:szCs w:val="18"/>
              </w:rPr>
            </w:pPr>
          </w:p>
        </w:tc>
        <w:tc>
          <w:tcPr>
            <w:tcW w:w="910" w:type="dxa"/>
            <w:shd w:val="clear" w:color="auto" w:fill="auto"/>
            <w:noWrap/>
            <w:vAlign w:val="center"/>
            <w:hideMark/>
          </w:tcPr>
          <w:p w14:paraId="54F66522" w14:textId="77777777" w:rsidR="00C93FE1" w:rsidRPr="0089545C" w:rsidRDefault="00C93FE1" w:rsidP="00C93FE1">
            <w:pPr>
              <w:jc w:val="center"/>
              <w:rPr>
                <w:color w:val="000000"/>
                <w:sz w:val="18"/>
                <w:szCs w:val="18"/>
              </w:rPr>
            </w:pPr>
          </w:p>
        </w:tc>
      </w:tr>
      <w:tr w:rsidR="00C133C9" w:rsidRPr="00C93FE1" w14:paraId="066DFB6E" w14:textId="77777777" w:rsidTr="008B4EBD">
        <w:trPr>
          <w:jc w:val="center"/>
        </w:trPr>
        <w:tc>
          <w:tcPr>
            <w:tcW w:w="1345" w:type="dxa"/>
            <w:shd w:val="clear" w:color="auto" w:fill="D9D9D9" w:themeFill="background1" w:themeFillShade="D9"/>
            <w:noWrap/>
            <w:vAlign w:val="center"/>
            <w:hideMark/>
          </w:tcPr>
          <w:p w14:paraId="15740A7D" w14:textId="5E78C339" w:rsidR="00C93FE1" w:rsidRPr="0089545C" w:rsidRDefault="00C93FE1" w:rsidP="0089545C">
            <w:pPr>
              <w:rPr>
                <w:i/>
                <w:color w:val="000000"/>
                <w:sz w:val="18"/>
                <w:szCs w:val="18"/>
              </w:rPr>
            </w:pPr>
            <w:r w:rsidRPr="0089545C">
              <w:rPr>
                <w:i/>
                <w:color w:val="000000"/>
                <w:sz w:val="18"/>
                <w:szCs w:val="18"/>
              </w:rPr>
              <w:t>Mississippi</w:t>
            </w:r>
          </w:p>
        </w:tc>
        <w:tc>
          <w:tcPr>
            <w:tcW w:w="1170" w:type="dxa"/>
            <w:shd w:val="clear" w:color="auto" w:fill="D9D9D9" w:themeFill="background1" w:themeFillShade="D9"/>
            <w:noWrap/>
            <w:vAlign w:val="center"/>
            <w:hideMark/>
          </w:tcPr>
          <w:p w14:paraId="1FC32CC3" w14:textId="7092BB03" w:rsidR="00C93FE1" w:rsidRPr="0089545C" w:rsidRDefault="00C93FE1" w:rsidP="00C93FE1">
            <w:pPr>
              <w:jc w:val="center"/>
              <w:rPr>
                <w:color w:val="000000"/>
                <w:sz w:val="18"/>
                <w:szCs w:val="18"/>
              </w:rPr>
            </w:pPr>
            <w:r w:rsidRPr="0089545C">
              <w:rPr>
                <w:color w:val="000000"/>
                <w:sz w:val="18"/>
                <w:szCs w:val="18"/>
              </w:rPr>
              <w:t>2,961,279</w:t>
            </w:r>
          </w:p>
        </w:tc>
        <w:tc>
          <w:tcPr>
            <w:tcW w:w="720" w:type="dxa"/>
            <w:shd w:val="clear" w:color="auto" w:fill="D9D9D9" w:themeFill="background1" w:themeFillShade="D9"/>
            <w:noWrap/>
            <w:vAlign w:val="center"/>
            <w:hideMark/>
          </w:tcPr>
          <w:p w14:paraId="1D98F608" w14:textId="27C70639" w:rsidR="00C93FE1" w:rsidRPr="0089545C" w:rsidRDefault="00C93FE1" w:rsidP="00C93FE1">
            <w:pPr>
              <w:jc w:val="center"/>
              <w:rPr>
                <w:color w:val="000000"/>
                <w:sz w:val="18"/>
                <w:szCs w:val="18"/>
              </w:rPr>
            </w:pPr>
            <w:r w:rsidRPr="0089545C">
              <w:rPr>
                <w:color w:val="000000"/>
                <w:sz w:val="18"/>
                <w:szCs w:val="18"/>
              </w:rPr>
              <w:t>4</w:t>
            </w:r>
          </w:p>
        </w:tc>
        <w:tc>
          <w:tcPr>
            <w:tcW w:w="1080" w:type="dxa"/>
            <w:shd w:val="clear" w:color="auto" w:fill="D9D9D9" w:themeFill="background1" w:themeFillShade="D9"/>
            <w:noWrap/>
            <w:vAlign w:val="center"/>
            <w:hideMark/>
          </w:tcPr>
          <w:p w14:paraId="1023456F" w14:textId="40435B21"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342B7377" w14:textId="2B12CEF4"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01F9624B" w14:textId="356F59F7"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573C845A" w14:textId="16862984"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47AE57E0" w14:textId="77777777" w:rsidR="00C93FE1" w:rsidRPr="0089545C" w:rsidRDefault="00C93FE1" w:rsidP="00C93FE1">
            <w:pPr>
              <w:jc w:val="center"/>
              <w:rPr>
                <w:color w:val="000000"/>
                <w:sz w:val="18"/>
                <w:szCs w:val="18"/>
              </w:rPr>
            </w:pPr>
          </w:p>
        </w:tc>
      </w:tr>
      <w:tr w:rsidR="00C133C9" w:rsidRPr="00C93FE1" w14:paraId="2D1AA17B" w14:textId="77777777" w:rsidTr="008B4EBD">
        <w:trPr>
          <w:jc w:val="center"/>
        </w:trPr>
        <w:tc>
          <w:tcPr>
            <w:tcW w:w="1345" w:type="dxa"/>
            <w:shd w:val="clear" w:color="auto" w:fill="D9D9D9" w:themeFill="background1" w:themeFillShade="D9"/>
            <w:noWrap/>
            <w:vAlign w:val="center"/>
            <w:hideMark/>
          </w:tcPr>
          <w:p w14:paraId="44535046" w14:textId="72063B79" w:rsidR="00C93FE1" w:rsidRPr="0089545C" w:rsidRDefault="00C93FE1" w:rsidP="0089545C">
            <w:pPr>
              <w:rPr>
                <w:i/>
                <w:color w:val="000000"/>
                <w:sz w:val="18"/>
                <w:szCs w:val="18"/>
              </w:rPr>
            </w:pPr>
            <w:r w:rsidRPr="0089545C">
              <w:rPr>
                <w:i/>
                <w:color w:val="000000"/>
                <w:sz w:val="18"/>
                <w:szCs w:val="18"/>
              </w:rPr>
              <w:t>Missouri</w:t>
            </w:r>
          </w:p>
        </w:tc>
        <w:tc>
          <w:tcPr>
            <w:tcW w:w="1170" w:type="dxa"/>
            <w:shd w:val="clear" w:color="auto" w:fill="D9D9D9" w:themeFill="background1" w:themeFillShade="D9"/>
            <w:noWrap/>
            <w:vAlign w:val="center"/>
            <w:hideMark/>
          </w:tcPr>
          <w:p w14:paraId="4B3B78CD" w14:textId="3824179D" w:rsidR="00C93FE1" w:rsidRPr="0089545C" w:rsidRDefault="00C93FE1" w:rsidP="00C93FE1">
            <w:pPr>
              <w:jc w:val="center"/>
              <w:rPr>
                <w:color w:val="000000"/>
                <w:sz w:val="18"/>
                <w:szCs w:val="18"/>
              </w:rPr>
            </w:pPr>
            <w:r w:rsidRPr="0089545C">
              <w:rPr>
                <w:color w:val="000000"/>
                <w:sz w:val="18"/>
                <w:szCs w:val="18"/>
              </w:rPr>
              <w:t>6,154,913</w:t>
            </w:r>
          </w:p>
        </w:tc>
        <w:tc>
          <w:tcPr>
            <w:tcW w:w="720" w:type="dxa"/>
            <w:shd w:val="clear" w:color="auto" w:fill="D9D9D9" w:themeFill="background1" w:themeFillShade="D9"/>
            <w:noWrap/>
            <w:vAlign w:val="center"/>
            <w:hideMark/>
          </w:tcPr>
          <w:p w14:paraId="4396357A" w14:textId="3DE569D8" w:rsidR="00C93FE1" w:rsidRPr="0089545C" w:rsidRDefault="00C93FE1" w:rsidP="00C93FE1">
            <w:pPr>
              <w:jc w:val="center"/>
              <w:rPr>
                <w:color w:val="000000"/>
                <w:sz w:val="18"/>
                <w:szCs w:val="18"/>
              </w:rPr>
            </w:pPr>
            <w:r w:rsidRPr="0089545C">
              <w:rPr>
                <w:color w:val="000000"/>
                <w:sz w:val="18"/>
                <w:szCs w:val="18"/>
              </w:rPr>
              <w:t>8</w:t>
            </w:r>
          </w:p>
        </w:tc>
        <w:tc>
          <w:tcPr>
            <w:tcW w:w="1080" w:type="dxa"/>
            <w:shd w:val="clear" w:color="auto" w:fill="D9D9D9" w:themeFill="background1" w:themeFillShade="D9"/>
            <w:noWrap/>
            <w:vAlign w:val="center"/>
            <w:hideMark/>
          </w:tcPr>
          <w:p w14:paraId="748E5D76" w14:textId="7E1041AA"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14A47766" w14:textId="25244CAC"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04853D87" w14:textId="59EDD6D2"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069623BC" w14:textId="33F37662"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48E5A5E8" w14:textId="603C38C7" w:rsidR="00C93FE1" w:rsidRPr="0089545C" w:rsidRDefault="00C93FE1" w:rsidP="00C93FE1">
            <w:pPr>
              <w:jc w:val="center"/>
              <w:rPr>
                <w:color w:val="000000"/>
                <w:sz w:val="18"/>
                <w:szCs w:val="18"/>
              </w:rPr>
            </w:pPr>
            <w:r w:rsidRPr="0089545C">
              <w:rPr>
                <w:color w:val="000000"/>
                <w:sz w:val="18"/>
                <w:szCs w:val="18"/>
              </w:rPr>
              <w:t>x</w:t>
            </w:r>
          </w:p>
        </w:tc>
      </w:tr>
      <w:tr w:rsidR="00C93FE1" w:rsidRPr="00C93FE1" w14:paraId="2529CF99" w14:textId="77777777" w:rsidTr="008B4EBD">
        <w:trPr>
          <w:jc w:val="center"/>
        </w:trPr>
        <w:tc>
          <w:tcPr>
            <w:tcW w:w="1345" w:type="dxa"/>
            <w:shd w:val="clear" w:color="auto" w:fill="auto"/>
            <w:noWrap/>
            <w:vAlign w:val="center"/>
            <w:hideMark/>
          </w:tcPr>
          <w:p w14:paraId="71B1AA3F" w14:textId="204C4964" w:rsidR="00C93FE1" w:rsidRPr="0089545C" w:rsidRDefault="00C93FE1" w:rsidP="0089545C">
            <w:pPr>
              <w:rPr>
                <w:i/>
                <w:color w:val="000000"/>
                <w:sz w:val="18"/>
                <w:szCs w:val="18"/>
              </w:rPr>
            </w:pPr>
            <w:r w:rsidRPr="0089545C">
              <w:rPr>
                <w:i/>
                <w:color w:val="000000"/>
                <w:sz w:val="18"/>
                <w:szCs w:val="18"/>
              </w:rPr>
              <w:t>Montana</w:t>
            </w:r>
          </w:p>
        </w:tc>
        <w:tc>
          <w:tcPr>
            <w:tcW w:w="1170" w:type="dxa"/>
            <w:shd w:val="clear" w:color="auto" w:fill="auto"/>
            <w:noWrap/>
            <w:vAlign w:val="center"/>
            <w:hideMark/>
          </w:tcPr>
          <w:p w14:paraId="47DD266D" w14:textId="36886E4B" w:rsidR="00C93FE1" w:rsidRPr="0089545C" w:rsidRDefault="00C93FE1" w:rsidP="00C93FE1">
            <w:pPr>
              <w:jc w:val="center"/>
              <w:rPr>
                <w:color w:val="000000"/>
                <w:sz w:val="18"/>
                <w:szCs w:val="18"/>
              </w:rPr>
            </w:pPr>
            <w:r w:rsidRPr="0089545C">
              <w:rPr>
                <w:color w:val="000000"/>
                <w:sz w:val="18"/>
                <w:szCs w:val="18"/>
              </w:rPr>
              <w:t>1,084,225</w:t>
            </w:r>
          </w:p>
        </w:tc>
        <w:tc>
          <w:tcPr>
            <w:tcW w:w="720" w:type="dxa"/>
            <w:shd w:val="clear" w:color="auto" w:fill="auto"/>
            <w:noWrap/>
            <w:vAlign w:val="center"/>
            <w:hideMark/>
          </w:tcPr>
          <w:p w14:paraId="0A180109" w14:textId="20909D96" w:rsidR="00C93FE1" w:rsidRPr="0089545C" w:rsidRDefault="00C93FE1" w:rsidP="00C93FE1">
            <w:pPr>
              <w:jc w:val="center"/>
              <w:rPr>
                <w:color w:val="000000"/>
                <w:sz w:val="18"/>
                <w:szCs w:val="18"/>
              </w:rPr>
            </w:pPr>
            <w:r w:rsidRPr="0089545C">
              <w:rPr>
                <w:color w:val="000000"/>
                <w:sz w:val="18"/>
                <w:szCs w:val="18"/>
              </w:rPr>
              <w:t>2</w:t>
            </w:r>
          </w:p>
        </w:tc>
        <w:tc>
          <w:tcPr>
            <w:tcW w:w="1080" w:type="dxa"/>
            <w:shd w:val="clear" w:color="auto" w:fill="auto"/>
            <w:noWrap/>
            <w:vAlign w:val="center"/>
            <w:hideMark/>
          </w:tcPr>
          <w:p w14:paraId="55EC7D27" w14:textId="27E7DC18" w:rsidR="00C93FE1" w:rsidRPr="0089545C" w:rsidRDefault="00C93FE1" w:rsidP="00C93FE1">
            <w:pPr>
              <w:jc w:val="center"/>
              <w:rPr>
                <w:color w:val="000000"/>
                <w:sz w:val="18"/>
                <w:szCs w:val="18"/>
              </w:rPr>
            </w:pPr>
            <w:r w:rsidRPr="0089545C">
              <w:rPr>
                <w:color w:val="000000"/>
                <w:sz w:val="18"/>
                <w:szCs w:val="18"/>
              </w:rPr>
              <w:t>C</w:t>
            </w:r>
          </w:p>
        </w:tc>
        <w:tc>
          <w:tcPr>
            <w:tcW w:w="900" w:type="dxa"/>
            <w:shd w:val="clear" w:color="auto" w:fill="auto"/>
            <w:noWrap/>
            <w:vAlign w:val="center"/>
            <w:hideMark/>
          </w:tcPr>
          <w:p w14:paraId="6C8A1490" w14:textId="070C6ACC"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auto"/>
            <w:vAlign w:val="center"/>
          </w:tcPr>
          <w:p w14:paraId="0843B886" w14:textId="30BE4449" w:rsidR="00C93FE1" w:rsidRPr="0089545C" w:rsidRDefault="00C93FE1" w:rsidP="00C93FE1">
            <w:pPr>
              <w:jc w:val="center"/>
              <w:rPr>
                <w:color w:val="000000"/>
                <w:sz w:val="18"/>
                <w:szCs w:val="18"/>
              </w:rPr>
            </w:pPr>
            <w:r w:rsidRPr="0089545C">
              <w:rPr>
                <w:color w:val="000000"/>
                <w:sz w:val="18"/>
                <w:szCs w:val="18"/>
              </w:rPr>
              <w:t>Comm.</w:t>
            </w:r>
          </w:p>
        </w:tc>
        <w:tc>
          <w:tcPr>
            <w:tcW w:w="990" w:type="dxa"/>
            <w:vAlign w:val="center"/>
          </w:tcPr>
          <w:p w14:paraId="290AA8D9" w14:textId="70532622"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auto"/>
            <w:noWrap/>
            <w:vAlign w:val="center"/>
            <w:hideMark/>
          </w:tcPr>
          <w:p w14:paraId="18FC6134" w14:textId="0E9307A6" w:rsidR="00C93FE1" w:rsidRPr="0089545C" w:rsidRDefault="00C93FE1" w:rsidP="00C93FE1">
            <w:pPr>
              <w:jc w:val="center"/>
              <w:rPr>
                <w:color w:val="000000"/>
                <w:sz w:val="18"/>
                <w:szCs w:val="18"/>
              </w:rPr>
            </w:pPr>
            <w:r w:rsidRPr="0089545C">
              <w:rPr>
                <w:color w:val="000000"/>
                <w:sz w:val="18"/>
                <w:szCs w:val="18"/>
              </w:rPr>
              <w:t>x</w:t>
            </w:r>
          </w:p>
        </w:tc>
      </w:tr>
      <w:tr w:rsidR="00C133C9" w:rsidRPr="00C93FE1" w14:paraId="74BB214D" w14:textId="77777777" w:rsidTr="008B4EBD">
        <w:trPr>
          <w:jc w:val="center"/>
        </w:trPr>
        <w:tc>
          <w:tcPr>
            <w:tcW w:w="1345" w:type="dxa"/>
            <w:shd w:val="clear" w:color="auto" w:fill="D9D9D9" w:themeFill="background1" w:themeFillShade="D9"/>
            <w:noWrap/>
            <w:vAlign w:val="center"/>
            <w:hideMark/>
          </w:tcPr>
          <w:p w14:paraId="500DF3E7" w14:textId="4407BBC4" w:rsidR="00C93FE1" w:rsidRPr="0089545C" w:rsidRDefault="00C93FE1" w:rsidP="0089545C">
            <w:pPr>
              <w:rPr>
                <w:i/>
                <w:color w:val="000000"/>
                <w:sz w:val="18"/>
                <w:szCs w:val="18"/>
              </w:rPr>
            </w:pPr>
            <w:r w:rsidRPr="0089545C">
              <w:rPr>
                <w:i/>
                <w:color w:val="000000"/>
                <w:sz w:val="18"/>
                <w:szCs w:val="18"/>
              </w:rPr>
              <w:t>Nebraska</w:t>
            </w:r>
          </w:p>
        </w:tc>
        <w:tc>
          <w:tcPr>
            <w:tcW w:w="1170" w:type="dxa"/>
            <w:shd w:val="clear" w:color="auto" w:fill="D9D9D9" w:themeFill="background1" w:themeFillShade="D9"/>
            <w:noWrap/>
            <w:vAlign w:val="center"/>
            <w:hideMark/>
          </w:tcPr>
          <w:p w14:paraId="4252BE28" w14:textId="6174E5BF" w:rsidR="00C93FE1" w:rsidRPr="0089545C" w:rsidRDefault="00C93FE1" w:rsidP="00C93FE1">
            <w:pPr>
              <w:jc w:val="center"/>
              <w:rPr>
                <w:color w:val="000000"/>
                <w:sz w:val="18"/>
                <w:szCs w:val="18"/>
              </w:rPr>
            </w:pPr>
            <w:r w:rsidRPr="0089545C">
              <w:rPr>
                <w:color w:val="000000"/>
                <w:sz w:val="18"/>
                <w:szCs w:val="18"/>
              </w:rPr>
              <w:t>1,961,504</w:t>
            </w:r>
          </w:p>
        </w:tc>
        <w:tc>
          <w:tcPr>
            <w:tcW w:w="720" w:type="dxa"/>
            <w:shd w:val="clear" w:color="auto" w:fill="D9D9D9" w:themeFill="background1" w:themeFillShade="D9"/>
            <w:noWrap/>
            <w:vAlign w:val="center"/>
            <w:hideMark/>
          </w:tcPr>
          <w:p w14:paraId="7B55EB2E" w14:textId="4E2EC228" w:rsidR="00C93FE1" w:rsidRPr="0089545C" w:rsidRDefault="00C93FE1" w:rsidP="00C93FE1">
            <w:pPr>
              <w:jc w:val="center"/>
              <w:rPr>
                <w:color w:val="000000"/>
                <w:sz w:val="18"/>
                <w:szCs w:val="18"/>
              </w:rPr>
            </w:pPr>
            <w:r w:rsidRPr="0089545C">
              <w:rPr>
                <w:color w:val="000000"/>
                <w:sz w:val="18"/>
                <w:szCs w:val="18"/>
              </w:rPr>
              <w:t>3</w:t>
            </w:r>
          </w:p>
        </w:tc>
        <w:tc>
          <w:tcPr>
            <w:tcW w:w="1080" w:type="dxa"/>
            <w:shd w:val="clear" w:color="auto" w:fill="D9D9D9" w:themeFill="background1" w:themeFillShade="D9"/>
            <w:noWrap/>
            <w:vAlign w:val="center"/>
            <w:hideMark/>
          </w:tcPr>
          <w:p w14:paraId="2A2C3E12" w14:textId="620822C9"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7E5603D7" w14:textId="36AB5ED4"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44DE3E00" w14:textId="2DBB4C5E"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1CFD593F" w14:textId="566C7CE9"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D9D9D9" w:themeFill="background1" w:themeFillShade="D9"/>
            <w:noWrap/>
            <w:vAlign w:val="center"/>
            <w:hideMark/>
          </w:tcPr>
          <w:p w14:paraId="3E559829" w14:textId="08D7FBE5" w:rsidR="00C93FE1" w:rsidRPr="0089545C" w:rsidRDefault="00C93FE1" w:rsidP="00C93FE1">
            <w:pPr>
              <w:jc w:val="center"/>
              <w:rPr>
                <w:color w:val="000000"/>
                <w:sz w:val="18"/>
                <w:szCs w:val="18"/>
              </w:rPr>
            </w:pPr>
            <w:r w:rsidRPr="0089545C">
              <w:rPr>
                <w:color w:val="000000"/>
                <w:sz w:val="18"/>
                <w:szCs w:val="18"/>
              </w:rPr>
              <w:t>x</w:t>
            </w:r>
          </w:p>
        </w:tc>
      </w:tr>
      <w:tr w:rsidR="00C133C9" w:rsidRPr="00C93FE1" w14:paraId="77D68843" w14:textId="77777777" w:rsidTr="008B4EBD">
        <w:trPr>
          <w:jc w:val="center"/>
        </w:trPr>
        <w:tc>
          <w:tcPr>
            <w:tcW w:w="1345" w:type="dxa"/>
            <w:shd w:val="clear" w:color="auto" w:fill="D9D9D9" w:themeFill="background1" w:themeFillShade="D9"/>
            <w:noWrap/>
            <w:vAlign w:val="center"/>
            <w:hideMark/>
          </w:tcPr>
          <w:p w14:paraId="49F980F5" w14:textId="2259A5EA" w:rsidR="00C93FE1" w:rsidRPr="0089545C" w:rsidRDefault="00C93FE1" w:rsidP="0089545C">
            <w:pPr>
              <w:rPr>
                <w:i/>
                <w:color w:val="000000"/>
                <w:sz w:val="18"/>
                <w:szCs w:val="18"/>
              </w:rPr>
            </w:pPr>
            <w:r w:rsidRPr="0089545C">
              <w:rPr>
                <w:i/>
                <w:color w:val="000000"/>
                <w:sz w:val="18"/>
                <w:szCs w:val="18"/>
              </w:rPr>
              <w:t>Nevada</w:t>
            </w:r>
          </w:p>
        </w:tc>
        <w:tc>
          <w:tcPr>
            <w:tcW w:w="1170" w:type="dxa"/>
            <w:shd w:val="clear" w:color="auto" w:fill="D9D9D9" w:themeFill="background1" w:themeFillShade="D9"/>
            <w:noWrap/>
            <w:vAlign w:val="center"/>
            <w:hideMark/>
          </w:tcPr>
          <w:p w14:paraId="03D505C2" w14:textId="5685938B" w:rsidR="00C93FE1" w:rsidRPr="0089545C" w:rsidRDefault="00C93FE1" w:rsidP="00C93FE1">
            <w:pPr>
              <w:jc w:val="center"/>
              <w:rPr>
                <w:color w:val="000000"/>
                <w:sz w:val="18"/>
                <w:szCs w:val="18"/>
              </w:rPr>
            </w:pPr>
            <w:r w:rsidRPr="0089545C">
              <w:rPr>
                <w:color w:val="000000"/>
                <w:sz w:val="18"/>
                <w:szCs w:val="18"/>
              </w:rPr>
              <w:t>3,104,614</w:t>
            </w:r>
          </w:p>
        </w:tc>
        <w:tc>
          <w:tcPr>
            <w:tcW w:w="720" w:type="dxa"/>
            <w:shd w:val="clear" w:color="auto" w:fill="D9D9D9" w:themeFill="background1" w:themeFillShade="D9"/>
            <w:noWrap/>
            <w:vAlign w:val="center"/>
            <w:hideMark/>
          </w:tcPr>
          <w:p w14:paraId="1E4A9348" w14:textId="30E486A8" w:rsidR="00C93FE1" w:rsidRPr="0089545C" w:rsidRDefault="00C93FE1" w:rsidP="00C93FE1">
            <w:pPr>
              <w:jc w:val="center"/>
              <w:rPr>
                <w:color w:val="000000"/>
                <w:sz w:val="18"/>
                <w:szCs w:val="18"/>
              </w:rPr>
            </w:pPr>
            <w:r w:rsidRPr="0089545C">
              <w:rPr>
                <w:color w:val="000000"/>
                <w:sz w:val="18"/>
                <w:szCs w:val="18"/>
              </w:rPr>
              <w:t>4</w:t>
            </w:r>
          </w:p>
        </w:tc>
        <w:tc>
          <w:tcPr>
            <w:tcW w:w="1080" w:type="dxa"/>
            <w:shd w:val="clear" w:color="auto" w:fill="D9D9D9" w:themeFill="background1" w:themeFillShade="D9"/>
            <w:noWrap/>
            <w:vAlign w:val="center"/>
            <w:hideMark/>
          </w:tcPr>
          <w:p w14:paraId="2E0106A7" w14:textId="2D49CE35"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7868F1CE" w14:textId="44A3B495" w:rsidR="00C93FE1" w:rsidRPr="0089545C" w:rsidRDefault="00C93FE1" w:rsidP="00C93FE1">
            <w:pPr>
              <w:jc w:val="center"/>
              <w:rPr>
                <w:color w:val="000000"/>
                <w:sz w:val="18"/>
                <w:szCs w:val="18"/>
              </w:rPr>
            </w:pPr>
            <w:r w:rsidRPr="0089545C">
              <w:rPr>
                <w:color w:val="000000"/>
                <w:sz w:val="18"/>
                <w:szCs w:val="18"/>
              </w:rPr>
              <w:t>DEM</w:t>
            </w:r>
          </w:p>
        </w:tc>
        <w:tc>
          <w:tcPr>
            <w:tcW w:w="900" w:type="dxa"/>
            <w:shd w:val="clear" w:color="auto" w:fill="D9D9D9" w:themeFill="background1" w:themeFillShade="D9"/>
            <w:vAlign w:val="center"/>
          </w:tcPr>
          <w:p w14:paraId="6D11746E" w14:textId="3BC32C63"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51AC7EE5" w14:textId="1E1167BE"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618CF66C" w14:textId="77777777" w:rsidR="00C93FE1" w:rsidRPr="0089545C" w:rsidRDefault="00C93FE1" w:rsidP="00C93FE1">
            <w:pPr>
              <w:jc w:val="center"/>
              <w:rPr>
                <w:color w:val="000000"/>
                <w:sz w:val="18"/>
                <w:szCs w:val="18"/>
              </w:rPr>
            </w:pPr>
          </w:p>
        </w:tc>
      </w:tr>
      <w:tr w:rsidR="00C133C9" w:rsidRPr="00C93FE1" w14:paraId="499234A3" w14:textId="77777777" w:rsidTr="008B4EBD">
        <w:trPr>
          <w:jc w:val="center"/>
        </w:trPr>
        <w:tc>
          <w:tcPr>
            <w:tcW w:w="1345" w:type="dxa"/>
            <w:shd w:val="clear" w:color="auto" w:fill="D9D9D9" w:themeFill="background1" w:themeFillShade="D9"/>
            <w:noWrap/>
            <w:vAlign w:val="center"/>
            <w:hideMark/>
          </w:tcPr>
          <w:p w14:paraId="7C367C48" w14:textId="584CE638" w:rsidR="00C93FE1" w:rsidRPr="0089545C" w:rsidRDefault="00C93FE1" w:rsidP="0089545C">
            <w:pPr>
              <w:rPr>
                <w:i/>
                <w:color w:val="000000"/>
                <w:sz w:val="18"/>
                <w:szCs w:val="18"/>
              </w:rPr>
            </w:pPr>
            <w:r w:rsidRPr="0089545C">
              <w:rPr>
                <w:i/>
                <w:color w:val="000000"/>
                <w:sz w:val="18"/>
                <w:szCs w:val="18"/>
              </w:rPr>
              <w:t>New Hampshire</w:t>
            </w:r>
          </w:p>
        </w:tc>
        <w:tc>
          <w:tcPr>
            <w:tcW w:w="1170" w:type="dxa"/>
            <w:shd w:val="clear" w:color="auto" w:fill="D9D9D9" w:themeFill="background1" w:themeFillShade="D9"/>
            <w:noWrap/>
            <w:vAlign w:val="center"/>
            <w:hideMark/>
          </w:tcPr>
          <w:p w14:paraId="514ABF6E" w14:textId="4C1FC4E7" w:rsidR="00C93FE1" w:rsidRPr="0089545C" w:rsidRDefault="00C93FE1" w:rsidP="00C93FE1">
            <w:pPr>
              <w:jc w:val="center"/>
              <w:rPr>
                <w:color w:val="000000"/>
                <w:sz w:val="18"/>
                <w:szCs w:val="18"/>
              </w:rPr>
            </w:pPr>
            <w:r w:rsidRPr="0089545C">
              <w:rPr>
                <w:color w:val="000000"/>
                <w:sz w:val="18"/>
                <w:szCs w:val="18"/>
              </w:rPr>
              <w:t>1,377,529</w:t>
            </w:r>
          </w:p>
        </w:tc>
        <w:tc>
          <w:tcPr>
            <w:tcW w:w="720" w:type="dxa"/>
            <w:shd w:val="clear" w:color="auto" w:fill="D9D9D9" w:themeFill="background1" w:themeFillShade="D9"/>
            <w:noWrap/>
            <w:vAlign w:val="center"/>
            <w:hideMark/>
          </w:tcPr>
          <w:p w14:paraId="3B9EC0BE" w14:textId="7C357D74" w:rsidR="00C93FE1" w:rsidRPr="0089545C" w:rsidRDefault="00C93FE1" w:rsidP="00C93FE1">
            <w:pPr>
              <w:jc w:val="center"/>
              <w:rPr>
                <w:color w:val="000000"/>
                <w:sz w:val="18"/>
                <w:szCs w:val="18"/>
              </w:rPr>
            </w:pPr>
            <w:r w:rsidRPr="0089545C">
              <w:rPr>
                <w:color w:val="000000"/>
                <w:sz w:val="18"/>
                <w:szCs w:val="18"/>
              </w:rPr>
              <w:t>2</w:t>
            </w:r>
          </w:p>
        </w:tc>
        <w:tc>
          <w:tcPr>
            <w:tcW w:w="1080" w:type="dxa"/>
            <w:shd w:val="clear" w:color="auto" w:fill="D9D9D9" w:themeFill="background1" w:themeFillShade="D9"/>
            <w:noWrap/>
            <w:vAlign w:val="center"/>
            <w:hideMark/>
          </w:tcPr>
          <w:p w14:paraId="5455146F" w14:textId="3F7EAF21"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5EFDD73D" w14:textId="04E8F9CA"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4B373519" w14:textId="7D4617FC" w:rsidR="00C93FE1" w:rsidRPr="0089545C" w:rsidRDefault="00C93FE1" w:rsidP="00C93FE1">
            <w:pPr>
              <w:jc w:val="center"/>
              <w:rPr>
                <w:color w:val="000000"/>
                <w:sz w:val="18"/>
                <w:szCs w:val="18"/>
              </w:rPr>
            </w:pPr>
            <w:r w:rsidRPr="0089545C">
              <w:rPr>
                <w:color w:val="000000"/>
                <w:sz w:val="18"/>
                <w:szCs w:val="18"/>
              </w:rPr>
              <w:t>Court</w:t>
            </w:r>
          </w:p>
        </w:tc>
        <w:tc>
          <w:tcPr>
            <w:tcW w:w="990" w:type="dxa"/>
            <w:shd w:val="clear" w:color="auto" w:fill="D9D9D9" w:themeFill="background1" w:themeFillShade="D9"/>
            <w:vAlign w:val="center"/>
          </w:tcPr>
          <w:p w14:paraId="1FFCD62D" w14:textId="1CC5AB35"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41B14ADF" w14:textId="558611E5" w:rsidR="00C93FE1" w:rsidRPr="0089545C" w:rsidRDefault="00C93FE1" w:rsidP="00C93FE1">
            <w:pPr>
              <w:jc w:val="center"/>
              <w:rPr>
                <w:color w:val="000000"/>
                <w:sz w:val="18"/>
                <w:szCs w:val="18"/>
              </w:rPr>
            </w:pPr>
            <w:r w:rsidRPr="0089545C">
              <w:rPr>
                <w:color w:val="000000"/>
                <w:sz w:val="18"/>
                <w:szCs w:val="18"/>
              </w:rPr>
              <w:t>x</w:t>
            </w:r>
          </w:p>
        </w:tc>
      </w:tr>
      <w:tr w:rsidR="00C93FE1" w:rsidRPr="00C93FE1" w14:paraId="3B7CFFD7" w14:textId="77777777" w:rsidTr="008B4EBD">
        <w:trPr>
          <w:jc w:val="center"/>
        </w:trPr>
        <w:tc>
          <w:tcPr>
            <w:tcW w:w="1345" w:type="dxa"/>
            <w:shd w:val="clear" w:color="auto" w:fill="auto"/>
            <w:noWrap/>
            <w:vAlign w:val="center"/>
            <w:hideMark/>
          </w:tcPr>
          <w:p w14:paraId="08FA3313" w14:textId="4C854F84" w:rsidR="00C93FE1" w:rsidRPr="0089545C" w:rsidRDefault="00C93FE1" w:rsidP="0089545C">
            <w:pPr>
              <w:rPr>
                <w:i/>
                <w:color w:val="000000"/>
                <w:sz w:val="18"/>
                <w:szCs w:val="18"/>
              </w:rPr>
            </w:pPr>
            <w:r w:rsidRPr="0089545C">
              <w:rPr>
                <w:i/>
                <w:color w:val="000000"/>
                <w:sz w:val="18"/>
                <w:szCs w:val="18"/>
              </w:rPr>
              <w:t>New Jersey</w:t>
            </w:r>
          </w:p>
        </w:tc>
        <w:tc>
          <w:tcPr>
            <w:tcW w:w="1170" w:type="dxa"/>
            <w:shd w:val="clear" w:color="auto" w:fill="auto"/>
            <w:noWrap/>
            <w:vAlign w:val="center"/>
            <w:hideMark/>
          </w:tcPr>
          <w:p w14:paraId="01861BED" w14:textId="3FB5D83C" w:rsidR="00C93FE1" w:rsidRPr="0089545C" w:rsidRDefault="00C93FE1" w:rsidP="00C93FE1">
            <w:pPr>
              <w:jc w:val="center"/>
              <w:rPr>
                <w:color w:val="000000"/>
                <w:sz w:val="18"/>
                <w:szCs w:val="18"/>
              </w:rPr>
            </w:pPr>
            <w:r w:rsidRPr="0089545C">
              <w:rPr>
                <w:color w:val="000000"/>
                <w:sz w:val="18"/>
                <w:szCs w:val="18"/>
              </w:rPr>
              <w:t>9,288,994</w:t>
            </w:r>
          </w:p>
        </w:tc>
        <w:tc>
          <w:tcPr>
            <w:tcW w:w="720" w:type="dxa"/>
            <w:shd w:val="clear" w:color="auto" w:fill="auto"/>
            <w:noWrap/>
            <w:vAlign w:val="center"/>
            <w:hideMark/>
          </w:tcPr>
          <w:p w14:paraId="10E9F32C" w14:textId="2050B9F7" w:rsidR="00C93FE1" w:rsidRPr="0089545C" w:rsidRDefault="00C93FE1" w:rsidP="00C93FE1">
            <w:pPr>
              <w:jc w:val="center"/>
              <w:rPr>
                <w:color w:val="000000"/>
                <w:sz w:val="18"/>
                <w:szCs w:val="18"/>
              </w:rPr>
            </w:pPr>
            <w:r w:rsidRPr="0089545C">
              <w:rPr>
                <w:color w:val="000000"/>
                <w:sz w:val="18"/>
                <w:szCs w:val="18"/>
              </w:rPr>
              <w:t>12</w:t>
            </w:r>
          </w:p>
        </w:tc>
        <w:tc>
          <w:tcPr>
            <w:tcW w:w="1080" w:type="dxa"/>
            <w:shd w:val="clear" w:color="auto" w:fill="auto"/>
            <w:noWrap/>
            <w:vAlign w:val="center"/>
            <w:hideMark/>
          </w:tcPr>
          <w:p w14:paraId="7A228891" w14:textId="5CEE174B" w:rsidR="00C93FE1" w:rsidRPr="0089545C" w:rsidRDefault="00C93FE1" w:rsidP="00C93FE1">
            <w:pPr>
              <w:jc w:val="center"/>
              <w:rPr>
                <w:color w:val="000000"/>
                <w:sz w:val="18"/>
                <w:szCs w:val="18"/>
              </w:rPr>
            </w:pPr>
            <w:r w:rsidRPr="0089545C">
              <w:rPr>
                <w:color w:val="000000"/>
                <w:sz w:val="18"/>
                <w:szCs w:val="18"/>
              </w:rPr>
              <w:t>C(P)</w:t>
            </w:r>
          </w:p>
        </w:tc>
        <w:tc>
          <w:tcPr>
            <w:tcW w:w="900" w:type="dxa"/>
            <w:shd w:val="clear" w:color="auto" w:fill="auto"/>
            <w:noWrap/>
            <w:vAlign w:val="center"/>
            <w:hideMark/>
          </w:tcPr>
          <w:p w14:paraId="19DE271D" w14:textId="70E2BC99" w:rsidR="00C93FE1" w:rsidRPr="0089545C" w:rsidRDefault="00C93FE1" w:rsidP="00C93FE1">
            <w:pPr>
              <w:jc w:val="center"/>
              <w:rPr>
                <w:color w:val="000000"/>
                <w:sz w:val="18"/>
                <w:szCs w:val="18"/>
              </w:rPr>
            </w:pPr>
            <w:r w:rsidRPr="0089545C">
              <w:rPr>
                <w:color w:val="000000"/>
                <w:sz w:val="18"/>
                <w:szCs w:val="18"/>
              </w:rPr>
              <w:t>DEM</w:t>
            </w:r>
          </w:p>
        </w:tc>
        <w:tc>
          <w:tcPr>
            <w:tcW w:w="900" w:type="dxa"/>
            <w:shd w:val="clear" w:color="auto" w:fill="auto"/>
            <w:vAlign w:val="center"/>
          </w:tcPr>
          <w:p w14:paraId="7A8F4C23" w14:textId="12B6F9B4" w:rsidR="00C93FE1" w:rsidRPr="0089545C" w:rsidRDefault="00C93FE1" w:rsidP="00C93FE1">
            <w:pPr>
              <w:jc w:val="center"/>
              <w:rPr>
                <w:color w:val="000000"/>
                <w:sz w:val="18"/>
                <w:szCs w:val="18"/>
              </w:rPr>
            </w:pPr>
            <w:r w:rsidRPr="0089545C">
              <w:rPr>
                <w:color w:val="000000"/>
                <w:sz w:val="18"/>
                <w:szCs w:val="18"/>
              </w:rPr>
              <w:t>Comm.</w:t>
            </w:r>
          </w:p>
        </w:tc>
        <w:tc>
          <w:tcPr>
            <w:tcW w:w="990" w:type="dxa"/>
            <w:vAlign w:val="center"/>
          </w:tcPr>
          <w:p w14:paraId="6668DB4A" w14:textId="6645D928" w:rsidR="00C93FE1" w:rsidRPr="0089545C" w:rsidRDefault="00C93FE1" w:rsidP="00C93FE1">
            <w:pPr>
              <w:jc w:val="center"/>
              <w:rPr>
                <w:color w:val="000000"/>
                <w:sz w:val="18"/>
                <w:szCs w:val="18"/>
              </w:rPr>
            </w:pPr>
          </w:p>
        </w:tc>
        <w:tc>
          <w:tcPr>
            <w:tcW w:w="910" w:type="dxa"/>
            <w:shd w:val="clear" w:color="auto" w:fill="auto"/>
            <w:noWrap/>
            <w:vAlign w:val="center"/>
            <w:hideMark/>
          </w:tcPr>
          <w:p w14:paraId="5FB19A65" w14:textId="77777777" w:rsidR="00C93FE1" w:rsidRPr="0089545C" w:rsidRDefault="00C93FE1" w:rsidP="00C93FE1">
            <w:pPr>
              <w:jc w:val="center"/>
              <w:rPr>
                <w:color w:val="000000"/>
                <w:sz w:val="18"/>
                <w:szCs w:val="18"/>
              </w:rPr>
            </w:pPr>
          </w:p>
        </w:tc>
      </w:tr>
      <w:tr w:rsidR="00C133C9" w:rsidRPr="00C93FE1" w14:paraId="30ED0EE7" w14:textId="77777777" w:rsidTr="008B4EBD">
        <w:trPr>
          <w:jc w:val="center"/>
        </w:trPr>
        <w:tc>
          <w:tcPr>
            <w:tcW w:w="1345" w:type="dxa"/>
            <w:shd w:val="clear" w:color="auto" w:fill="D9D9D9" w:themeFill="background1" w:themeFillShade="D9"/>
            <w:noWrap/>
            <w:vAlign w:val="center"/>
            <w:hideMark/>
          </w:tcPr>
          <w:p w14:paraId="456FAB34" w14:textId="17D3F158" w:rsidR="00C93FE1" w:rsidRPr="0089545C" w:rsidRDefault="00C93FE1" w:rsidP="0089545C">
            <w:pPr>
              <w:rPr>
                <w:i/>
                <w:color w:val="000000"/>
                <w:sz w:val="18"/>
                <w:szCs w:val="18"/>
              </w:rPr>
            </w:pPr>
            <w:r w:rsidRPr="0089545C">
              <w:rPr>
                <w:i/>
                <w:color w:val="000000"/>
                <w:sz w:val="18"/>
                <w:szCs w:val="18"/>
              </w:rPr>
              <w:t>New Mexico</w:t>
            </w:r>
          </w:p>
        </w:tc>
        <w:tc>
          <w:tcPr>
            <w:tcW w:w="1170" w:type="dxa"/>
            <w:shd w:val="clear" w:color="auto" w:fill="D9D9D9" w:themeFill="background1" w:themeFillShade="D9"/>
            <w:noWrap/>
            <w:vAlign w:val="center"/>
            <w:hideMark/>
          </w:tcPr>
          <w:p w14:paraId="6807CA65" w14:textId="4B97940A" w:rsidR="00C93FE1" w:rsidRPr="0089545C" w:rsidRDefault="00C93FE1" w:rsidP="00C93FE1">
            <w:pPr>
              <w:jc w:val="center"/>
              <w:rPr>
                <w:color w:val="000000"/>
                <w:sz w:val="18"/>
                <w:szCs w:val="18"/>
              </w:rPr>
            </w:pPr>
            <w:r w:rsidRPr="0089545C">
              <w:rPr>
                <w:color w:val="000000"/>
                <w:sz w:val="18"/>
                <w:szCs w:val="18"/>
              </w:rPr>
              <w:t>2,117,522</w:t>
            </w:r>
          </w:p>
        </w:tc>
        <w:tc>
          <w:tcPr>
            <w:tcW w:w="720" w:type="dxa"/>
            <w:shd w:val="clear" w:color="auto" w:fill="D9D9D9" w:themeFill="background1" w:themeFillShade="D9"/>
            <w:noWrap/>
            <w:vAlign w:val="center"/>
            <w:hideMark/>
          </w:tcPr>
          <w:p w14:paraId="0DEC8319" w14:textId="3E1D64C7" w:rsidR="00C93FE1" w:rsidRPr="0089545C" w:rsidRDefault="00C93FE1" w:rsidP="00C93FE1">
            <w:pPr>
              <w:jc w:val="center"/>
              <w:rPr>
                <w:color w:val="000000"/>
                <w:sz w:val="18"/>
                <w:szCs w:val="18"/>
              </w:rPr>
            </w:pPr>
            <w:r w:rsidRPr="0089545C">
              <w:rPr>
                <w:color w:val="000000"/>
                <w:sz w:val="18"/>
                <w:szCs w:val="18"/>
              </w:rPr>
              <w:t>3</w:t>
            </w:r>
          </w:p>
        </w:tc>
        <w:tc>
          <w:tcPr>
            <w:tcW w:w="1080" w:type="dxa"/>
            <w:shd w:val="clear" w:color="auto" w:fill="D9D9D9" w:themeFill="background1" w:themeFillShade="D9"/>
            <w:noWrap/>
            <w:vAlign w:val="center"/>
            <w:hideMark/>
          </w:tcPr>
          <w:p w14:paraId="456E19F8" w14:textId="619A9A30"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2BE7084D" w14:textId="197AA2EC" w:rsidR="00C93FE1" w:rsidRPr="0089545C" w:rsidRDefault="00C93FE1" w:rsidP="00C93FE1">
            <w:pPr>
              <w:jc w:val="center"/>
              <w:rPr>
                <w:color w:val="000000"/>
                <w:sz w:val="18"/>
                <w:szCs w:val="18"/>
              </w:rPr>
            </w:pPr>
            <w:r w:rsidRPr="0089545C">
              <w:rPr>
                <w:color w:val="000000"/>
                <w:sz w:val="18"/>
                <w:szCs w:val="18"/>
              </w:rPr>
              <w:t>DEM</w:t>
            </w:r>
          </w:p>
        </w:tc>
        <w:tc>
          <w:tcPr>
            <w:tcW w:w="900" w:type="dxa"/>
            <w:shd w:val="clear" w:color="auto" w:fill="D9D9D9" w:themeFill="background1" w:themeFillShade="D9"/>
            <w:vAlign w:val="center"/>
          </w:tcPr>
          <w:p w14:paraId="59363735" w14:textId="0792782F"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0FF0BFCD" w14:textId="20A8C99F"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21FAE342" w14:textId="09A80436" w:rsidR="00C93FE1" w:rsidRPr="0089545C" w:rsidRDefault="00C93FE1" w:rsidP="00C93FE1">
            <w:pPr>
              <w:jc w:val="center"/>
              <w:rPr>
                <w:color w:val="000000"/>
                <w:sz w:val="18"/>
                <w:szCs w:val="18"/>
              </w:rPr>
            </w:pPr>
            <w:r w:rsidRPr="0089545C">
              <w:rPr>
                <w:color w:val="000000"/>
                <w:sz w:val="18"/>
                <w:szCs w:val="18"/>
              </w:rPr>
              <w:t>x</w:t>
            </w:r>
          </w:p>
        </w:tc>
      </w:tr>
      <w:tr w:rsidR="00C133C9" w:rsidRPr="00C93FE1" w14:paraId="38A7E1F9" w14:textId="77777777" w:rsidTr="008B4EBD">
        <w:trPr>
          <w:jc w:val="center"/>
        </w:trPr>
        <w:tc>
          <w:tcPr>
            <w:tcW w:w="1345" w:type="dxa"/>
            <w:shd w:val="clear" w:color="auto" w:fill="D9D9D9" w:themeFill="background1" w:themeFillShade="D9"/>
            <w:noWrap/>
            <w:vAlign w:val="center"/>
            <w:hideMark/>
          </w:tcPr>
          <w:p w14:paraId="1161890A" w14:textId="248822EB" w:rsidR="00C93FE1" w:rsidRPr="0089545C" w:rsidRDefault="00C93FE1" w:rsidP="0089545C">
            <w:pPr>
              <w:rPr>
                <w:i/>
                <w:color w:val="000000"/>
                <w:sz w:val="18"/>
                <w:szCs w:val="18"/>
              </w:rPr>
            </w:pPr>
            <w:r w:rsidRPr="0089545C">
              <w:rPr>
                <w:i/>
                <w:color w:val="000000"/>
                <w:sz w:val="18"/>
                <w:szCs w:val="18"/>
              </w:rPr>
              <w:t>New York</w:t>
            </w:r>
          </w:p>
        </w:tc>
        <w:tc>
          <w:tcPr>
            <w:tcW w:w="1170" w:type="dxa"/>
            <w:shd w:val="clear" w:color="auto" w:fill="D9D9D9" w:themeFill="background1" w:themeFillShade="D9"/>
            <w:noWrap/>
            <w:vAlign w:val="center"/>
            <w:hideMark/>
          </w:tcPr>
          <w:p w14:paraId="65D3054B" w14:textId="27F4977F" w:rsidR="00C93FE1" w:rsidRPr="0089545C" w:rsidRDefault="00C93FE1" w:rsidP="00C93FE1">
            <w:pPr>
              <w:jc w:val="center"/>
              <w:rPr>
                <w:color w:val="000000"/>
                <w:sz w:val="18"/>
                <w:szCs w:val="18"/>
              </w:rPr>
            </w:pPr>
            <w:r w:rsidRPr="0089545C">
              <w:rPr>
                <w:color w:val="000000"/>
                <w:sz w:val="18"/>
                <w:szCs w:val="18"/>
              </w:rPr>
              <w:t>20,201,249</w:t>
            </w:r>
          </w:p>
        </w:tc>
        <w:tc>
          <w:tcPr>
            <w:tcW w:w="720" w:type="dxa"/>
            <w:shd w:val="clear" w:color="auto" w:fill="D9D9D9" w:themeFill="background1" w:themeFillShade="D9"/>
            <w:noWrap/>
            <w:vAlign w:val="center"/>
            <w:hideMark/>
          </w:tcPr>
          <w:p w14:paraId="6B7F0514" w14:textId="481529A5" w:rsidR="00C93FE1" w:rsidRPr="0089545C" w:rsidRDefault="00C93FE1" w:rsidP="00C93FE1">
            <w:pPr>
              <w:jc w:val="center"/>
              <w:rPr>
                <w:color w:val="000000"/>
                <w:sz w:val="18"/>
                <w:szCs w:val="18"/>
              </w:rPr>
            </w:pPr>
            <w:r w:rsidRPr="0089545C">
              <w:rPr>
                <w:color w:val="000000"/>
                <w:sz w:val="18"/>
                <w:szCs w:val="18"/>
              </w:rPr>
              <w:t>26</w:t>
            </w:r>
          </w:p>
        </w:tc>
        <w:tc>
          <w:tcPr>
            <w:tcW w:w="1080" w:type="dxa"/>
            <w:shd w:val="clear" w:color="auto" w:fill="D9D9D9" w:themeFill="background1" w:themeFillShade="D9"/>
            <w:noWrap/>
            <w:vAlign w:val="center"/>
            <w:hideMark/>
          </w:tcPr>
          <w:p w14:paraId="02F2D39E" w14:textId="5B545904" w:rsidR="00C93FE1" w:rsidRPr="0089545C" w:rsidRDefault="00C93FE1" w:rsidP="00C93FE1">
            <w:pPr>
              <w:jc w:val="center"/>
              <w:rPr>
                <w:color w:val="000000"/>
                <w:sz w:val="18"/>
                <w:szCs w:val="18"/>
              </w:rPr>
            </w:pPr>
            <w:r w:rsidRPr="0089545C">
              <w:rPr>
                <w:color w:val="000000"/>
                <w:sz w:val="18"/>
                <w:szCs w:val="18"/>
              </w:rPr>
              <w:t>C(L)</w:t>
            </w:r>
          </w:p>
        </w:tc>
        <w:tc>
          <w:tcPr>
            <w:tcW w:w="900" w:type="dxa"/>
            <w:shd w:val="clear" w:color="auto" w:fill="D9D9D9" w:themeFill="background1" w:themeFillShade="D9"/>
            <w:noWrap/>
            <w:vAlign w:val="center"/>
            <w:hideMark/>
          </w:tcPr>
          <w:p w14:paraId="38AD17E9" w14:textId="517725D9" w:rsidR="00C93FE1" w:rsidRPr="0089545C" w:rsidRDefault="00C93FE1" w:rsidP="00C93FE1">
            <w:pPr>
              <w:jc w:val="center"/>
              <w:rPr>
                <w:color w:val="000000"/>
                <w:sz w:val="18"/>
                <w:szCs w:val="18"/>
              </w:rPr>
            </w:pPr>
            <w:r w:rsidRPr="0089545C">
              <w:rPr>
                <w:color w:val="000000"/>
                <w:sz w:val="18"/>
                <w:szCs w:val="18"/>
              </w:rPr>
              <w:t>DEM*</w:t>
            </w:r>
          </w:p>
        </w:tc>
        <w:tc>
          <w:tcPr>
            <w:tcW w:w="900" w:type="dxa"/>
            <w:shd w:val="clear" w:color="auto" w:fill="D9D9D9" w:themeFill="background1" w:themeFillShade="D9"/>
            <w:vAlign w:val="center"/>
          </w:tcPr>
          <w:p w14:paraId="637B125F" w14:textId="3D5917D5" w:rsidR="00C93FE1" w:rsidRPr="0089545C" w:rsidRDefault="00C93FE1" w:rsidP="00C93FE1">
            <w:pPr>
              <w:jc w:val="center"/>
              <w:rPr>
                <w:color w:val="000000"/>
                <w:sz w:val="18"/>
                <w:szCs w:val="18"/>
              </w:rPr>
            </w:pPr>
            <w:r w:rsidRPr="0089545C">
              <w:rPr>
                <w:color w:val="000000"/>
                <w:sz w:val="18"/>
                <w:szCs w:val="18"/>
              </w:rPr>
              <w:t>Court</w:t>
            </w:r>
          </w:p>
        </w:tc>
        <w:tc>
          <w:tcPr>
            <w:tcW w:w="990" w:type="dxa"/>
            <w:shd w:val="clear" w:color="auto" w:fill="D9D9D9" w:themeFill="background1" w:themeFillShade="D9"/>
            <w:vAlign w:val="center"/>
          </w:tcPr>
          <w:p w14:paraId="037CB75C" w14:textId="36BBF617"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D9D9D9" w:themeFill="background1" w:themeFillShade="D9"/>
            <w:noWrap/>
            <w:vAlign w:val="center"/>
            <w:hideMark/>
          </w:tcPr>
          <w:p w14:paraId="6292E6AA" w14:textId="77777777" w:rsidR="00C93FE1" w:rsidRPr="0089545C" w:rsidRDefault="00C93FE1" w:rsidP="00C93FE1">
            <w:pPr>
              <w:jc w:val="center"/>
              <w:rPr>
                <w:color w:val="000000"/>
                <w:sz w:val="18"/>
                <w:szCs w:val="18"/>
              </w:rPr>
            </w:pPr>
          </w:p>
        </w:tc>
      </w:tr>
      <w:tr w:rsidR="00C133C9" w:rsidRPr="00C93FE1" w14:paraId="2EA852C3" w14:textId="77777777" w:rsidTr="008B4EBD">
        <w:trPr>
          <w:jc w:val="center"/>
        </w:trPr>
        <w:tc>
          <w:tcPr>
            <w:tcW w:w="1345" w:type="dxa"/>
            <w:shd w:val="clear" w:color="auto" w:fill="D9D9D9" w:themeFill="background1" w:themeFillShade="D9"/>
            <w:noWrap/>
            <w:vAlign w:val="center"/>
            <w:hideMark/>
          </w:tcPr>
          <w:p w14:paraId="1B94DB9C" w14:textId="2157EA69" w:rsidR="00C93FE1" w:rsidRPr="0089545C" w:rsidRDefault="00C93FE1" w:rsidP="0089545C">
            <w:pPr>
              <w:rPr>
                <w:i/>
                <w:color w:val="000000"/>
                <w:sz w:val="18"/>
                <w:szCs w:val="18"/>
              </w:rPr>
            </w:pPr>
            <w:r w:rsidRPr="0089545C">
              <w:rPr>
                <w:i/>
                <w:color w:val="000000"/>
                <w:sz w:val="18"/>
                <w:szCs w:val="18"/>
              </w:rPr>
              <w:t>North Carolina</w:t>
            </w:r>
          </w:p>
        </w:tc>
        <w:tc>
          <w:tcPr>
            <w:tcW w:w="1170" w:type="dxa"/>
            <w:shd w:val="clear" w:color="auto" w:fill="D9D9D9" w:themeFill="background1" w:themeFillShade="D9"/>
            <w:noWrap/>
            <w:vAlign w:val="center"/>
            <w:hideMark/>
          </w:tcPr>
          <w:p w14:paraId="38B9B475" w14:textId="5B06180D" w:rsidR="00C93FE1" w:rsidRPr="0089545C" w:rsidRDefault="00C93FE1" w:rsidP="00C93FE1">
            <w:pPr>
              <w:jc w:val="center"/>
              <w:rPr>
                <w:color w:val="000000"/>
                <w:sz w:val="18"/>
                <w:szCs w:val="18"/>
              </w:rPr>
            </w:pPr>
            <w:r w:rsidRPr="0089545C">
              <w:rPr>
                <w:color w:val="000000"/>
                <w:sz w:val="18"/>
                <w:szCs w:val="18"/>
              </w:rPr>
              <w:t>10,439,388</w:t>
            </w:r>
          </w:p>
        </w:tc>
        <w:tc>
          <w:tcPr>
            <w:tcW w:w="720" w:type="dxa"/>
            <w:shd w:val="clear" w:color="auto" w:fill="D9D9D9" w:themeFill="background1" w:themeFillShade="D9"/>
            <w:noWrap/>
            <w:vAlign w:val="center"/>
            <w:hideMark/>
          </w:tcPr>
          <w:p w14:paraId="474CBC9A" w14:textId="01B89513" w:rsidR="00C93FE1" w:rsidRPr="0089545C" w:rsidRDefault="00C93FE1" w:rsidP="00C93FE1">
            <w:pPr>
              <w:jc w:val="center"/>
              <w:rPr>
                <w:color w:val="000000"/>
                <w:sz w:val="18"/>
                <w:szCs w:val="18"/>
              </w:rPr>
            </w:pPr>
            <w:r w:rsidRPr="0089545C">
              <w:rPr>
                <w:color w:val="000000"/>
                <w:sz w:val="18"/>
                <w:szCs w:val="18"/>
              </w:rPr>
              <w:t>14</w:t>
            </w:r>
          </w:p>
        </w:tc>
        <w:tc>
          <w:tcPr>
            <w:tcW w:w="1080" w:type="dxa"/>
            <w:shd w:val="clear" w:color="auto" w:fill="D9D9D9" w:themeFill="background1" w:themeFillShade="D9"/>
            <w:noWrap/>
            <w:vAlign w:val="center"/>
            <w:hideMark/>
          </w:tcPr>
          <w:p w14:paraId="65EC4073" w14:textId="08ED3A20"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33717A2F" w14:textId="73E1D50E"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236920F6" w14:textId="4F3456B2" w:rsidR="00C93FE1" w:rsidRPr="0089545C" w:rsidRDefault="00C93FE1" w:rsidP="00C93FE1">
            <w:pPr>
              <w:jc w:val="center"/>
              <w:rPr>
                <w:color w:val="000000"/>
                <w:sz w:val="18"/>
                <w:szCs w:val="18"/>
              </w:rPr>
            </w:pPr>
            <w:r w:rsidRPr="0089545C">
              <w:rPr>
                <w:color w:val="000000"/>
                <w:sz w:val="18"/>
                <w:szCs w:val="18"/>
              </w:rPr>
              <w:t>Court</w:t>
            </w:r>
          </w:p>
        </w:tc>
        <w:tc>
          <w:tcPr>
            <w:tcW w:w="990" w:type="dxa"/>
            <w:shd w:val="clear" w:color="auto" w:fill="D9D9D9" w:themeFill="background1" w:themeFillShade="D9"/>
            <w:vAlign w:val="center"/>
          </w:tcPr>
          <w:p w14:paraId="13224693" w14:textId="064B966E"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24FA3AA3" w14:textId="43F64C5A" w:rsidR="00C93FE1" w:rsidRPr="0089545C" w:rsidRDefault="00C93FE1" w:rsidP="00C93FE1">
            <w:pPr>
              <w:jc w:val="center"/>
              <w:rPr>
                <w:color w:val="000000"/>
                <w:sz w:val="18"/>
                <w:szCs w:val="18"/>
              </w:rPr>
            </w:pPr>
            <w:r w:rsidRPr="0089545C">
              <w:rPr>
                <w:color w:val="000000"/>
                <w:sz w:val="18"/>
                <w:szCs w:val="18"/>
              </w:rPr>
              <w:t>x</w:t>
            </w:r>
          </w:p>
        </w:tc>
      </w:tr>
      <w:tr w:rsidR="00C93FE1" w:rsidRPr="00C93FE1" w14:paraId="632D0893" w14:textId="77777777" w:rsidTr="008B4EBD">
        <w:trPr>
          <w:jc w:val="center"/>
        </w:trPr>
        <w:tc>
          <w:tcPr>
            <w:tcW w:w="1345" w:type="dxa"/>
            <w:shd w:val="clear" w:color="auto" w:fill="auto"/>
            <w:noWrap/>
            <w:vAlign w:val="center"/>
            <w:hideMark/>
          </w:tcPr>
          <w:p w14:paraId="0A7BCAA0" w14:textId="40C97C67" w:rsidR="00C93FE1" w:rsidRPr="0089545C" w:rsidRDefault="00C93FE1" w:rsidP="0089545C">
            <w:pPr>
              <w:rPr>
                <w:i/>
                <w:color w:val="000000"/>
                <w:sz w:val="18"/>
                <w:szCs w:val="18"/>
              </w:rPr>
            </w:pPr>
            <w:r w:rsidRPr="0089545C">
              <w:rPr>
                <w:i/>
                <w:color w:val="000000"/>
                <w:sz w:val="18"/>
                <w:szCs w:val="18"/>
              </w:rPr>
              <w:t>North Dakota</w:t>
            </w:r>
          </w:p>
        </w:tc>
        <w:tc>
          <w:tcPr>
            <w:tcW w:w="1170" w:type="dxa"/>
            <w:shd w:val="clear" w:color="auto" w:fill="auto"/>
            <w:noWrap/>
            <w:vAlign w:val="center"/>
            <w:hideMark/>
          </w:tcPr>
          <w:p w14:paraId="4A19100D" w14:textId="48568924" w:rsidR="00C93FE1" w:rsidRPr="0089545C" w:rsidRDefault="00C93FE1" w:rsidP="00C93FE1">
            <w:pPr>
              <w:jc w:val="center"/>
              <w:rPr>
                <w:color w:val="000000"/>
                <w:sz w:val="18"/>
                <w:szCs w:val="18"/>
              </w:rPr>
            </w:pPr>
            <w:r w:rsidRPr="0089545C">
              <w:rPr>
                <w:color w:val="000000"/>
                <w:sz w:val="18"/>
                <w:szCs w:val="18"/>
              </w:rPr>
              <w:t>779,094</w:t>
            </w:r>
          </w:p>
        </w:tc>
        <w:tc>
          <w:tcPr>
            <w:tcW w:w="720" w:type="dxa"/>
            <w:shd w:val="clear" w:color="auto" w:fill="auto"/>
            <w:noWrap/>
            <w:vAlign w:val="center"/>
            <w:hideMark/>
          </w:tcPr>
          <w:p w14:paraId="3E8997D7" w14:textId="0E1DA8E6" w:rsidR="00C93FE1" w:rsidRPr="0089545C" w:rsidRDefault="00C93FE1" w:rsidP="00C93FE1">
            <w:pPr>
              <w:jc w:val="center"/>
              <w:rPr>
                <w:color w:val="000000"/>
                <w:sz w:val="18"/>
                <w:szCs w:val="18"/>
              </w:rPr>
            </w:pPr>
            <w:r w:rsidRPr="0089545C">
              <w:rPr>
                <w:color w:val="000000"/>
                <w:sz w:val="18"/>
                <w:szCs w:val="18"/>
              </w:rPr>
              <w:t>1</w:t>
            </w:r>
          </w:p>
        </w:tc>
        <w:tc>
          <w:tcPr>
            <w:tcW w:w="1080" w:type="dxa"/>
            <w:shd w:val="clear" w:color="auto" w:fill="auto"/>
            <w:noWrap/>
            <w:vAlign w:val="center"/>
            <w:hideMark/>
          </w:tcPr>
          <w:p w14:paraId="3F92FA22" w14:textId="4C81FB7C" w:rsidR="00C93FE1" w:rsidRPr="0089545C" w:rsidRDefault="00C93FE1" w:rsidP="00C93FE1">
            <w:pPr>
              <w:jc w:val="center"/>
              <w:rPr>
                <w:color w:val="000000"/>
                <w:sz w:val="18"/>
                <w:szCs w:val="18"/>
              </w:rPr>
            </w:pPr>
            <w:r w:rsidRPr="0089545C">
              <w:rPr>
                <w:color w:val="000000"/>
                <w:sz w:val="18"/>
                <w:szCs w:val="18"/>
              </w:rPr>
              <w:t>-</w:t>
            </w:r>
          </w:p>
        </w:tc>
        <w:tc>
          <w:tcPr>
            <w:tcW w:w="900" w:type="dxa"/>
            <w:shd w:val="clear" w:color="auto" w:fill="auto"/>
            <w:noWrap/>
            <w:vAlign w:val="center"/>
            <w:hideMark/>
          </w:tcPr>
          <w:p w14:paraId="0492BAD4" w14:textId="6E72F1D0" w:rsidR="00C93FE1" w:rsidRPr="0089545C" w:rsidRDefault="00C93FE1" w:rsidP="00C93FE1">
            <w:pPr>
              <w:jc w:val="center"/>
              <w:rPr>
                <w:color w:val="000000"/>
                <w:sz w:val="18"/>
                <w:szCs w:val="18"/>
              </w:rPr>
            </w:pPr>
            <w:r w:rsidRPr="0089545C">
              <w:rPr>
                <w:color w:val="000000"/>
                <w:sz w:val="18"/>
                <w:szCs w:val="18"/>
              </w:rPr>
              <w:t>-</w:t>
            </w:r>
          </w:p>
        </w:tc>
        <w:tc>
          <w:tcPr>
            <w:tcW w:w="900" w:type="dxa"/>
            <w:shd w:val="clear" w:color="auto" w:fill="auto"/>
            <w:vAlign w:val="center"/>
          </w:tcPr>
          <w:p w14:paraId="0C160DA4" w14:textId="6B53EDEB" w:rsidR="00C93FE1" w:rsidRPr="0089545C" w:rsidRDefault="00C93FE1" w:rsidP="00C93FE1">
            <w:pPr>
              <w:jc w:val="center"/>
              <w:rPr>
                <w:color w:val="000000"/>
                <w:sz w:val="18"/>
                <w:szCs w:val="18"/>
              </w:rPr>
            </w:pPr>
            <w:r w:rsidRPr="0089545C">
              <w:rPr>
                <w:color w:val="000000"/>
                <w:sz w:val="18"/>
                <w:szCs w:val="18"/>
              </w:rPr>
              <w:t>-</w:t>
            </w:r>
          </w:p>
        </w:tc>
        <w:tc>
          <w:tcPr>
            <w:tcW w:w="990" w:type="dxa"/>
            <w:vAlign w:val="center"/>
          </w:tcPr>
          <w:p w14:paraId="45161003" w14:textId="1CD6C03F" w:rsidR="00C93FE1" w:rsidRPr="0089545C" w:rsidRDefault="00C93FE1" w:rsidP="00C93FE1">
            <w:pPr>
              <w:jc w:val="center"/>
              <w:rPr>
                <w:color w:val="000000"/>
                <w:sz w:val="18"/>
                <w:szCs w:val="18"/>
              </w:rPr>
            </w:pPr>
          </w:p>
        </w:tc>
        <w:tc>
          <w:tcPr>
            <w:tcW w:w="910" w:type="dxa"/>
            <w:shd w:val="clear" w:color="auto" w:fill="auto"/>
            <w:noWrap/>
            <w:vAlign w:val="center"/>
            <w:hideMark/>
          </w:tcPr>
          <w:p w14:paraId="7A712F35" w14:textId="77777777" w:rsidR="00C93FE1" w:rsidRPr="0089545C" w:rsidRDefault="00C93FE1" w:rsidP="00C93FE1">
            <w:pPr>
              <w:jc w:val="center"/>
              <w:rPr>
                <w:color w:val="000000"/>
                <w:sz w:val="18"/>
                <w:szCs w:val="18"/>
              </w:rPr>
            </w:pPr>
          </w:p>
        </w:tc>
      </w:tr>
      <w:tr w:rsidR="00C133C9" w:rsidRPr="00C93FE1" w14:paraId="507B937E" w14:textId="77777777" w:rsidTr="008B4EBD">
        <w:trPr>
          <w:jc w:val="center"/>
        </w:trPr>
        <w:tc>
          <w:tcPr>
            <w:tcW w:w="1345" w:type="dxa"/>
            <w:shd w:val="clear" w:color="auto" w:fill="D9D9D9" w:themeFill="background1" w:themeFillShade="D9"/>
            <w:noWrap/>
            <w:vAlign w:val="center"/>
            <w:hideMark/>
          </w:tcPr>
          <w:p w14:paraId="51AEE736" w14:textId="2F9E94E4" w:rsidR="00C93FE1" w:rsidRPr="0089545C" w:rsidRDefault="00C93FE1" w:rsidP="0089545C">
            <w:pPr>
              <w:rPr>
                <w:i/>
                <w:color w:val="000000"/>
                <w:sz w:val="18"/>
                <w:szCs w:val="18"/>
              </w:rPr>
            </w:pPr>
            <w:r w:rsidRPr="0089545C">
              <w:rPr>
                <w:i/>
                <w:color w:val="000000"/>
                <w:sz w:val="18"/>
                <w:szCs w:val="18"/>
              </w:rPr>
              <w:t>Ohio</w:t>
            </w:r>
          </w:p>
        </w:tc>
        <w:tc>
          <w:tcPr>
            <w:tcW w:w="1170" w:type="dxa"/>
            <w:shd w:val="clear" w:color="auto" w:fill="D9D9D9" w:themeFill="background1" w:themeFillShade="D9"/>
            <w:noWrap/>
            <w:vAlign w:val="center"/>
            <w:hideMark/>
          </w:tcPr>
          <w:p w14:paraId="3DE8ED77" w14:textId="54912838" w:rsidR="00C93FE1" w:rsidRPr="0089545C" w:rsidRDefault="00C93FE1" w:rsidP="00C93FE1">
            <w:pPr>
              <w:jc w:val="center"/>
              <w:rPr>
                <w:color w:val="000000"/>
                <w:sz w:val="18"/>
                <w:szCs w:val="18"/>
              </w:rPr>
            </w:pPr>
            <w:r w:rsidRPr="0089545C">
              <w:rPr>
                <w:color w:val="000000"/>
                <w:sz w:val="18"/>
                <w:szCs w:val="18"/>
              </w:rPr>
              <w:t>11,799,448</w:t>
            </w:r>
          </w:p>
        </w:tc>
        <w:tc>
          <w:tcPr>
            <w:tcW w:w="720" w:type="dxa"/>
            <w:shd w:val="clear" w:color="auto" w:fill="D9D9D9" w:themeFill="background1" w:themeFillShade="D9"/>
            <w:noWrap/>
            <w:vAlign w:val="center"/>
            <w:hideMark/>
          </w:tcPr>
          <w:p w14:paraId="2BEAC8D2" w14:textId="04B02605" w:rsidR="00C93FE1" w:rsidRPr="0089545C" w:rsidRDefault="00C93FE1" w:rsidP="00C93FE1">
            <w:pPr>
              <w:jc w:val="center"/>
              <w:rPr>
                <w:color w:val="000000"/>
                <w:sz w:val="18"/>
                <w:szCs w:val="18"/>
              </w:rPr>
            </w:pPr>
            <w:r w:rsidRPr="0089545C">
              <w:rPr>
                <w:color w:val="000000"/>
                <w:sz w:val="18"/>
                <w:szCs w:val="18"/>
              </w:rPr>
              <w:t>15</w:t>
            </w:r>
          </w:p>
        </w:tc>
        <w:tc>
          <w:tcPr>
            <w:tcW w:w="1080" w:type="dxa"/>
            <w:shd w:val="clear" w:color="auto" w:fill="D9D9D9" w:themeFill="background1" w:themeFillShade="D9"/>
            <w:noWrap/>
            <w:vAlign w:val="center"/>
            <w:hideMark/>
          </w:tcPr>
          <w:p w14:paraId="6926EAEA" w14:textId="052BCC1C"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150F0FEB" w14:textId="08C22BF3"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7DE255FA" w14:textId="15D2862B"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6F094D15" w14:textId="519F790C"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D9D9D9" w:themeFill="background1" w:themeFillShade="D9"/>
            <w:noWrap/>
            <w:vAlign w:val="center"/>
            <w:hideMark/>
          </w:tcPr>
          <w:p w14:paraId="52DF02CF" w14:textId="77777777" w:rsidR="00C93FE1" w:rsidRPr="0089545C" w:rsidRDefault="00C93FE1" w:rsidP="00C93FE1">
            <w:pPr>
              <w:jc w:val="center"/>
              <w:rPr>
                <w:color w:val="000000"/>
                <w:sz w:val="18"/>
                <w:szCs w:val="18"/>
              </w:rPr>
            </w:pPr>
          </w:p>
        </w:tc>
      </w:tr>
      <w:tr w:rsidR="00C133C9" w:rsidRPr="00C93FE1" w14:paraId="14BAE362" w14:textId="77777777" w:rsidTr="008B4EBD">
        <w:trPr>
          <w:jc w:val="center"/>
        </w:trPr>
        <w:tc>
          <w:tcPr>
            <w:tcW w:w="1345" w:type="dxa"/>
            <w:shd w:val="clear" w:color="auto" w:fill="D9D9D9" w:themeFill="background1" w:themeFillShade="D9"/>
            <w:noWrap/>
            <w:vAlign w:val="center"/>
            <w:hideMark/>
          </w:tcPr>
          <w:p w14:paraId="2FD62FE0" w14:textId="35F1C110" w:rsidR="00C93FE1" w:rsidRPr="0089545C" w:rsidRDefault="00C93FE1" w:rsidP="0089545C">
            <w:pPr>
              <w:rPr>
                <w:i/>
                <w:color w:val="000000"/>
                <w:sz w:val="18"/>
                <w:szCs w:val="18"/>
              </w:rPr>
            </w:pPr>
            <w:r w:rsidRPr="0089545C">
              <w:rPr>
                <w:i/>
                <w:color w:val="000000"/>
                <w:sz w:val="18"/>
                <w:szCs w:val="18"/>
              </w:rPr>
              <w:t>Oklahoma</w:t>
            </w:r>
          </w:p>
        </w:tc>
        <w:tc>
          <w:tcPr>
            <w:tcW w:w="1170" w:type="dxa"/>
            <w:shd w:val="clear" w:color="auto" w:fill="D9D9D9" w:themeFill="background1" w:themeFillShade="D9"/>
            <w:noWrap/>
            <w:vAlign w:val="center"/>
            <w:hideMark/>
          </w:tcPr>
          <w:p w14:paraId="46F77BD1" w14:textId="05C7E1D4" w:rsidR="00C93FE1" w:rsidRPr="0089545C" w:rsidRDefault="00C93FE1" w:rsidP="00C93FE1">
            <w:pPr>
              <w:jc w:val="center"/>
              <w:rPr>
                <w:color w:val="000000"/>
                <w:sz w:val="18"/>
                <w:szCs w:val="18"/>
              </w:rPr>
            </w:pPr>
            <w:r w:rsidRPr="0089545C">
              <w:rPr>
                <w:color w:val="000000"/>
                <w:sz w:val="18"/>
                <w:szCs w:val="18"/>
              </w:rPr>
              <w:t>3,959,353</w:t>
            </w:r>
          </w:p>
        </w:tc>
        <w:tc>
          <w:tcPr>
            <w:tcW w:w="720" w:type="dxa"/>
            <w:shd w:val="clear" w:color="auto" w:fill="D9D9D9" w:themeFill="background1" w:themeFillShade="D9"/>
            <w:noWrap/>
            <w:vAlign w:val="center"/>
            <w:hideMark/>
          </w:tcPr>
          <w:p w14:paraId="1F55D9CB" w14:textId="10E714A2" w:rsidR="00C93FE1" w:rsidRPr="0089545C" w:rsidRDefault="00C93FE1" w:rsidP="00C93FE1">
            <w:pPr>
              <w:jc w:val="center"/>
              <w:rPr>
                <w:color w:val="000000"/>
                <w:sz w:val="18"/>
                <w:szCs w:val="18"/>
              </w:rPr>
            </w:pPr>
            <w:r w:rsidRPr="0089545C">
              <w:rPr>
                <w:color w:val="000000"/>
                <w:sz w:val="18"/>
                <w:szCs w:val="18"/>
              </w:rPr>
              <w:t>5</w:t>
            </w:r>
          </w:p>
        </w:tc>
        <w:tc>
          <w:tcPr>
            <w:tcW w:w="1080" w:type="dxa"/>
            <w:shd w:val="clear" w:color="auto" w:fill="D9D9D9" w:themeFill="background1" w:themeFillShade="D9"/>
            <w:noWrap/>
            <w:vAlign w:val="center"/>
            <w:hideMark/>
          </w:tcPr>
          <w:p w14:paraId="3B91048F" w14:textId="4312C8F1"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4568A430" w14:textId="00414DA4"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5A6F8ECA" w14:textId="5D619DD3"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04C5D4EC" w14:textId="7599F2E5"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348606AD" w14:textId="0FAFD38B" w:rsidR="00C93FE1" w:rsidRPr="0089545C" w:rsidRDefault="00C93FE1" w:rsidP="00C93FE1">
            <w:pPr>
              <w:jc w:val="center"/>
              <w:rPr>
                <w:color w:val="000000"/>
                <w:sz w:val="18"/>
                <w:szCs w:val="18"/>
              </w:rPr>
            </w:pPr>
            <w:r w:rsidRPr="0089545C">
              <w:rPr>
                <w:color w:val="000000"/>
                <w:sz w:val="18"/>
                <w:szCs w:val="18"/>
              </w:rPr>
              <w:t>x</w:t>
            </w:r>
          </w:p>
        </w:tc>
      </w:tr>
      <w:tr w:rsidR="00C133C9" w:rsidRPr="00C93FE1" w14:paraId="2AEACCCC" w14:textId="77777777" w:rsidTr="008B4EBD">
        <w:trPr>
          <w:jc w:val="center"/>
        </w:trPr>
        <w:tc>
          <w:tcPr>
            <w:tcW w:w="1345" w:type="dxa"/>
            <w:shd w:val="clear" w:color="auto" w:fill="D9D9D9" w:themeFill="background1" w:themeFillShade="D9"/>
            <w:noWrap/>
            <w:vAlign w:val="center"/>
            <w:hideMark/>
          </w:tcPr>
          <w:p w14:paraId="60B1D37B" w14:textId="7FC77AE6" w:rsidR="00C93FE1" w:rsidRPr="0089545C" w:rsidRDefault="00C93FE1" w:rsidP="0089545C">
            <w:pPr>
              <w:rPr>
                <w:i/>
                <w:color w:val="000000"/>
                <w:sz w:val="18"/>
                <w:szCs w:val="18"/>
              </w:rPr>
            </w:pPr>
            <w:r w:rsidRPr="0089545C">
              <w:rPr>
                <w:i/>
                <w:color w:val="000000"/>
                <w:sz w:val="18"/>
                <w:szCs w:val="18"/>
              </w:rPr>
              <w:t>Oregon</w:t>
            </w:r>
          </w:p>
        </w:tc>
        <w:tc>
          <w:tcPr>
            <w:tcW w:w="1170" w:type="dxa"/>
            <w:shd w:val="clear" w:color="auto" w:fill="D9D9D9" w:themeFill="background1" w:themeFillShade="D9"/>
            <w:noWrap/>
            <w:vAlign w:val="center"/>
            <w:hideMark/>
          </w:tcPr>
          <w:p w14:paraId="210B0E52" w14:textId="24197C5E" w:rsidR="00C93FE1" w:rsidRPr="0089545C" w:rsidRDefault="00C93FE1" w:rsidP="00C93FE1">
            <w:pPr>
              <w:jc w:val="center"/>
              <w:rPr>
                <w:color w:val="000000"/>
                <w:sz w:val="18"/>
                <w:szCs w:val="18"/>
              </w:rPr>
            </w:pPr>
            <w:r w:rsidRPr="0089545C">
              <w:rPr>
                <w:color w:val="000000"/>
                <w:sz w:val="18"/>
                <w:szCs w:val="18"/>
              </w:rPr>
              <w:t>4,237,256</w:t>
            </w:r>
          </w:p>
        </w:tc>
        <w:tc>
          <w:tcPr>
            <w:tcW w:w="720" w:type="dxa"/>
            <w:shd w:val="clear" w:color="auto" w:fill="D9D9D9" w:themeFill="background1" w:themeFillShade="D9"/>
            <w:noWrap/>
            <w:vAlign w:val="center"/>
            <w:hideMark/>
          </w:tcPr>
          <w:p w14:paraId="40312433" w14:textId="1AA8C846" w:rsidR="00C93FE1" w:rsidRPr="0089545C" w:rsidRDefault="00C93FE1" w:rsidP="00C93FE1">
            <w:pPr>
              <w:jc w:val="center"/>
              <w:rPr>
                <w:color w:val="000000"/>
                <w:sz w:val="18"/>
                <w:szCs w:val="18"/>
              </w:rPr>
            </w:pPr>
            <w:r w:rsidRPr="0089545C">
              <w:rPr>
                <w:color w:val="000000"/>
                <w:sz w:val="18"/>
                <w:szCs w:val="18"/>
              </w:rPr>
              <w:t>6</w:t>
            </w:r>
          </w:p>
        </w:tc>
        <w:tc>
          <w:tcPr>
            <w:tcW w:w="1080" w:type="dxa"/>
            <w:shd w:val="clear" w:color="auto" w:fill="D9D9D9" w:themeFill="background1" w:themeFillShade="D9"/>
            <w:noWrap/>
            <w:vAlign w:val="center"/>
            <w:hideMark/>
          </w:tcPr>
          <w:p w14:paraId="38468C26" w14:textId="27396A53"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057B5C8F" w14:textId="786C4E01" w:rsidR="00C93FE1" w:rsidRPr="0089545C" w:rsidRDefault="00C93FE1" w:rsidP="00C93FE1">
            <w:pPr>
              <w:jc w:val="center"/>
              <w:rPr>
                <w:color w:val="000000"/>
                <w:sz w:val="18"/>
                <w:szCs w:val="18"/>
              </w:rPr>
            </w:pPr>
            <w:r w:rsidRPr="0089545C">
              <w:rPr>
                <w:color w:val="000000"/>
                <w:sz w:val="18"/>
                <w:szCs w:val="18"/>
              </w:rPr>
              <w:t>DEM</w:t>
            </w:r>
          </w:p>
        </w:tc>
        <w:tc>
          <w:tcPr>
            <w:tcW w:w="900" w:type="dxa"/>
            <w:shd w:val="clear" w:color="auto" w:fill="D9D9D9" w:themeFill="background1" w:themeFillShade="D9"/>
            <w:vAlign w:val="center"/>
          </w:tcPr>
          <w:p w14:paraId="689A89C0" w14:textId="163E0316"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0BA3869C" w14:textId="4B25D179"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D9D9D9" w:themeFill="background1" w:themeFillShade="D9"/>
            <w:noWrap/>
            <w:vAlign w:val="center"/>
            <w:hideMark/>
          </w:tcPr>
          <w:p w14:paraId="1B6FCBD1" w14:textId="6A816235" w:rsidR="00C93FE1" w:rsidRPr="0089545C" w:rsidRDefault="00C93FE1" w:rsidP="00C93FE1">
            <w:pPr>
              <w:jc w:val="center"/>
              <w:rPr>
                <w:color w:val="000000"/>
                <w:sz w:val="18"/>
                <w:szCs w:val="18"/>
              </w:rPr>
            </w:pPr>
            <w:r w:rsidRPr="0089545C">
              <w:rPr>
                <w:color w:val="000000"/>
                <w:sz w:val="18"/>
                <w:szCs w:val="18"/>
              </w:rPr>
              <w:t>x</w:t>
            </w:r>
          </w:p>
        </w:tc>
      </w:tr>
      <w:tr w:rsidR="00C93FE1" w:rsidRPr="00C93FE1" w14:paraId="6ACC789E" w14:textId="77777777" w:rsidTr="008B4EBD">
        <w:trPr>
          <w:jc w:val="center"/>
        </w:trPr>
        <w:tc>
          <w:tcPr>
            <w:tcW w:w="1345" w:type="dxa"/>
            <w:shd w:val="clear" w:color="auto" w:fill="auto"/>
            <w:noWrap/>
            <w:vAlign w:val="center"/>
            <w:hideMark/>
          </w:tcPr>
          <w:p w14:paraId="0CBF669C" w14:textId="50A95697" w:rsidR="00C93FE1" w:rsidRPr="0089545C" w:rsidRDefault="00C93FE1" w:rsidP="0089545C">
            <w:pPr>
              <w:rPr>
                <w:i/>
                <w:color w:val="000000"/>
                <w:sz w:val="18"/>
                <w:szCs w:val="18"/>
              </w:rPr>
            </w:pPr>
            <w:r w:rsidRPr="0089545C">
              <w:rPr>
                <w:i/>
                <w:color w:val="000000"/>
                <w:sz w:val="18"/>
                <w:szCs w:val="18"/>
              </w:rPr>
              <w:t>Pennsylvania</w:t>
            </w:r>
          </w:p>
        </w:tc>
        <w:tc>
          <w:tcPr>
            <w:tcW w:w="1170" w:type="dxa"/>
            <w:shd w:val="clear" w:color="auto" w:fill="auto"/>
            <w:noWrap/>
            <w:vAlign w:val="center"/>
            <w:hideMark/>
          </w:tcPr>
          <w:p w14:paraId="25D02080" w14:textId="3DADAC68" w:rsidR="00C93FE1" w:rsidRPr="0089545C" w:rsidRDefault="00C93FE1" w:rsidP="00C93FE1">
            <w:pPr>
              <w:jc w:val="center"/>
              <w:rPr>
                <w:color w:val="000000"/>
                <w:sz w:val="18"/>
                <w:szCs w:val="18"/>
              </w:rPr>
            </w:pPr>
            <w:r w:rsidRPr="0089545C">
              <w:rPr>
                <w:color w:val="000000"/>
                <w:sz w:val="18"/>
                <w:szCs w:val="18"/>
              </w:rPr>
              <w:t>13,002,700</w:t>
            </w:r>
          </w:p>
        </w:tc>
        <w:tc>
          <w:tcPr>
            <w:tcW w:w="720" w:type="dxa"/>
            <w:shd w:val="clear" w:color="auto" w:fill="auto"/>
            <w:noWrap/>
            <w:vAlign w:val="center"/>
            <w:hideMark/>
          </w:tcPr>
          <w:p w14:paraId="3C7BA052" w14:textId="23EC7FB9" w:rsidR="00C93FE1" w:rsidRPr="0089545C" w:rsidRDefault="00C93FE1" w:rsidP="00C93FE1">
            <w:pPr>
              <w:jc w:val="center"/>
              <w:rPr>
                <w:color w:val="000000"/>
                <w:sz w:val="18"/>
                <w:szCs w:val="18"/>
              </w:rPr>
            </w:pPr>
            <w:r w:rsidRPr="0089545C">
              <w:rPr>
                <w:color w:val="000000"/>
                <w:sz w:val="18"/>
                <w:szCs w:val="18"/>
              </w:rPr>
              <w:t>17</w:t>
            </w:r>
          </w:p>
        </w:tc>
        <w:tc>
          <w:tcPr>
            <w:tcW w:w="1080" w:type="dxa"/>
            <w:shd w:val="clear" w:color="auto" w:fill="auto"/>
            <w:noWrap/>
            <w:vAlign w:val="center"/>
            <w:hideMark/>
          </w:tcPr>
          <w:p w14:paraId="6DC2511D" w14:textId="0C13F2ED"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auto"/>
            <w:noWrap/>
            <w:vAlign w:val="center"/>
            <w:hideMark/>
          </w:tcPr>
          <w:p w14:paraId="52AEB1E1" w14:textId="6726B5F1" w:rsidR="00C93FE1" w:rsidRPr="0089545C" w:rsidRDefault="00C93FE1" w:rsidP="00C93FE1">
            <w:pPr>
              <w:jc w:val="center"/>
              <w:rPr>
                <w:color w:val="000000"/>
                <w:sz w:val="18"/>
                <w:szCs w:val="18"/>
              </w:rPr>
            </w:pPr>
            <w:r w:rsidRPr="0089545C">
              <w:rPr>
                <w:color w:val="000000"/>
                <w:sz w:val="18"/>
                <w:szCs w:val="18"/>
              </w:rPr>
              <w:t>SPLIT</w:t>
            </w:r>
          </w:p>
        </w:tc>
        <w:tc>
          <w:tcPr>
            <w:tcW w:w="900" w:type="dxa"/>
            <w:shd w:val="clear" w:color="auto" w:fill="auto"/>
            <w:vAlign w:val="center"/>
          </w:tcPr>
          <w:p w14:paraId="12EAF7C2" w14:textId="61A7EB8B" w:rsidR="00C93FE1" w:rsidRPr="0089545C" w:rsidRDefault="00C93FE1" w:rsidP="00C93FE1">
            <w:pPr>
              <w:jc w:val="center"/>
              <w:rPr>
                <w:color w:val="000000"/>
                <w:sz w:val="18"/>
                <w:szCs w:val="18"/>
              </w:rPr>
            </w:pPr>
            <w:r w:rsidRPr="0089545C">
              <w:rPr>
                <w:color w:val="000000"/>
                <w:sz w:val="18"/>
                <w:szCs w:val="18"/>
              </w:rPr>
              <w:t>Court</w:t>
            </w:r>
          </w:p>
        </w:tc>
        <w:tc>
          <w:tcPr>
            <w:tcW w:w="990" w:type="dxa"/>
            <w:vAlign w:val="center"/>
          </w:tcPr>
          <w:p w14:paraId="5B2F79FC" w14:textId="2E083C5F" w:rsidR="00C93FE1" w:rsidRPr="0089545C" w:rsidRDefault="00C93FE1" w:rsidP="00C93FE1">
            <w:pPr>
              <w:jc w:val="center"/>
              <w:rPr>
                <w:color w:val="000000"/>
                <w:sz w:val="18"/>
                <w:szCs w:val="18"/>
              </w:rPr>
            </w:pPr>
          </w:p>
        </w:tc>
        <w:tc>
          <w:tcPr>
            <w:tcW w:w="910" w:type="dxa"/>
            <w:shd w:val="clear" w:color="auto" w:fill="auto"/>
            <w:noWrap/>
            <w:vAlign w:val="center"/>
            <w:hideMark/>
          </w:tcPr>
          <w:p w14:paraId="47678E57" w14:textId="6CBC524B" w:rsidR="00C93FE1" w:rsidRPr="0089545C" w:rsidRDefault="00C93FE1" w:rsidP="00C93FE1">
            <w:pPr>
              <w:jc w:val="center"/>
              <w:rPr>
                <w:color w:val="000000"/>
                <w:sz w:val="18"/>
                <w:szCs w:val="18"/>
              </w:rPr>
            </w:pPr>
            <w:r w:rsidRPr="0089545C">
              <w:rPr>
                <w:color w:val="000000"/>
                <w:sz w:val="18"/>
                <w:szCs w:val="18"/>
              </w:rPr>
              <w:t>x</w:t>
            </w:r>
          </w:p>
        </w:tc>
      </w:tr>
      <w:tr w:rsidR="00C133C9" w:rsidRPr="00C93FE1" w14:paraId="32B60C67" w14:textId="77777777" w:rsidTr="008B4EBD">
        <w:trPr>
          <w:jc w:val="center"/>
        </w:trPr>
        <w:tc>
          <w:tcPr>
            <w:tcW w:w="1345" w:type="dxa"/>
            <w:shd w:val="clear" w:color="auto" w:fill="D9D9D9" w:themeFill="background1" w:themeFillShade="D9"/>
            <w:noWrap/>
            <w:vAlign w:val="center"/>
            <w:hideMark/>
          </w:tcPr>
          <w:p w14:paraId="413C3D82" w14:textId="227A774A" w:rsidR="00C93FE1" w:rsidRPr="0089545C" w:rsidRDefault="00C93FE1" w:rsidP="0089545C">
            <w:pPr>
              <w:rPr>
                <w:i/>
                <w:color w:val="000000"/>
                <w:sz w:val="18"/>
                <w:szCs w:val="18"/>
              </w:rPr>
            </w:pPr>
            <w:r w:rsidRPr="0089545C">
              <w:rPr>
                <w:i/>
                <w:color w:val="000000"/>
                <w:sz w:val="18"/>
                <w:szCs w:val="18"/>
              </w:rPr>
              <w:t>Rhode Island</w:t>
            </w:r>
          </w:p>
        </w:tc>
        <w:tc>
          <w:tcPr>
            <w:tcW w:w="1170" w:type="dxa"/>
            <w:shd w:val="clear" w:color="auto" w:fill="D9D9D9" w:themeFill="background1" w:themeFillShade="D9"/>
            <w:noWrap/>
            <w:vAlign w:val="center"/>
            <w:hideMark/>
          </w:tcPr>
          <w:p w14:paraId="3F1084A9" w14:textId="3FDD0AAC" w:rsidR="00C93FE1" w:rsidRPr="0089545C" w:rsidRDefault="00C93FE1" w:rsidP="00C93FE1">
            <w:pPr>
              <w:jc w:val="center"/>
              <w:rPr>
                <w:color w:val="000000"/>
                <w:sz w:val="18"/>
                <w:szCs w:val="18"/>
              </w:rPr>
            </w:pPr>
            <w:r w:rsidRPr="0089545C">
              <w:rPr>
                <w:color w:val="000000"/>
                <w:sz w:val="18"/>
                <w:szCs w:val="18"/>
              </w:rPr>
              <w:t>1,097,379</w:t>
            </w:r>
          </w:p>
        </w:tc>
        <w:tc>
          <w:tcPr>
            <w:tcW w:w="720" w:type="dxa"/>
            <w:shd w:val="clear" w:color="auto" w:fill="D9D9D9" w:themeFill="background1" w:themeFillShade="D9"/>
            <w:noWrap/>
            <w:vAlign w:val="center"/>
            <w:hideMark/>
          </w:tcPr>
          <w:p w14:paraId="77BE1877" w14:textId="7DB3A8A0" w:rsidR="00C93FE1" w:rsidRPr="0089545C" w:rsidRDefault="00C93FE1" w:rsidP="00C93FE1">
            <w:pPr>
              <w:jc w:val="center"/>
              <w:rPr>
                <w:color w:val="000000"/>
                <w:sz w:val="18"/>
                <w:szCs w:val="18"/>
              </w:rPr>
            </w:pPr>
            <w:r w:rsidRPr="0089545C">
              <w:rPr>
                <w:color w:val="000000"/>
                <w:sz w:val="18"/>
                <w:szCs w:val="18"/>
              </w:rPr>
              <w:t>2</w:t>
            </w:r>
          </w:p>
        </w:tc>
        <w:tc>
          <w:tcPr>
            <w:tcW w:w="1080" w:type="dxa"/>
            <w:shd w:val="clear" w:color="auto" w:fill="D9D9D9" w:themeFill="background1" w:themeFillShade="D9"/>
            <w:noWrap/>
            <w:vAlign w:val="center"/>
            <w:hideMark/>
          </w:tcPr>
          <w:p w14:paraId="52BD7B99" w14:textId="1F905B4D"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4A3B8BDA" w14:textId="4CFF23C2" w:rsidR="00C93FE1" w:rsidRPr="0089545C" w:rsidRDefault="00C93FE1" w:rsidP="00C93FE1">
            <w:pPr>
              <w:jc w:val="center"/>
              <w:rPr>
                <w:color w:val="000000"/>
                <w:sz w:val="18"/>
                <w:szCs w:val="18"/>
              </w:rPr>
            </w:pPr>
            <w:r w:rsidRPr="0089545C">
              <w:rPr>
                <w:color w:val="000000"/>
                <w:sz w:val="18"/>
                <w:szCs w:val="18"/>
              </w:rPr>
              <w:t>DEM</w:t>
            </w:r>
          </w:p>
        </w:tc>
        <w:tc>
          <w:tcPr>
            <w:tcW w:w="900" w:type="dxa"/>
            <w:shd w:val="clear" w:color="auto" w:fill="D9D9D9" w:themeFill="background1" w:themeFillShade="D9"/>
            <w:vAlign w:val="center"/>
          </w:tcPr>
          <w:p w14:paraId="6970F9EB" w14:textId="22066868"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2E309067" w14:textId="0D00C1AF"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182085B4" w14:textId="77777777" w:rsidR="00C93FE1" w:rsidRPr="0089545C" w:rsidRDefault="00C93FE1" w:rsidP="00C93FE1">
            <w:pPr>
              <w:jc w:val="center"/>
              <w:rPr>
                <w:color w:val="000000"/>
                <w:sz w:val="18"/>
                <w:szCs w:val="18"/>
              </w:rPr>
            </w:pPr>
          </w:p>
        </w:tc>
      </w:tr>
      <w:tr w:rsidR="00C133C9" w:rsidRPr="00C93FE1" w14:paraId="69520E4D" w14:textId="77777777" w:rsidTr="008B4EBD">
        <w:trPr>
          <w:jc w:val="center"/>
        </w:trPr>
        <w:tc>
          <w:tcPr>
            <w:tcW w:w="1345" w:type="dxa"/>
            <w:shd w:val="clear" w:color="auto" w:fill="D9D9D9" w:themeFill="background1" w:themeFillShade="D9"/>
            <w:noWrap/>
            <w:vAlign w:val="center"/>
            <w:hideMark/>
          </w:tcPr>
          <w:p w14:paraId="0D06A63C" w14:textId="1F9E25C3" w:rsidR="00C93FE1" w:rsidRPr="0089545C" w:rsidRDefault="00C93FE1" w:rsidP="0089545C">
            <w:pPr>
              <w:rPr>
                <w:i/>
                <w:color w:val="000000"/>
                <w:sz w:val="18"/>
                <w:szCs w:val="18"/>
              </w:rPr>
            </w:pPr>
            <w:r w:rsidRPr="0089545C">
              <w:rPr>
                <w:i/>
                <w:color w:val="000000"/>
                <w:sz w:val="18"/>
                <w:szCs w:val="18"/>
              </w:rPr>
              <w:t>South Carolina</w:t>
            </w:r>
          </w:p>
        </w:tc>
        <w:tc>
          <w:tcPr>
            <w:tcW w:w="1170" w:type="dxa"/>
            <w:shd w:val="clear" w:color="auto" w:fill="D9D9D9" w:themeFill="background1" w:themeFillShade="D9"/>
            <w:noWrap/>
            <w:vAlign w:val="center"/>
            <w:hideMark/>
          </w:tcPr>
          <w:p w14:paraId="532404F7" w14:textId="6524D813" w:rsidR="00C93FE1" w:rsidRPr="0089545C" w:rsidRDefault="00C93FE1" w:rsidP="00C93FE1">
            <w:pPr>
              <w:jc w:val="center"/>
              <w:rPr>
                <w:color w:val="000000"/>
                <w:sz w:val="18"/>
                <w:szCs w:val="18"/>
              </w:rPr>
            </w:pPr>
            <w:r w:rsidRPr="0089545C">
              <w:rPr>
                <w:color w:val="000000"/>
                <w:sz w:val="18"/>
                <w:szCs w:val="18"/>
              </w:rPr>
              <w:t>5,118,425</w:t>
            </w:r>
          </w:p>
        </w:tc>
        <w:tc>
          <w:tcPr>
            <w:tcW w:w="720" w:type="dxa"/>
            <w:shd w:val="clear" w:color="auto" w:fill="D9D9D9" w:themeFill="background1" w:themeFillShade="D9"/>
            <w:noWrap/>
            <w:vAlign w:val="center"/>
            <w:hideMark/>
          </w:tcPr>
          <w:p w14:paraId="27DF6846" w14:textId="0C0471CD" w:rsidR="00C93FE1" w:rsidRPr="0089545C" w:rsidRDefault="00C93FE1" w:rsidP="00C93FE1">
            <w:pPr>
              <w:jc w:val="center"/>
              <w:rPr>
                <w:color w:val="000000"/>
                <w:sz w:val="18"/>
                <w:szCs w:val="18"/>
              </w:rPr>
            </w:pPr>
            <w:r w:rsidRPr="0089545C">
              <w:rPr>
                <w:color w:val="000000"/>
                <w:sz w:val="18"/>
                <w:szCs w:val="18"/>
              </w:rPr>
              <w:t>7</w:t>
            </w:r>
          </w:p>
        </w:tc>
        <w:tc>
          <w:tcPr>
            <w:tcW w:w="1080" w:type="dxa"/>
            <w:shd w:val="clear" w:color="auto" w:fill="D9D9D9" w:themeFill="background1" w:themeFillShade="D9"/>
            <w:noWrap/>
            <w:vAlign w:val="center"/>
            <w:hideMark/>
          </w:tcPr>
          <w:p w14:paraId="40B01887" w14:textId="6FB7AB7C"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3EA9B761" w14:textId="087B6B85"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0FECD0E5" w14:textId="6CD41AC2"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0B168DB4" w14:textId="711320C0"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7B46E1D1" w14:textId="2FD94C4D" w:rsidR="00C93FE1" w:rsidRPr="0089545C" w:rsidRDefault="00C93FE1" w:rsidP="00C93FE1">
            <w:pPr>
              <w:jc w:val="center"/>
              <w:rPr>
                <w:color w:val="000000"/>
                <w:sz w:val="18"/>
                <w:szCs w:val="18"/>
              </w:rPr>
            </w:pPr>
            <w:r w:rsidRPr="0089545C">
              <w:rPr>
                <w:color w:val="000000"/>
                <w:sz w:val="18"/>
                <w:szCs w:val="18"/>
              </w:rPr>
              <w:t>x</w:t>
            </w:r>
          </w:p>
        </w:tc>
      </w:tr>
      <w:tr w:rsidR="00C93FE1" w:rsidRPr="00C93FE1" w14:paraId="21E76682" w14:textId="77777777" w:rsidTr="008B4EBD">
        <w:trPr>
          <w:jc w:val="center"/>
        </w:trPr>
        <w:tc>
          <w:tcPr>
            <w:tcW w:w="1345" w:type="dxa"/>
            <w:shd w:val="clear" w:color="auto" w:fill="auto"/>
            <w:noWrap/>
            <w:vAlign w:val="center"/>
            <w:hideMark/>
          </w:tcPr>
          <w:p w14:paraId="0BFB9816" w14:textId="403CB0BB" w:rsidR="00C93FE1" w:rsidRPr="0089545C" w:rsidRDefault="00C93FE1" w:rsidP="0089545C">
            <w:pPr>
              <w:rPr>
                <w:i/>
                <w:color w:val="000000"/>
                <w:sz w:val="18"/>
                <w:szCs w:val="18"/>
              </w:rPr>
            </w:pPr>
            <w:r w:rsidRPr="0089545C">
              <w:rPr>
                <w:i/>
                <w:color w:val="000000"/>
                <w:sz w:val="18"/>
                <w:szCs w:val="18"/>
              </w:rPr>
              <w:t>South Dakota</w:t>
            </w:r>
          </w:p>
        </w:tc>
        <w:tc>
          <w:tcPr>
            <w:tcW w:w="1170" w:type="dxa"/>
            <w:shd w:val="clear" w:color="auto" w:fill="auto"/>
            <w:noWrap/>
            <w:vAlign w:val="center"/>
            <w:hideMark/>
          </w:tcPr>
          <w:p w14:paraId="4E063DFC" w14:textId="19433EA1" w:rsidR="00C93FE1" w:rsidRPr="0089545C" w:rsidRDefault="00C93FE1" w:rsidP="00C93FE1">
            <w:pPr>
              <w:jc w:val="center"/>
              <w:rPr>
                <w:color w:val="000000"/>
                <w:sz w:val="18"/>
                <w:szCs w:val="18"/>
              </w:rPr>
            </w:pPr>
            <w:r w:rsidRPr="0089545C">
              <w:rPr>
                <w:color w:val="000000"/>
                <w:sz w:val="18"/>
                <w:szCs w:val="18"/>
              </w:rPr>
              <w:t>886,667</w:t>
            </w:r>
          </w:p>
        </w:tc>
        <w:tc>
          <w:tcPr>
            <w:tcW w:w="720" w:type="dxa"/>
            <w:shd w:val="clear" w:color="auto" w:fill="auto"/>
            <w:noWrap/>
            <w:vAlign w:val="center"/>
            <w:hideMark/>
          </w:tcPr>
          <w:p w14:paraId="6084DD03" w14:textId="2BCC6686" w:rsidR="00C93FE1" w:rsidRPr="0089545C" w:rsidRDefault="00C93FE1" w:rsidP="00C93FE1">
            <w:pPr>
              <w:jc w:val="center"/>
              <w:rPr>
                <w:color w:val="000000"/>
                <w:sz w:val="18"/>
                <w:szCs w:val="18"/>
              </w:rPr>
            </w:pPr>
            <w:r w:rsidRPr="0089545C">
              <w:rPr>
                <w:color w:val="000000"/>
                <w:sz w:val="18"/>
                <w:szCs w:val="18"/>
              </w:rPr>
              <w:t>1</w:t>
            </w:r>
          </w:p>
        </w:tc>
        <w:tc>
          <w:tcPr>
            <w:tcW w:w="1080" w:type="dxa"/>
            <w:shd w:val="clear" w:color="auto" w:fill="auto"/>
            <w:noWrap/>
            <w:vAlign w:val="center"/>
            <w:hideMark/>
          </w:tcPr>
          <w:p w14:paraId="641FAE94" w14:textId="3CDC5B82" w:rsidR="00C93FE1" w:rsidRPr="0089545C" w:rsidRDefault="00C93FE1" w:rsidP="00C93FE1">
            <w:pPr>
              <w:jc w:val="center"/>
              <w:rPr>
                <w:color w:val="000000"/>
                <w:sz w:val="18"/>
                <w:szCs w:val="18"/>
              </w:rPr>
            </w:pPr>
            <w:r w:rsidRPr="0089545C">
              <w:rPr>
                <w:color w:val="000000"/>
                <w:sz w:val="18"/>
                <w:szCs w:val="18"/>
              </w:rPr>
              <w:t>-</w:t>
            </w:r>
          </w:p>
        </w:tc>
        <w:tc>
          <w:tcPr>
            <w:tcW w:w="900" w:type="dxa"/>
            <w:shd w:val="clear" w:color="auto" w:fill="auto"/>
            <w:noWrap/>
            <w:vAlign w:val="center"/>
            <w:hideMark/>
          </w:tcPr>
          <w:p w14:paraId="2E795296" w14:textId="1EEC79DE" w:rsidR="00C93FE1" w:rsidRPr="0089545C" w:rsidRDefault="00C93FE1" w:rsidP="00C93FE1">
            <w:pPr>
              <w:jc w:val="center"/>
              <w:rPr>
                <w:color w:val="000000"/>
                <w:sz w:val="18"/>
                <w:szCs w:val="18"/>
              </w:rPr>
            </w:pPr>
            <w:r w:rsidRPr="0089545C">
              <w:rPr>
                <w:color w:val="000000"/>
                <w:sz w:val="18"/>
                <w:szCs w:val="18"/>
              </w:rPr>
              <w:t>-</w:t>
            </w:r>
          </w:p>
        </w:tc>
        <w:tc>
          <w:tcPr>
            <w:tcW w:w="900" w:type="dxa"/>
            <w:shd w:val="clear" w:color="auto" w:fill="auto"/>
            <w:vAlign w:val="center"/>
          </w:tcPr>
          <w:p w14:paraId="7F6210C4" w14:textId="754F0B5C" w:rsidR="00C93FE1" w:rsidRPr="0089545C" w:rsidRDefault="00C93FE1" w:rsidP="00C93FE1">
            <w:pPr>
              <w:jc w:val="center"/>
              <w:rPr>
                <w:color w:val="000000"/>
                <w:sz w:val="18"/>
                <w:szCs w:val="18"/>
              </w:rPr>
            </w:pPr>
            <w:r w:rsidRPr="0089545C">
              <w:rPr>
                <w:color w:val="000000"/>
                <w:sz w:val="18"/>
                <w:szCs w:val="18"/>
              </w:rPr>
              <w:t>-</w:t>
            </w:r>
          </w:p>
        </w:tc>
        <w:tc>
          <w:tcPr>
            <w:tcW w:w="990" w:type="dxa"/>
            <w:vAlign w:val="center"/>
          </w:tcPr>
          <w:p w14:paraId="702A2BF5" w14:textId="05DC5F36" w:rsidR="00C93FE1" w:rsidRPr="0089545C" w:rsidRDefault="00C93FE1" w:rsidP="00C93FE1">
            <w:pPr>
              <w:jc w:val="center"/>
              <w:rPr>
                <w:color w:val="000000"/>
                <w:sz w:val="18"/>
                <w:szCs w:val="18"/>
              </w:rPr>
            </w:pPr>
          </w:p>
        </w:tc>
        <w:tc>
          <w:tcPr>
            <w:tcW w:w="910" w:type="dxa"/>
            <w:shd w:val="clear" w:color="auto" w:fill="auto"/>
            <w:noWrap/>
            <w:vAlign w:val="center"/>
            <w:hideMark/>
          </w:tcPr>
          <w:p w14:paraId="1CE5407B" w14:textId="6CCAAABB" w:rsidR="00C93FE1" w:rsidRPr="0089545C" w:rsidRDefault="00C93FE1" w:rsidP="00C93FE1">
            <w:pPr>
              <w:jc w:val="center"/>
              <w:rPr>
                <w:color w:val="000000"/>
                <w:sz w:val="18"/>
                <w:szCs w:val="18"/>
              </w:rPr>
            </w:pPr>
            <w:r w:rsidRPr="0089545C">
              <w:rPr>
                <w:color w:val="000000"/>
                <w:sz w:val="18"/>
                <w:szCs w:val="18"/>
              </w:rPr>
              <w:t>x</w:t>
            </w:r>
          </w:p>
        </w:tc>
      </w:tr>
      <w:tr w:rsidR="00C133C9" w:rsidRPr="00C93FE1" w14:paraId="35B0EE45" w14:textId="77777777" w:rsidTr="008B4EBD">
        <w:trPr>
          <w:jc w:val="center"/>
        </w:trPr>
        <w:tc>
          <w:tcPr>
            <w:tcW w:w="1345" w:type="dxa"/>
            <w:shd w:val="clear" w:color="auto" w:fill="D9D9D9" w:themeFill="background1" w:themeFillShade="D9"/>
            <w:noWrap/>
            <w:vAlign w:val="center"/>
            <w:hideMark/>
          </w:tcPr>
          <w:p w14:paraId="45544911" w14:textId="712570F5" w:rsidR="00C93FE1" w:rsidRPr="0089545C" w:rsidRDefault="00C93FE1" w:rsidP="0089545C">
            <w:pPr>
              <w:rPr>
                <w:i/>
                <w:color w:val="000000"/>
                <w:sz w:val="18"/>
                <w:szCs w:val="18"/>
              </w:rPr>
            </w:pPr>
            <w:r w:rsidRPr="0089545C">
              <w:rPr>
                <w:i/>
                <w:color w:val="000000"/>
                <w:sz w:val="18"/>
                <w:szCs w:val="18"/>
              </w:rPr>
              <w:t>Tennessee</w:t>
            </w:r>
          </w:p>
        </w:tc>
        <w:tc>
          <w:tcPr>
            <w:tcW w:w="1170" w:type="dxa"/>
            <w:shd w:val="clear" w:color="auto" w:fill="D9D9D9" w:themeFill="background1" w:themeFillShade="D9"/>
            <w:noWrap/>
            <w:vAlign w:val="center"/>
            <w:hideMark/>
          </w:tcPr>
          <w:p w14:paraId="4D83E1B9" w14:textId="670A11EF" w:rsidR="00C93FE1" w:rsidRPr="0089545C" w:rsidRDefault="00C93FE1" w:rsidP="00C93FE1">
            <w:pPr>
              <w:jc w:val="center"/>
              <w:rPr>
                <w:color w:val="000000"/>
                <w:sz w:val="18"/>
                <w:szCs w:val="18"/>
              </w:rPr>
            </w:pPr>
            <w:r w:rsidRPr="0089545C">
              <w:rPr>
                <w:color w:val="000000"/>
                <w:sz w:val="18"/>
                <w:szCs w:val="18"/>
              </w:rPr>
              <w:t>6,910,840</w:t>
            </w:r>
          </w:p>
        </w:tc>
        <w:tc>
          <w:tcPr>
            <w:tcW w:w="720" w:type="dxa"/>
            <w:shd w:val="clear" w:color="auto" w:fill="D9D9D9" w:themeFill="background1" w:themeFillShade="D9"/>
            <w:noWrap/>
            <w:vAlign w:val="center"/>
            <w:hideMark/>
          </w:tcPr>
          <w:p w14:paraId="57775A29" w14:textId="3B58F15A" w:rsidR="00C93FE1" w:rsidRPr="0089545C" w:rsidRDefault="00C93FE1" w:rsidP="00C93FE1">
            <w:pPr>
              <w:jc w:val="center"/>
              <w:rPr>
                <w:color w:val="000000"/>
                <w:sz w:val="18"/>
                <w:szCs w:val="18"/>
              </w:rPr>
            </w:pPr>
            <w:r w:rsidRPr="0089545C">
              <w:rPr>
                <w:color w:val="000000"/>
                <w:sz w:val="18"/>
                <w:szCs w:val="18"/>
              </w:rPr>
              <w:t>9</w:t>
            </w:r>
          </w:p>
        </w:tc>
        <w:tc>
          <w:tcPr>
            <w:tcW w:w="1080" w:type="dxa"/>
            <w:shd w:val="clear" w:color="auto" w:fill="D9D9D9" w:themeFill="background1" w:themeFillShade="D9"/>
            <w:noWrap/>
            <w:vAlign w:val="center"/>
            <w:hideMark/>
          </w:tcPr>
          <w:p w14:paraId="18CABC93" w14:textId="6B3952F8"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34B11989" w14:textId="1C330F4A"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092D7736" w14:textId="04CD429A"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30430F4F" w14:textId="723D5F06"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17AF287C" w14:textId="1C745426" w:rsidR="00C93FE1" w:rsidRPr="0089545C" w:rsidRDefault="00C93FE1" w:rsidP="00C93FE1">
            <w:pPr>
              <w:jc w:val="center"/>
              <w:rPr>
                <w:color w:val="000000"/>
                <w:sz w:val="18"/>
                <w:szCs w:val="18"/>
              </w:rPr>
            </w:pPr>
            <w:r w:rsidRPr="0089545C">
              <w:rPr>
                <w:color w:val="000000"/>
                <w:sz w:val="18"/>
                <w:szCs w:val="18"/>
              </w:rPr>
              <w:t>x</w:t>
            </w:r>
          </w:p>
        </w:tc>
      </w:tr>
      <w:tr w:rsidR="00C133C9" w:rsidRPr="00C93FE1" w14:paraId="09EEA2C7" w14:textId="77777777" w:rsidTr="008B4EBD">
        <w:trPr>
          <w:jc w:val="center"/>
        </w:trPr>
        <w:tc>
          <w:tcPr>
            <w:tcW w:w="1345" w:type="dxa"/>
            <w:shd w:val="clear" w:color="auto" w:fill="D9D9D9" w:themeFill="background1" w:themeFillShade="D9"/>
            <w:noWrap/>
            <w:vAlign w:val="center"/>
            <w:hideMark/>
          </w:tcPr>
          <w:p w14:paraId="5FB1A302" w14:textId="155CCFF2" w:rsidR="00C93FE1" w:rsidRPr="0089545C" w:rsidRDefault="00C93FE1" w:rsidP="0089545C">
            <w:pPr>
              <w:rPr>
                <w:i/>
                <w:color w:val="000000"/>
                <w:sz w:val="18"/>
                <w:szCs w:val="18"/>
              </w:rPr>
            </w:pPr>
            <w:r w:rsidRPr="0089545C">
              <w:rPr>
                <w:i/>
                <w:color w:val="000000"/>
                <w:sz w:val="18"/>
                <w:szCs w:val="18"/>
              </w:rPr>
              <w:t>Texas</w:t>
            </w:r>
          </w:p>
        </w:tc>
        <w:tc>
          <w:tcPr>
            <w:tcW w:w="1170" w:type="dxa"/>
            <w:shd w:val="clear" w:color="auto" w:fill="D9D9D9" w:themeFill="background1" w:themeFillShade="D9"/>
            <w:noWrap/>
            <w:vAlign w:val="center"/>
            <w:hideMark/>
          </w:tcPr>
          <w:p w14:paraId="3CC76AAE" w14:textId="7E7476A6" w:rsidR="00C93FE1" w:rsidRPr="0089545C" w:rsidRDefault="00C93FE1" w:rsidP="00C93FE1">
            <w:pPr>
              <w:jc w:val="center"/>
              <w:rPr>
                <w:color w:val="000000"/>
                <w:sz w:val="18"/>
                <w:szCs w:val="18"/>
              </w:rPr>
            </w:pPr>
            <w:r w:rsidRPr="0089545C">
              <w:rPr>
                <w:color w:val="000000"/>
                <w:sz w:val="18"/>
                <w:szCs w:val="18"/>
              </w:rPr>
              <w:t>29,145,505</w:t>
            </w:r>
          </w:p>
        </w:tc>
        <w:tc>
          <w:tcPr>
            <w:tcW w:w="720" w:type="dxa"/>
            <w:shd w:val="clear" w:color="auto" w:fill="D9D9D9" w:themeFill="background1" w:themeFillShade="D9"/>
            <w:noWrap/>
            <w:vAlign w:val="center"/>
            <w:hideMark/>
          </w:tcPr>
          <w:p w14:paraId="49545EB7" w14:textId="654F975E" w:rsidR="00C93FE1" w:rsidRPr="0089545C" w:rsidRDefault="00C93FE1" w:rsidP="00C93FE1">
            <w:pPr>
              <w:jc w:val="center"/>
              <w:rPr>
                <w:color w:val="000000"/>
                <w:sz w:val="18"/>
                <w:szCs w:val="18"/>
              </w:rPr>
            </w:pPr>
            <w:r w:rsidRPr="0089545C">
              <w:rPr>
                <w:color w:val="000000"/>
                <w:sz w:val="18"/>
                <w:szCs w:val="18"/>
              </w:rPr>
              <w:t>38</w:t>
            </w:r>
          </w:p>
        </w:tc>
        <w:tc>
          <w:tcPr>
            <w:tcW w:w="1080" w:type="dxa"/>
            <w:shd w:val="clear" w:color="auto" w:fill="D9D9D9" w:themeFill="background1" w:themeFillShade="D9"/>
            <w:noWrap/>
            <w:vAlign w:val="center"/>
            <w:hideMark/>
          </w:tcPr>
          <w:p w14:paraId="44C27396" w14:textId="6F284722"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72D92AEA" w14:textId="1AF3C00F"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105042A7" w14:textId="07B1687F"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7219CD04" w14:textId="3773632A" w:rsidR="00C93FE1" w:rsidRPr="0089545C"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62DB162D" w14:textId="77777777" w:rsidR="00C93FE1" w:rsidRPr="0089545C" w:rsidRDefault="00C93FE1" w:rsidP="00C93FE1">
            <w:pPr>
              <w:jc w:val="center"/>
              <w:rPr>
                <w:color w:val="000000"/>
                <w:sz w:val="18"/>
                <w:szCs w:val="18"/>
              </w:rPr>
            </w:pPr>
          </w:p>
        </w:tc>
      </w:tr>
      <w:tr w:rsidR="00C133C9" w:rsidRPr="00C93FE1" w14:paraId="07B0FA64" w14:textId="77777777" w:rsidTr="008B4EBD">
        <w:trPr>
          <w:jc w:val="center"/>
        </w:trPr>
        <w:tc>
          <w:tcPr>
            <w:tcW w:w="1345" w:type="dxa"/>
            <w:shd w:val="clear" w:color="auto" w:fill="D9D9D9" w:themeFill="background1" w:themeFillShade="D9"/>
            <w:noWrap/>
            <w:vAlign w:val="center"/>
            <w:hideMark/>
          </w:tcPr>
          <w:p w14:paraId="22E76B62" w14:textId="0463B194" w:rsidR="00C93FE1" w:rsidRPr="0089545C" w:rsidRDefault="00C93FE1" w:rsidP="0089545C">
            <w:pPr>
              <w:rPr>
                <w:i/>
                <w:color w:val="000000"/>
                <w:sz w:val="18"/>
                <w:szCs w:val="18"/>
              </w:rPr>
            </w:pPr>
            <w:r w:rsidRPr="0089545C">
              <w:rPr>
                <w:i/>
                <w:color w:val="000000"/>
                <w:sz w:val="18"/>
                <w:szCs w:val="18"/>
              </w:rPr>
              <w:t>Utah</w:t>
            </w:r>
          </w:p>
        </w:tc>
        <w:tc>
          <w:tcPr>
            <w:tcW w:w="1170" w:type="dxa"/>
            <w:shd w:val="clear" w:color="auto" w:fill="D9D9D9" w:themeFill="background1" w:themeFillShade="D9"/>
            <w:noWrap/>
            <w:vAlign w:val="center"/>
            <w:hideMark/>
          </w:tcPr>
          <w:p w14:paraId="230F6632" w14:textId="3EF29402" w:rsidR="00C93FE1" w:rsidRPr="0089545C" w:rsidRDefault="00C93FE1" w:rsidP="00C93FE1">
            <w:pPr>
              <w:jc w:val="center"/>
              <w:rPr>
                <w:color w:val="000000"/>
                <w:sz w:val="18"/>
                <w:szCs w:val="18"/>
              </w:rPr>
            </w:pPr>
            <w:r w:rsidRPr="0089545C">
              <w:rPr>
                <w:color w:val="000000"/>
                <w:sz w:val="18"/>
                <w:szCs w:val="18"/>
              </w:rPr>
              <w:t>3,271,616</w:t>
            </w:r>
          </w:p>
        </w:tc>
        <w:tc>
          <w:tcPr>
            <w:tcW w:w="720" w:type="dxa"/>
            <w:shd w:val="clear" w:color="auto" w:fill="D9D9D9" w:themeFill="background1" w:themeFillShade="D9"/>
            <w:noWrap/>
            <w:vAlign w:val="center"/>
            <w:hideMark/>
          </w:tcPr>
          <w:p w14:paraId="20D04C9B" w14:textId="4F5C2FF9" w:rsidR="00C93FE1" w:rsidRPr="0089545C" w:rsidRDefault="00C93FE1" w:rsidP="00C93FE1">
            <w:pPr>
              <w:jc w:val="center"/>
              <w:rPr>
                <w:color w:val="000000"/>
                <w:sz w:val="18"/>
                <w:szCs w:val="18"/>
              </w:rPr>
            </w:pPr>
            <w:r w:rsidRPr="0089545C">
              <w:rPr>
                <w:color w:val="000000"/>
                <w:sz w:val="18"/>
                <w:szCs w:val="18"/>
              </w:rPr>
              <w:t>4</w:t>
            </w:r>
          </w:p>
        </w:tc>
        <w:tc>
          <w:tcPr>
            <w:tcW w:w="1080" w:type="dxa"/>
            <w:shd w:val="clear" w:color="auto" w:fill="D9D9D9" w:themeFill="background1" w:themeFillShade="D9"/>
            <w:noWrap/>
            <w:vAlign w:val="center"/>
            <w:hideMark/>
          </w:tcPr>
          <w:p w14:paraId="721791E0" w14:textId="5D2E6374" w:rsidR="00C93FE1" w:rsidRPr="0089545C" w:rsidRDefault="00C93FE1" w:rsidP="00C93FE1">
            <w:pPr>
              <w:jc w:val="center"/>
              <w:rPr>
                <w:color w:val="000000"/>
                <w:sz w:val="18"/>
                <w:szCs w:val="18"/>
              </w:rPr>
            </w:pPr>
            <w:r w:rsidRPr="0089545C">
              <w:rPr>
                <w:color w:val="000000"/>
                <w:sz w:val="18"/>
                <w:szCs w:val="18"/>
              </w:rPr>
              <w:t>L</w:t>
            </w:r>
          </w:p>
        </w:tc>
        <w:tc>
          <w:tcPr>
            <w:tcW w:w="900" w:type="dxa"/>
            <w:shd w:val="clear" w:color="auto" w:fill="D9D9D9" w:themeFill="background1" w:themeFillShade="D9"/>
            <w:noWrap/>
            <w:vAlign w:val="center"/>
            <w:hideMark/>
          </w:tcPr>
          <w:p w14:paraId="0D4427BA" w14:textId="391645F9" w:rsidR="00C93FE1" w:rsidRPr="0089545C" w:rsidRDefault="00C93FE1" w:rsidP="00C93FE1">
            <w:pPr>
              <w:jc w:val="center"/>
              <w:rPr>
                <w:color w:val="000000"/>
                <w:sz w:val="18"/>
                <w:szCs w:val="18"/>
              </w:rPr>
            </w:pPr>
            <w:r w:rsidRPr="0089545C">
              <w:rPr>
                <w:color w:val="000000"/>
                <w:sz w:val="18"/>
                <w:szCs w:val="18"/>
              </w:rPr>
              <w:t>GOP</w:t>
            </w:r>
          </w:p>
        </w:tc>
        <w:tc>
          <w:tcPr>
            <w:tcW w:w="900" w:type="dxa"/>
            <w:shd w:val="clear" w:color="auto" w:fill="D9D9D9" w:themeFill="background1" w:themeFillShade="D9"/>
            <w:vAlign w:val="center"/>
          </w:tcPr>
          <w:p w14:paraId="0AB4CD09" w14:textId="2EBB101C" w:rsidR="00C93FE1" w:rsidRPr="0089545C" w:rsidRDefault="00C93FE1" w:rsidP="00C93FE1">
            <w:pPr>
              <w:jc w:val="center"/>
              <w:rPr>
                <w:color w:val="000000"/>
                <w:sz w:val="18"/>
                <w:szCs w:val="18"/>
              </w:rPr>
            </w:pPr>
            <w:r w:rsidRPr="0089545C">
              <w:rPr>
                <w:color w:val="000000"/>
                <w:sz w:val="18"/>
                <w:szCs w:val="18"/>
              </w:rPr>
              <w:t>L</w:t>
            </w:r>
          </w:p>
        </w:tc>
        <w:tc>
          <w:tcPr>
            <w:tcW w:w="990" w:type="dxa"/>
            <w:shd w:val="clear" w:color="auto" w:fill="D9D9D9" w:themeFill="background1" w:themeFillShade="D9"/>
            <w:vAlign w:val="center"/>
          </w:tcPr>
          <w:p w14:paraId="552A8A2A" w14:textId="2F49A3B8" w:rsidR="00C93FE1" w:rsidRPr="0089545C" w:rsidRDefault="00C93FE1" w:rsidP="00C93FE1">
            <w:pPr>
              <w:jc w:val="center"/>
              <w:rPr>
                <w:color w:val="000000"/>
                <w:sz w:val="18"/>
                <w:szCs w:val="18"/>
              </w:rPr>
            </w:pPr>
            <w:r w:rsidRPr="0089545C">
              <w:rPr>
                <w:color w:val="000000"/>
                <w:sz w:val="18"/>
                <w:szCs w:val="18"/>
              </w:rPr>
              <w:t>x</w:t>
            </w:r>
          </w:p>
        </w:tc>
        <w:tc>
          <w:tcPr>
            <w:tcW w:w="910" w:type="dxa"/>
            <w:shd w:val="clear" w:color="auto" w:fill="D9D9D9" w:themeFill="background1" w:themeFillShade="D9"/>
            <w:noWrap/>
            <w:vAlign w:val="center"/>
            <w:hideMark/>
          </w:tcPr>
          <w:p w14:paraId="5C035A6D" w14:textId="10126FC6" w:rsidR="00C93FE1" w:rsidRPr="0089545C" w:rsidRDefault="00C93FE1" w:rsidP="00C93FE1">
            <w:pPr>
              <w:jc w:val="center"/>
              <w:rPr>
                <w:color w:val="000000"/>
                <w:sz w:val="18"/>
                <w:szCs w:val="18"/>
              </w:rPr>
            </w:pPr>
            <w:r w:rsidRPr="0089545C">
              <w:rPr>
                <w:color w:val="000000"/>
                <w:sz w:val="18"/>
                <w:szCs w:val="18"/>
              </w:rPr>
              <w:t>x</w:t>
            </w:r>
          </w:p>
        </w:tc>
      </w:tr>
      <w:tr w:rsidR="00C93FE1" w:rsidRPr="00C93FE1" w14:paraId="4E0FE2AD" w14:textId="77777777" w:rsidTr="008B4EBD">
        <w:trPr>
          <w:jc w:val="center"/>
        </w:trPr>
        <w:tc>
          <w:tcPr>
            <w:tcW w:w="1345" w:type="dxa"/>
            <w:shd w:val="clear" w:color="auto" w:fill="auto"/>
            <w:noWrap/>
            <w:vAlign w:val="center"/>
            <w:hideMark/>
          </w:tcPr>
          <w:p w14:paraId="2B828C4C" w14:textId="4DE1DEA5" w:rsidR="00C93FE1" w:rsidRPr="0089545C" w:rsidRDefault="00C93FE1" w:rsidP="0089545C">
            <w:pPr>
              <w:rPr>
                <w:i/>
                <w:color w:val="000000"/>
                <w:sz w:val="18"/>
                <w:szCs w:val="18"/>
              </w:rPr>
            </w:pPr>
            <w:r w:rsidRPr="0089545C">
              <w:rPr>
                <w:i/>
                <w:color w:val="000000"/>
                <w:sz w:val="18"/>
                <w:szCs w:val="18"/>
              </w:rPr>
              <w:t>Vermont</w:t>
            </w:r>
          </w:p>
        </w:tc>
        <w:tc>
          <w:tcPr>
            <w:tcW w:w="1170" w:type="dxa"/>
            <w:shd w:val="clear" w:color="auto" w:fill="auto"/>
            <w:noWrap/>
            <w:vAlign w:val="center"/>
            <w:hideMark/>
          </w:tcPr>
          <w:p w14:paraId="4A4CFB67" w14:textId="149002F4" w:rsidR="00C93FE1" w:rsidRPr="0089545C" w:rsidRDefault="00C93FE1" w:rsidP="00C93FE1">
            <w:pPr>
              <w:jc w:val="center"/>
              <w:rPr>
                <w:color w:val="000000"/>
                <w:sz w:val="18"/>
                <w:szCs w:val="18"/>
              </w:rPr>
            </w:pPr>
            <w:r w:rsidRPr="0089545C">
              <w:rPr>
                <w:color w:val="000000"/>
                <w:sz w:val="18"/>
                <w:szCs w:val="18"/>
              </w:rPr>
              <w:t>643,077</w:t>
            </w:r>
          </w:p>
        </w:tc>
        <w:tc>
          <w:tcPr>
            <w:tcW w:w="720" w:type="dxa"/>
            <w:shd w:val="clear" w:color="auto" w:fill="auto"/>
            <w:noWrap/>
            <w:vAlign w:val="center"/>
            <w:hideMark/>
          </w:tcPr>
          <w:p w14:paraId="06557650" w14:textId="409A9692" w:rsidR="00C93FE1" w:rsidRPr="0089545C" w:rsidRDefault="00C93FE1" w:rsidP="00C93FE1">
            <w:pPr>
              <w:jc w:val="center"/>
              <w:rPr>
                <w:color w:val="000000"/>
                <w:sz w:val="18"/>
                <w:szCs w:val="18"/>
              </w:rPr>
            </w:pPr>
            <w:r w:rsidRPr="0089545C">
              <w:rPr>
                <w:color w:val="000000"/>
                <w:sz w:val="18"/>
                <w:szCs w:val="18"/>
              </w:rPr>
              <w:t>1</w:t>
            </w:r>
          </w:p>
        </w:tc>
        <w:tc>
          <w:tcPr>
            <w:tcW w:w="1080" w:type="dxa"/>
            <w:shd w:val="clear" w:color="auto" w:fill="auto"/>
            <w:noWrap/>
            <w:vAlign w:val="center"/>
            <w:hideMark/>
          </w:tcPr>
          <w:p w14:paraId="17A89103" w14:textId="627A61ED" w:rsidR="00C93FE1" w:rsidRPr="0089545C" w:rsidRDefault="00C93FE1" w:rsidP="00C93FE1">
            <w:pPr>
              <w:jc w:val="center"/>
              <w:rPr>
                <w:color w:val="000000"/>
                <w:sz w:val="18"/>
                <w:szCs w:val="18"/>
              </w:rPr>
            </w:pPr>
            <w:r w:rsidRPr="0089545C">
              <w:rPr>
                <w:color w:val="000000"/>
                <w:sz w:val="18"/>
                <w:szCs w:val="18"/>
              </w:rPr>
              <w:t>-</w:t>
            </w:r>
          </w:p>
        </w:tc>
        <w:tc>
          <w:tcPr>
            <w:tcW w:w="900" w:type="dxa"/>
            <w:shd w:val="clear" w:color="auto" w:fill="auto"/>
            <w:noWrap/>
            <w:vAlign w:val="center"/>
            <w:hideMark/>
          </w:tcPr>
          <w:p w14:paraId="38CFF18A" w14:textId="36AADF2F" w:rsidR="00C93FE1" w:rsidRPr="0089545C" w:rsidRDefault="00C93FE1" w:rsidP="00C93FE1">
            <w:pPr>
              <w:jc w:val="center"/>
              <w:rPr>
                <w:color w:val="000000"/>
                <w:sz w:val="18"/>
                <w:szCs w:val="18"/>
              </w:rPr>
            </w:pPr>
            <w:r w:rsidRPr="0089545C">
              <w:rPr>
                <w:color w:val="000000"/>
                <w:sz w:val="18"/>
                <w:szCs w:val="18"/>
              </w:rPr>
              <w:t>-</w:t>
            </w:r>
          </w:p>
        </w:tc>
        <w:tc>
          <w:tcPr>
            <w:tcW w:w="900" w:type="dxa"/>
            <w:shd w:val="clear" w:color="auto" w:fill="auto"/>
            <w:vAlign w:val="center"/>
          </w:tcPr>
          <w:p w14:paraId="1C71FF9F" w14:textId="590DCDAE" w:rsidR="00C93FE1" w:rsidRPr="0089545C" w:rsidRDefault="00C93FE1" w:rsidP="00C93FE1">
            <w:pPr>
              <w:jc w:val="center"/>
              <w:rPr>
                <w:color w:val="000000"/>
                <w:sz w:val="18"/>
                <w:szCs w:val="18"/>
              </w:rPr>
            </w:pPr>
            <w:r w:rsidRPr="0089545C">
              <w:rPr>
                <w:color w:val="000000"/>
                <w:sz w:val="18"/>
                <w:szCs w:val="18"/>
              </w:rPr>
              <w:t>-</w:t>
            </w:r>
          </w:p>
        </w:tc>
        <w:tc>
          <w:tcPr>
            <w:tcW w:w="990" w:type="dxa"/>
            <w:vAlign w:val="center"/>
          </w:tcPr>
          <w:p w14:paraId="5C682AFC" w14:textId="60B01101" w:rsidR="00C93FE1" w:rsidRPr="0089545C" w:rsidRDefault="00C93FE1" w:rsidP="00C93FE1">
            <w:pPr>
              <w:jc w:val="center"/>
              <w:rPr>
                <w:color w:val="000000"/>
                <w:sz w:val="18"/>
                <w:szCs w:val="18"/>
              </w:rPr>
            </w:pPr>
          </w:p>
        </w:tc>
        <w:tc>
          <w:tcPr>
            <w:tcW w:w="910" w:type="dxa"/>
            <w:shd w:val="clear" w:color="auto" w:fill="auto"/>
            <w:noWrap/>
            <w:vAlign w:val="center"/>
            <w:hideMark/>
          </w:tcPr>
          <w:p w14:paraId="2345F68A" w14:textId="12CE8C1B" w:rsidR="00C93FE1" w:rsidRPr="0089545C" w:rsidRDefault="00C93FE1" w:rsidP="00C93FE1">
            <w:pPr>
              <w:jc w:val="center"/>
              <w:rPr>
                <w:color w:val="000000"/>
                <w:sz w:val="18"/>
                <w:szCs w:val="18"/>
              </w:rPr>
            </w:pPr>
            <w:r w:rsidRPr="0089545C">
              <w:rPr>
                <w:color w:val="000000"/>
                <w:sz w:val="18"/>
                <w:szCs w:val="18"/>
              </w:rPr>
              <w:t>x</w:t>
            </w:r>
          </w:p>
        </w:tc>
      </w:tr>
      <w:tr w:rsidR="00C93FE1" w:rsidRPr="00C93FE1" w14:paraId="66BD0994" w14:textId="77777777" w:rsidTr="008B4EBD">
        <w:trPr>
          <w:jc w:val="center"/>
        </w:trPr>
        <w:tc>
          <w:tcPr>
            <w:tcW w:w="1345" w:type="dxa"/>
            <w:shd w:val="clear" w:color="auto" w:fill="auto"/>
            <w:noWrap/>
            <w:vAlign w:val="center"/>
            <w:hideMark/>
          </w:tcPr>
          <w:p w14:paraId="5277D8D2" w14:textId="21E9B2E0" w:rsidR="00C93FE1" w:rsidRPr="0089545C" w:rsidRDefault="00C93FE1" w:rsidP="0089545C">
            <w:pPr>
              <w:rPr>
                <w:i/>
                <w:color w:val="000000"/>
                <w:sz w:val="18"/>
                <w:szCs w:val="18"/>
              </w:rPr>
            </w:pPr>
            <w:r w:rsidRPr="0089545C">
              <w:rPr>
                <w:i/>
                <w:color w:val="000000"/>
                <w:sz w:val="18"/>
                <w:szCs w:val="18"/>
              </w:rPr>
              <w:t>Virginia</w:t>
            </w:r>
          </w:p>
        </w:tc>
        <w:tc>
          <w:tcPr>
            <w:tcW w:w="1170" w:type="dxa"/>
            <w:shd w:val="clear" w:color="auto" w:fill="auto"/>
            <w:noWrap/>
            <w:vAlign w:val="center"/>
            <w:hideMark/>
          </w:tcPr>
          <w:p w14:paraId="5AC5BF30" w14:textId="52313964" w:rsidR="00C93FE1" w:rsidRPr="0089545C" w:rsidRDefault="00C93FE1" w:rsidP="00C93FE1">
            <w:pPr>
              <w:jc w:val="center"/>
              <w:rPr>
                <w:color w:val="000000"/>
                <w:sz w:val="18"/>
                <w:szCs w:val="18"/>
              </w:rPr>
            </w:pPr>
            <w:r w:rsidRPr="0089545C">
              <w:rPr>
                <w:color w:val="000000"/>
                <w:sz w:val="18"/>
                <w:szCs w:val="18"/>
              </w:rPr>
              <w:t>8,631,393</w:t>
            </w:r>
          </w:p>
        </w:tc>
        <w:tc>
          <w:tcPr>
            <w:tcW w:w="720" w:type="dxa"/>
            <w:shd w:val="clear" w:color="auto" w:fill="auto"/>
            <w:noWrap/>
            <w:vAlign w:val="center"/>
            <w:hideMark/>
          </w:tcPr>
          <w:p w14:paraId="6F44788A" w14:textId="7BAEEDCD" w:rsidR="00C93FE1" w:rsidRPr="0089545C" w:rsidRDefault="00C93FE1" w:rsidP="00C93FE1">
            <w:pPr>
              <w:jc w:val="center"/>
              <w:rPr>
                <w:color w:val="000000"/>
                <w:sz w:val="18"/>
                <w:szCs w:val="18"/>
              </w:rPr>
            </w:pPr>
            <w:r w:rsidRPr="0089545C">
              <w:rPr>
                <w:color w:val="000000"/>
                <w:sz w:val="18"/>
                <w:szCs w:val="18"/>
              </w:rPr>
              <w:t>11</w:t>
            </w:r>
          </w:p>
        </w:tc>
        <w:tc>
          <w:tcPr>
            <w:tcW w:w="1080" w:type="dxa"/>
            <w:shd w:val="clear" w:color="auto" w:fill="auto"/>
            <w:noWrap/>
            <w:vAlign w:val="center"/>
            <w:hideMark/>
          </w:tcPr>
          <w:p w14:paraId="30D139C0" w14:textId="0911A966" w:rsidR="00C93FE1" w:rsidRPr="0089545C" w:rsidRDefault="00C93FE1" w:rsidP="00C93FE1">
            <w:pPr>
              <w:jc w:val="center"/>
              <w:rPr>
                <w:color w:val="000000"/>
                <w:sz w:val="18"/>
                <w:szCs w:val="18"/>
              </w:rPr>
            </w:pPr>
            <w:r w:rsidRPr="0089545C">
              <w:rPr>
                <w:color w:val="000000"/>
                <w:sz w:val="18"/>
                <w:szCs w:val="18"/>
              </w:rPr>
              <w:t>C(P)</w:t>
            </w:r>
          </w:p>
        </w:tc>
        <w:tc>
          <w:tcPr>
            <w:tcW w:w="900" w:type="dxa"/>
            <w:shd w:val="clear" w:color="auto" w:fill="auto"/>
            <w:noWrap/>
            <w:vAlign w:val="center"/>
            <w:hideMark/>
          </w:tcPr>
          <w:p w14:paraId="65A138B7" w14:textId="5A3428A4" w:rsidR="00C93FE1" w:rsidRPr="0089545C" w:rsidRDefault="00C93FE1" w:rsidP="00C93FE1">
            <w:pPr>
              <w:jc w:val="center"/>
              <w:rPr>
                <w:color w:val="000000"/>
                <w:sz w:val="18"/>
                <w:szCs w:val="18"/>
              </w:rPr>
            </w:pPr>
            <w:r w:rsidRPr="0089545C">
              <w:rPr>
                <w:color w:val="000000"/>
                <w:sz w:val="18"/>
                <w:szCs w:val="18"/>
              </w:rPr>
              <w:t>DEM</w:t>
            </w:r>
          </w:p>
        </w:tc>
        <w:tc>
          <w:tcPr>
            <w:tcW w:w="900" w:type="dxa"/>
            <w:shd w:val="clear" w:color="auto" w:fill="auto"/>
            <w:vAlign w:val="center"/>
          </w:tcPr>
          <w:p w14:paraId="7509A6A2" w14:textId="33A23CF5" w:rsidR="00C93FE1" w:rsidRPr="0089545C" w:rsidRDefault="00C93FE1" w:rsidP="00C93FE1">
            <w:pPr>
              <w:jc w:val="center"/>
              <w:rPr>
                <w:color w:val="000000"/>
                <w:sz w:val="18"/>
                <w:szCs w:val="18"/>
              </w:rPr>
            </w:pPr>
            <w:r w:rsidRPr="0089545C">
              <w:rPr>
                <w:color w:val="000000"/>
                <w:sz w:val="18"/>
                <w:szCs w:val="18"/>
              </w:rPr>
              <w:t>Court</w:t>
            </w:r>
          </w:p>
        </w:tc>
        <w:tc>
          <w:tcPr>
            <w:tcW w:w="990" w:type="dxa"/>
            <w:shd w:val="clear" w:color="auto" w:fill="auto"/>
            <w:vAlign w:val="center"/>
          </w:tcPr>
          <w:p w14:paraId="0E4A931C" w14:textId="5D894FE5" w:rsidR="00C93FE1" w:rsidRPr="0089545C" w:rsidRDefault="00C93FE1" w:rsidP="00C93FE1">
            <w:pPr>
              <w:jc w:val="center"/>
              <w:rPr>
                <w:color w:val="000000"/>
                <w:sz w:val="18"/>
                <w:szCs w:val="18"/>
              </w:rPr>
            </w:pPr>
          </w:p>
        </w:tc>
        <w:tc>
          <w:tcPr>
            <w:tcW w:w="910" w:type="dxa"/>
            <w:shd w:val="clear" w:color="auto" w:fill="auto"/>
            <w:noWrap/>
            <w:vAlign w:val="center"/>
            <w:hideMark/>
          </w:tcPr>
          <w:p w14:paraId="5DFA4F32" w14:textId="4A54782B" w:rsidR="00C93FE1" w:rsidRPr="0089545C" w:rsidRDefault="00C93FE1" w:rsidP="00C93FE1">
            <w:pPr>
              <w:jc w:val="center"/>
              <w:rPr>
                <w:color w:val="000000"/>
                <w:sz w:val="18"/>
                <w:szCs w:val="18"/>
              </w:rPr>
            </w:pPr>
            <w:r w:rsidRPr="0089545C">
              <w:rPr>
                <w:color w:val="000000"/>
                <w:sz w:val="18"/>
                <w:szCs w:val="18"/>
              </w:rPr>
              <w:t>x</w:t>
            </w:r>
          </w:p>
        </w:tc>
      </w:tr>
      <w:tr w:rsidR="00C93FE1" w:rsidRPr="00C93FE1" w14:paraId="56999F70" w14:textId="77777777" w:rsidTr="008B4EBD">
        <w:trPr>
          <w:jc w:val="center"/>
        </w:trPr>
        <w:tc>
          <w:tcPr>
            <w:tcW w:w="1345" w:type="dxa"/>
            <w:shd w:val="clear" w:color="auto" w:fill="auto"/>
            <w:noWrap/>
            <w:vAlign w:val="center"/>
            <w:hideMark/>
          </w:tcPr>
          <w:p w14:paraId="7D25597D" w14:textId="118E5C20" w:rsidR="00C93FE1" w:rsidRPr="00A11ABD" w:rsidRDefault="00C93FE1" w:rsidP="00E01FB1">
            <w:pPr>
              <w:rPr>
                <w:i/>
                <w:color w:val="000000"/>
                <w:sz w:val="18"/>
                <w:szCs w:val="18"/>
              </w:rPr>
            </w:pPr>
            <w:r w:rsidRPr="00A11ABD">
              <w:rPr>
                <w:i/>
                <w:color w:val="000000"/>
                <w:sz w:val="18"/>
                <w:szCs w:val="18"/>
              </w:rPr>
              <w:t>Washington</w:t>
            </w:r>
          </w:p>
        </w:tc>
        <w:tc>
          <w:tcPr>
            <w:tcW w:w="1170" w:type="dxa"/>
            <w:shd w:val="clear" w:color="auto" w:fill="auto"/>
            <w:noWrap/>
            <w:vAlign w:val="center"/>
            <w:hideMark/>
          </w:tcPr>
          <w:p w14:paraId="1CE711BD" w14:textId="113447E5" w:rsidR="00C93FE1" w:rsidRPr="00A11ABD" w:rsidRDefault="00C93FE1" w:rsidP="00C93FE1">
            <w:pPr>
              <w:jc w:val="center"/>
              <w:rPr>
                <w:color w:val="000000"/>
                <w:sz w:val="18"/>
                <w:szCs w:val="18"/>
              </w:rPr>
            </w:pPr>
            <w:r w:rsidRPr="00A11ABD">
              <w:rPr>
                <w:color w:val="000000"/>
                <w:sz w:val="18"/>
                <w:szCs w:val="18"/>
              </w:rPr>
              <w:t>7,705,281</w:t>
            </w:r>
          </w:p>
        </w:tc>
        <w:tc>
          <w:tcPr>
            <w:tcW w:w="720" w:type="dxa"/>
            <w:shd w:val="clear" w:color="auto" w:fill="auto"/>
            <w:noWrap/>
            <w:vAlign w:val="center"/>
            <w:hideMark/>
          </w:tcPr>
          <w:p w14:paraId="67A046EA" w14:textId="0A46996A" w:rsidR="00C93FE1" w:rsidRPr="00A11ABD" w:rsidRDefault="00C93FE1" w:rsidP="00C93FE1">
            <w:pPr>
              <w:jc w:val="center"/>
              <w:rPr>
                <w:color w:val="000000"/>
                <w:sz w:val="18"/>
                <w:szCs w:val="18"/>
              </w:rPr>
            </w:pPr>
            <w:r w:rsidRPr="00A11ABD">
              <w:rPr>
                <w:color w:val="000000"/>
                <w:sz w:val="18"/>
                <w:szCs w:val="18"/>
              </w:rPr>
              <w:t>10</w:t>
            </w:r>
          </w:p>
        </w:tc>
        <w:tc>
          <w:tcPr>
            <w:tcW w:w="1080" w:type="dxa"/>
            <w:shd w:val="clear" w:color="auto" w:fill="auto"/>
            <w:noWrap/>
            <w:vAlign w:val="center"/>
            <w:hideMark/>
          </w:tcPr>
          <w:p w14:paraId="0ACD7540" w14:textId="0D2973C9" w:rsidR="00C93FE1" w:rsidRPr="00A11ABD" w:rsidRDefault="00C93FE1" w:rsidP="00C93FE1">
            <w:pPr>
              <w:jc w:val="center"/>
              <w:rPr>
                <w:color w:val="000000"/>
                <w:sz w:val="18"/>
                <w:szCs w:val="18"/>
              </w:rPr>
            </w:pPr>
            <w:r w:rsidRPr="00A11ABD">
              <w:rPr>
                <w:color w:val="000000"/>
                <w:sz w:val="18"/>
                <w:szCs w:val="18"/>
              </w:rPr>
              <w:t>C</w:t>
            </w:r>
          </w:p>
        </w:tc>
        <w:tc>
          <w:tcPr>
            <w:tcW w:w="900" w:type="dxa"/>
            <w:shd w:val="clear" w:color="auto" w:fill="auto"/>
            <w:noWrap/>
            <w:vAlign w:val="center"/>
            <w:hideMark/>
          </w:tcPr>
          <w:p w14:paraId="0717BD7E" w14:textId="147CCA15" w:rsidR="00C93FE1" w:rsidRPr="00A11ABD" w:rsidRDefault="00C93FE1" w:rsidP="00C93FE1">
            <w:pPr>
              <w:jc w:val="center"/>
              <w:rPr>
                <w:color w:val="000000"/>
                <w:sz w:val="18"/>
                <w:szCs w:val="18"/>
              </w:rPr>
            </w:pPr>
            <w:r w:rsidRPr="00A11ABD">
              <w:rPr>
                <w:color w:val="000000"/>
                <w:sz w:val="18"/>
                <w:szCs w:val="18"/>
              </w:rPr>
              <w:t>DEM</w:t>
            </w:r>
          </w:p>
        </w:tc>
        <w:tc>
          <w:tcPr>
            <w:tcW w:w="900" w:type="dxa"/>
            <w:shd w:val="clear" w:color="auto" w:fill="auto"/>
            <w:vAlign w:val="center"/>
          </w:tcPr>
          <w:p w14:paraId="34CD48D1" w14:textId="39E86CAB" w:rsidR="00C93FE1" w:rsidRPr="00A11ABD" w:rsidRDefault="00C93FE1" w:rsidP="00C93FE1">
            <w:pPr>
              <w:jc w:val="center"/>
              <w:rPr>
                <w:color w:val="000000"/>
                <w:sz w:val="18"/>
                <w:szCs w:val="18"/>
              </w:rPr>
            </w:pPr>
            <w:r w:rsidRPr="00A11ABD">
              <w:rPr>
                <w:color w:val="000000"/>
                <w:sz w:val="18"/>
                <w:szCs w:val="18"/>
              </w:rPr>
              <w:t>Comm.</w:t>
            </w:r>
          </w:p>
        </w:tc>
        <w:tc>
          <w:tcPr>
            <w:tcW w:w="990" w:type="dxa"/>
            <w:vAlign w:val="center"/>
          </w:tcPr>
          <w:p w14:paraId="426F3CB0" w14:textId="4ED68D02" w:rsidR="00C93FE1" w:rsidRPr="00A11ABD" w:rsidRDefault="00C93FE1" w:rsidP="00C93FE1">
            <w:pPr>
              <w:jc w:val="center"/>
              <w:rPr>
                <w:color w:val="000000"/>
                <w:sz w:val="18"/>
                <w:szCs w:val="18"/>
              </w:rPr>
            </w:pPr>
            <w:r w:rsidRPr="00A11ABD">
              <w:rPr>
                <w:color w:val="000000"/>
                <w:sz w:val="18"/>
                <w:szCs w:val="18"/>
              </w:rPr>
              <w:t>x</w:t>
            </w:r>
          </w:p>
        </w:tc>
        <w:tc>
          <w:tcPr>
            <w:tcW w:w="910" w:type="dxa"/>
            <w:shd w:val="clear" w:color="auto" w:fill="auto"/>
            <w:noWrap/>
            <w:vAlign w:val="center"/>
            <w:hideMark/>
          </w:tcPr>
          <w:p w14:paraId="4077FFB5" w14:textId="6265CBFC" w:rsidR="00C93FE1" w:rsidRPr="00A11ABD" w:rsidRDefault="00C93FE1" w:rsidP="00C93FE1">
            <w:pPr>
              <w:jc w:val="center"/>
              <w:rPr>
                <w:color w:val="000000"/>
                <w:sz w:val="18"/>
                <w:szCs w:val="18"/>
              </w:rPr>
            </w:pPr>
            <w:r w:rsidRPr="00A11ABD">
              <w:rPr>
                <w:color w:val="000000"/>
                <w:sz w:val="18"/>
                <w:szCs w:val="18"/>
              </w:rPr>
              <w:t>x</w:t>
            </w:r>
          </w:p>
        </w:tc>
      </w:tr>
      <w:tr w:rsidR="00C133C9" w:rsidRPr="00C93FE1" w14:paraId="034264F7" w14:textId="77777777" w:rsidTr="008B4EBD">
        <w:trPr>
          <w:jc w:val="center"/>
        </w:trPr>
        <w:tc>
          <w:tcPr>
            <w:tcW w:w="1345" w:type="dxa"/>
            <w:shd w:val="clear" w:color="auto" w:fill="D9D9D9" w:themeFill="background1" w:themeFillShade="D9"/>
            <w:noWrap/>
            <w:vAlign w:val="center"/>
            <w:hideMark/>
          </w:tcPr>
          <w:p w14:paraId="5E867FFA" w14:textId="5EB786B4" w:rsidR="00C93FE1" w:rsidRPr="00192619" w:rsidRDefault="00C93FE1" w:rsidP="00E01FB1">
            <w:pPr>
              <w:rPr>
                <w:i/>
                <w:color w:val="000000"/>
                <w:sz w:val="18"/>
                <w:szCs w:val="18"/>
              </w:rPr>
            </w:pPr>
            <w:r w:rsidRPr="00192619">
              <w:rPr>
                <w:i/>
                <w:color w:val="000000"/>
                <w:sz w:val="18"/>
                <w:szCs w:val="18"/>
              </w:rPr>
              <w:t>West Virginia</w:t>
            </w:r>
          </w:p>
        </w:tc>
        <w:tc>
          <w:tcPr>
            <w:tcW w:w="1170" w:type="dxa"/>
            <w:shd w:val="clear" w:color="auto" w:fill="D9D9D9" w:themeFill="background1" w:themeFillShade="D9"/>
            <w:noWrap/>
            <w:vAlign w:val="center"/>
            <w:hideMark/>
          </w:tcPr>
          <w:p w14:paraId="68E87010" w14:textId="3955758D" w:rsidR="00C93FE1" w:rsidRPr="00192619" w:rsidRDefault="00C93FE1" w:rsidP="00C93FE1">
            <w:pPr>
              <w:jc w:val="center"/>
              <w:rPr>
                <w:color w:val="000000"/>
                <w:sz w:val="18"/>
                <w:szCs w:val="18"/>
              </w:rPr>
            </w:pPr>
            <w:r w:rsidRPr="00192619">
              <w:rPr>
                <w:color w:val="000000"/>
                <w:sz w:val="18"/>
                <w:szCs w:val="18"/>
              </w:rPr>
              <w:t>1,793,716</w:t>
            </w:r>
          </w:p>
        </w:tc>
        <w:tc>
          <w:tcPr>
            <w:tcW w:w="720" w:type="dxa"/>
            <w:shd w:val="clear" w:color="auto" w:fill="D9D9D9" w:themeFill="background1" w:themeFillShade="D9"/>
            <w:noWrap/>
            <w:vAlign w:val="center"/>
            <w:hideMark/>
          </w:tcPr>
          <w:p w14:paraId="381FF246" w14:textId="6981F3B4" w:rsidR="00C93FE1" w:rsidRPr="00192619" w:rsidRDefault="00C93FE1" w:rsidP="00C93FE1">
            <w:pPr>
              <w:jc w:val="center"/>
              <w:rPr>
                <w:color w:val="000000"/>
                <w:sz w:val="18"/>
                <w:szCs w:val="18"/>
              </w:rPr>
            </w:pPr>
            <w:r w:rsidRPr="00192619">
              <w:rPr>
                <w:color w:val="000000"/>
                <w:sz w:val="18"/>
                <w:szCs w:val="18"/>
              </w:rPr>
              <w:t>2</w:t>
            </w:r>
          </w:p>
        </w:tc>
        <w:tc>
          <w:tcPr>
            <w:tcW w:w="1080" w:type="dxa"/>
            <w:shd w:val="clear" w:color="auto" w:fill="D9D9D9" w:themeFill="background1" w:themeFillShade="D9"/>
            <w:noWrap/>
            <w:vAlign w:val="center"/>
            <w:hideMark/>
          </w:tcPr>
          <w:p w14:paraId="3C9E46D0" w14:textId="7B6160A6" w:rsidR="00C93FE1" w:rsidRPr="00192619" w:rsidRDefault="00C93FE1" w:rsidP="00C93FE1">
            <w:pPr>
              <w:jc w:val="center"/>
              <w:rPr>
                <w:color w:val="000000"/>
                <w:sz w:val="18"/>
                <w:szCs w:val="18"/>
              </w:rPr>
            </w:pPr>
            <w:r w:rsidRPr="00192619">
              <w:rPr>
                <w:color w:val="000000"/>
                <w:sz w:val="18"/>
                <w:szCs w:val="18"/>
              </w:rPr>
              <w:t>L</w:t>
            </w:r>
          </w:p>
        </w:tc>
        <w:tc>
          <w:tcPr>
            <w:tcW w:w="900" w:type="dxa"/>
            <w:shd w:val="clear" w:color="auto" w:fill="D9D9D9" w:themeFill="background1" w:themeFillShade="D9"/>
            <w:noWrap/>
            <w:vAlign w:val="center"/>
            <w:hideMark/>
          </w:tcPr>
          <w:p w14:paraId="1F0F7C2C" w14:textId="7735727A" w:rsidR="00C93FE1" w:rsidRPr="00192619" w:rsidRDefault="00C93FE1" w:rsidP="00C93FE1">
            <w:pPr>
              <w:jc w:val="center"/>
              <w:rPr>
                <w:color w:val="000000"/>
                <w:sz w:val="18"/>
                <w:szCs w:val="18"/>
              </w:rPr>
            </w:pPr>
            <w:r w:rsidRPr="00192619">
              <w:rPr>
                <w:color w:val="000000"/>
                <w:sz w:val="18"/>
                <w:szCs w:val="18"/>
              </w:rPr>
              <w:t>GOP</w:t>
            </w:r>
          </w:p>
        </w:tc>
        <w:tc>
          <w:tcPr>
            <w:tcW w:w="900" w:type="dxa"/>
            <w:shd w:val="clear" w:color="auto" w:fill="D9D9D9" w:themeFill="background1" w:themeFillShade="D9"/>
            <w:vAlign w:val="center"/>
          </w:tcPr>
          <w:p w14:paraId="301B58F6" w14:textId="32691D3B" w:rsidR="00C93FE1" w:rsidRPr="00192619" w:rsidRDefault="00C93FE1" w:rsidP="00C93FE1">
            <w:pPr>
              <w:jc w:val="center"/>
              <w:rPr>
                <w:color w:val="000000"/>
                <w:sz w:val="18"/>
                <w:szCs w:val="18"/>
              </w:rPr>
            </w:pPr>
            <w:r w:rsidRPr="00192619">
              <w:rPr>
                <w:color w:val="000000"/>
                <w:sz w:val="18"/>
                <w:szCs w:val="18"/>
              </w:rPr>
              <w:t>L</w:t>
            </w:r>
          </w:p>
        </w:tc>
        <w:tc>
          <w:tcPr>
            <w:tcW w:w="990" w:type="dxa"/>
            <w:shd w:val="clear" w:color="auto" w:fill="D9D9D9" w:themeFill="background1" w:themeFillShade="D9"/>
            <w:vAlign w:val="center"/>
          </w:tcPr>
          <w:p w14:paraId="243098F4" w14:textId="77CAD9AE" w:rsidR="00C93FE1" w:rsidRPr="00192619" w:rsidRDefault="00C93FE1" w:rsidP="00C93FE1">
            <w:pPr>
              <w:jc w:val="center"/>
              <w:rPr>
                <w:color w:val="000000"/>
                <w:sz w:val="18"/>
                <w:szCs w:val="18"/>
              </w:rPr>
            </w:pPr>
          </w:p>
        </w:tc>
        <w:tc>
          <w:tcPr>
            <w:tcW w:w="910" w:type="dxa"/>
            <w:shd w:val="clear" w:color="auto" w:fill="D9D9D9" w:themeFill="background1" w:themeFillShade="D9"/>
            <w:noWrap/>
            <w:vAlign w:val="center"/>
            <w:hideMark/>
          </w:tcPr>
          <w:p w14:paraId="77689C55" w14:textId="77777777" w:rsidR="00C93FE1" w:rsidRPr="00192619" w:rsidRDefault="00C93FE1" w:rsidP="00C93FE1">
            <w:pPr>
              <w:jc w:val="center"/>
              <w:rPr>
                <w:color w:val="000000"/>
                <w:sz w:val="18"/>
                <w:szCs w:val="18"/>
              </w:rPr>
            </w:pPr>
          </w:p>
        </w:tc>
      </w:tr>
      <w:tr w:rsidR="00C93FE1" w:rsidRPr="00C93FE1" w14:paraId="1A409D34" w14:textId="77777777" w:rsidTr="008B4EBD">
        <w:trPr>
          <w:jc w:val="center"/>
        </w:trPr>
        <w:tc>
          <w:tcPr>
            <w:tcW w:w="1345" w:type="dxa"/>
            <w:shd w:val="clear" w:color="auto" w:fill="auto"/>
            <w:noWrap/>
            <w:vAlign w:val="center"/>
            <w:hideMark/>
          </w:tcPr>
          <w:p w14:paraId="2528036A" w14:textId="6BE3F286" w:rsidR="00C93FE1" w:rsidRPr="00E01FB1" w:rsidRDefault="00C93FE1" w:rsidP="00E01FB1">
            <w:pPr>
              <w:rPr>
                <w:i/>
                <w:color w:val="000000"/>
                <w:sz w:val="18"/>
                <w:szCs w:val="18"/>
              </w:rPr>
            </w:pPr>
            <w:r w:rsidRPr="00E01FB1">
              <w:rPr>
                <w:i/>
                <w:color w:val="000000"/>
                <w:sz w:val="18"/>
                <w:szCs w:val="18"/>
              </w:rPr>
              <w:t>Wisconsin</w:t>
            </w:r>
          </w:p>
        </w:tc>
        <w:tc>
          <w:tcPr>
            <w:tcW w:w="1170" w:type="dxa"/>
            <w:shd w:val="clear" w:color="auto" w:fill="auto"/>
            <w:noWrap/>
            <w:vAlign w:val="center"/>
            <w:hideMark/>
          </w:tcPr>
          <w:p w14:paraId="0B17CF62" w14:textId="686FC83B" w:rsidR="00C93FE1" w:rsidRPr="00E01FB1" w:rsidRDefault="00C93FE1" w:rsidP="00C93FE1">
            <w:pPr>
              <w:jc w:val="center"/>
              <w:rPr>
                <w:color w:val="000000"/>
                <w:sz w:val="18"/>
                <w:szCs w:val="18"/>
              </w:rPr>
            </w:pPr>
            <w:r w:rsidRPr="00E01FB1">
              <w:rPr>
                <w:color w:val="000000"/>
                <w:sz w:val="18"/>
                <w:szCs w:val="18"/>
              </w:rPr>
              <w:t>5,893,718</w:t>
            </w:r>
          </w:p>
        </w:tc>
        <w:tc>
          <w:tcPr>
            <w:tcW w:w="720" w:type="dxa"/>
            <w:shd w:val="clear" w:color="auto" w:fill="auto"/>
            <w:noWrap/>
            <w:vAlign w:val="center"/>
            <w:hideMark/>
          </w:tcPr>
          <w:p w14:paraId="2B7B8CDD" w14:textId="6976BAEB" w:rsidR="00C93FE1" w:rsidRPr="00E01FB1" w:rsidRDefault="00C93FE1" w:rsidP="00C93FE1">
            <w:pPr>
              <w:jc w:val="center"/>
              <w:rPr>
                <w:color w:val="000000"/>
                <w:sz w:val="18"/>
                <w:szCs w:val="18"/>
              </w:rPr>
            </w:pPr>
            <w:r w:rsidRPr="00E01FB1">
              <w:rPr>
                <w:color w:val="000000"/>
                <w:sz w:val="18"/>
                <w:szCs w:val="18"/>
              </w:rPr>
              <w:t>8</w:t>
            </w:r>
          </w:p>
        </w:tc>
        <w:tc>
          <w:tcPr>
            <w:tcW w:w="1080" w:type="dxa"/>
            <w:shd w:val="clear" w:color="auto" w:fill="auto"/>
            <w:noWrap/>
            <w:vAlign w:val="center"/>
            <w:hideMark/>
          </w:tcPr>
          <w:p w14:paraId="3DD7BED8" w14:textId="5BAEE85D" w:rsidR="00C93FE1" w:rsidRPr="00E01FB1" w:rsidRDefault="00C93FE1" w:rsidP="00C93FE1">
            <w:pPr>
              <w:jc w:val="center"/>
              <w:rPr>
                <w:color w:val="000000"/>
                <w:sz w:val="18"/>
                <w:szCs w:val="18"/>
              </w:rPr>
            </w:pPr>
            <w:r w:rsidRPr="00E01FB1">
              <w:rPr>
                <w:color w:val="000000"/>
                <w:sz w:val="18"/>
                <w:szCs w:val="18"/>
              </w:rPr>
              <w:t>L</w:t>
            </w:r>
          </w:p>
        </w:tc>
        <w:tc>
          <w:tcPr>
            <w:tcW w:w="900" w:type="dxa"/>
            <w:shd w:val="clear" w:color="auto" w:fill="auto"/>
            <w:noWrap/>
            <w:vAlign w:val="center"/>
            <w:hideMark/>
          </w:tcPr>
          <w:p w14:paraId="18C14607" w14:textId="23FB912B" w:rsidR="00C93FE1" w:rsidRPr="00E01FB1" w:rsidRDefault="00C93FE1" w:rsidP="00C93FE1">
            <w:pPr>
              <w:jc w:val="center"/>
              <w:rPr>
                <w:color w:val="000000"/>
                <w:sz w:val="18"/>
                <w:szCs w:val="18"/>
              </w:rPr>
            </w:pPr>
            <w:r w:rsidRPr="00E01FB1">
              <w:rPr>
                <w:color w:val="000000"/>
                <w:sz w:val="18"/>
                <w:szCs w:val="18"/>
              </w:rPr>
              <w:t>SPLIT</w:t>
            </w:r>
          </w:p>
        </w:tc>
        <w:tc>
          <w:tcPr>
            <w:tcW w:w="900" w:type="dxa"/>
            <w:shd w:val="clear" w:color="auto" w:fill="auto"/>
            <w:vAlign w:val="center"/>
          </w:tcPr>
          <w:p w14:paraId="49A8410D" w14:textId="75D20FAF" w:rsidR="00C93FE1" w:rsidRPr="00E01FB1" w:rsidRDefault="00C93FE1" w:rsidP="00C93FE1">
            <w:pPr>
              <w:jc w:val="center"/>
              <w:rPr>
                <w:color w:val="000000"/>
                <w:sz w:val="18"/>
                <w:szCs w:val="18"/>
              </w:rPr>
            </w:pPr>
            <w:r w:rsidRPr="00E01FB1">
              <w:rPr>
                <w:color w:val="000000"/>
                <w:sz w:val="18"/>
                <w:szCs w:val="18"/>
              </w:rPr>
              <w:t>Court</w:t>
            </w:r>
          </w:p>
        </w:tc>
        <w:tc>
          <w:tcPr>
            <w:tcW w:w="990" w:type="dxa"/>
            <w:shd w:val="clear" w:color="auto" w:fill="auto"/>
            <w:vAlign w:val="center"/>
          </w:tcPr>
          <w:p w14:paraId="56D466A3" w14:textId="3C0DF214" w:rsidR="00C93FE1" w:rsidRPr="00E01FB1" w:rsidRDefault="00C93FE1" w:rsidP="00C93FE1">
            <w:pPr>
              <w:jc w:val="center"/>
              <w:rPr>
                <w:color w:val="000000"/>
                <w:sz w:val="18"/>
                <w:szCs w:val="18"/>
              </w:rPr>
            </w:pPr>
          </w:p>
        </w:tc>
        <w:tc>
          <w:tcPr>
            <w:tcW w:w="910" w:type="dxa"/>
            <w:shd w:val="clear" w:color="auto" w:fill="auto"/>
            <w:noWrap/>
            <w:vAlign w:val="center"/>
            <w:hideMark/>
          </w:tcPr>
          <w:p w14:paraId="2D727008" w14:textId="77777777" w:rsidR="00C93FE1" w:rsidRPr="00E01FB1" w:rsidRDefault="00C93FE1" w:rsidP="00C93FE1">
            <w:pPr>
              <w:jc w:val="center"/>
              <w:rPr>
                <w:color w:val="000000"/>
                <w:sz w:val="18"/>
                <w:szCs w:val="18"/>
              </w:rPr>
            </w:pPr>
          </w:p>
        </w:tc>
      </w:tr>
      <w:tr w:rsidR="00C93FE1" w:rsidRPr="00C93FE1" w14:paraId="60764E96" w14:textId="77777777" w:rsidTr="008B4EBD">
        <w:trPr>
          <w:jc w:val="center"/>
        </w:trPr>
        <w:tc>
          <w:tcPr>
            <w:tcW w:w="1345" w:type="dxa"/>
            <w:shd w:val="clear" w:color="auto" w:fill="auto"/>
            <w:noWrap/>
            <w:vAlign w:val="center"/>
            <w:hideMark/>
          </w:tcPr>
          <w:p w14:paraId="3BDB9381" w14:textId="5544ADC6" w:rsidR="00C93FE1" w:rsidRPr="00E01FB1" w:rsidRDefault="00C93FE1" w:rsidP="00E01FB1">
            <w:pPr>
              <w:rPr>
                <w:i/>
                <w:color w:val="000000"/>
                <w:sz w:val="18"/>
                <w:szCs w:val="18"/>
              </w:rPr>
            </w:pPr>
            <w:r w:rsidRPr="00E01FB1">
              <w:rPr>
                <w:i/>
                <w:color w:val="000000"/>
                <w:sz w:val="18"/>
                <w:szCs w:val="18"/>
              </w:rPr>
              <w:t>Wyoming</w:t>
            </w:r>
          </w:p>
        </w:tc>
        <w:tc>
          <w:tcPr>
            <w:tcW w:w="1170" w:type="dxa"/>
            <w:shd w:val="clear" w:color="auto" w:fill="auto"/>
            <w:noWrap/>
            <w:vAlign w:val="center"/>
            <w:hideMark/>
          </w:tcPr>
          <w:p w14:paraId="71B69DDE" w14:textId="05A8BE98" w:rsidR="00C93FE1" w:rsidRPr="00E01FB1" w:rsidRDefault="00C93FE1" w:rsidP="00C93FE1">
            <w:pPr>
              <w:jc w:val="center"/>
              <w:rPr>
                <w:color w:val="000000"/>
                <w:sz w:val="18"/>
                <w:szCs w:val="18"/>
              </w:rPr>
            </w:pPr>
            <w:r w:rsidRPr="00E01FB1">
              <w:rPr>
                <w:color w:val="000000"/>
                <w:sz w:val="18"/>
                <w:szCs w:val="18"/>
              </w:rPr>
              <w:t>576,851</w:t>
            </w:r>
          </w:p>
        </w:tc>
        <w:tc>
          <w:tcPr>
            <w:tcW w:w="720" w:type="dxa"/>
            <w:shd w:val="clear" w:color="auto" w:fill="auto"/>
            <w:noWrap/>
            <w:vAlign w:val="center"/>
            <w:hideMark/>
          </w:tcPr>
          <w:p w14:paraId="05D33DF8" w14:textId="00353D82" w:rsidR="00C93FE1" w:rsidRPr="00E01FB1" w:rsidRDefault="00C93FE1" w:rsidP="00C93FE1">
            <w:pPr>
              <w:jc w:val="center"/>
              <w:rPr>
                <w:color w:val="000000"/>
                <w:sz w:val="18"/>
                <w:szCs w:val="18"/>
              </w:rPr>
            </w:pPr>
            <w:r w:rsidRPr="00E01FB1">
              <w:rPr>
                <w:color w:val="000000"/>
                <w:sz w:val="18"/>
                <w:szCs w:val="18"/>
              </w:rPr>
              <w:t>1</w:t>
            </w:r>
          </w:p>
        </w:tc>
        <w:tc>
          <w:tcPr>
            <w:tcW w:w="1080" w:type="dxa"/>
            <w:shd w:val="clear" w:color="auto" w:fill="auto"/>
            <w:noWrap/>
            <w:vAlign w:val="center"/>
            <w:hideMark/>
          </w:tcPr>
          <w:p w14:paraId="13FD115D" w14:textId="36CD4E36" w:rsidR="00C93FE1" w:rsidRPr="00E01FB1" w:rsidRDefault="00C93FE1" w:rsidP="00C93FE1">
            <w:pPr>
              <w:jc w:val="center"/>
              <w:rPr>
                <w:color w:val="000000"/>
                <w:sz w:val="18"/>
                <w:szCs w:val="18"/>
              </w:rPr>
            </w:pPr>
            <w:r w:rsidRPr="00E01FB1">
              <w:rPr>
                <w:color w:val="000000"/>
                <w:sz w:val="18"/>
                <w:szCs w:val="18"/>
              </w:rPr>
              <w:t>-</w:t>
            </w:r>
          </w:p>
        </w:tc>
        <w:tc>
          <w:tcPr>
            <w:tcW w:w="900" w:type="dxa"/>
            <w:shd w:val="clear" w:color="auto" w:fill="auto"/>
            <w:noWrap/>
            <w:vAlign w:val="center"/>
            <w:hideMark/>
          </w:tcPr>
          <w:p w14:paraId="6E8FCE16" w14:textId="5A080490" w:rsidR="00C93FE1" w:rsidRPr="00E01FB1" w:rsidRDefault="00C93FE1" w:rsidP="00C93FE1">
            <w:pPr>
              <w:jc w:val="center"/>
              <w:rPr>
                <w:color w:val="000000"/>
                <w:sz w:val="18"/>
                <w:szCs w:val="18"/>
              </w:rPr>
            </w:pPr>
            <w:r w:rsidRPr="00E01FB1">
              <w:rPr>
                <w:color w:val="000000"/>
                <w:sz w:val="18"/>
                <w:szCs w:val="18"/>
              </w:rPr>
              <w:t>-</w:t>
            </w:r>
          </w:p>
        </w:tc>
        <w:tc>
          <w:tcPr>
            <w:tcW w:w="900" w:type="dxa"/>
            <w:shd w:val="clear" w:color="auto" w:fill="auto"/>
            <w:vAlign w:val="center"/>
          </w:tcPr>
          <w:p w14:paraId="1DE20FC4" w14:textId="29644CA3" w:rsidR="00C93FE1" w:rsidRPr="00E01FB1" w:rsidRDefault="00C93FE1" w:rsidP="00C93FE1">
            <w:pPr>
              <w:jc w:val="center"/>
              <w:rPr>
                <w:color w:val="000000"/>
                <w:sz w:val="18"/>
                <w:szCs w:val="18"/>
              </w:rPr>
            </w:pPr>
            <w:r w:rsidRPr="00E01FB1">
              <w:rPr>
                <w:color w:val="000000"/>
                <w:sz w:val="18"/>
                <w:szCs w:val="18"/>
              </w:rPr>
              <w:t>-</w:t>
            </w:r>
          </w:p>
        </w:tc>
        <w:tc>
          <w:tcPr>
            <w:tcW w:w="990" w:type="dxa"/>
            <w:vAlign w:val="center"/>
          </w:tcPr>
          <w:p w14:paraId="048389BB" w14:textId="7E0CCB7E" w:rsidR="00C93FE1" w:rsidRPr="00E01FB1" w:rsidRDefault="00C93FE1" w:rsidP="00C93FE1">
            <w:pPr>
              <w:jc w:val="center"/>
              <w:rPr>
                <w:color w:val="000000"/>
                <w:sz w:val="18"/>
                <w:szCs w:val="18"/>
              </w:rPr>
            </w:pPr>
          </w:p>
        </w:tc>
        <w:tc>
          <w:tcPr>
            <w:tcW w:w="910" w:type="dxa"/>
            <w:shd w:val="clear" w:color="auto" w:fill="auto"/>
            <w:noWrap/>
            <w:vAlign w:val="center"/>
            <w:hideMark/>
          </w:tcPr>
          <w:p w14:paraId="45476EE6" w14:textId="50B9AFBA" w:rsidR="00C93FE1" w:rsidRPr="00E01FB1" w:rsidRDefault="00C93FE1" w:rsidP="00C93FE1">
            <w:pPr>
              <w:jc w:val="center"/>
              <w:rPr>
                <w:color w:val="000000"/>
                <w:sz w:val="18"/>
                <w:szCs w:val="18"/>
              </w:rPr>
            </w:pPr>
            <w:r w:rsidRPr="00E01FB1">
              <w:rPr>
                <w:color w:val="000000"/>
                <w:sz w:val="18"/>
                <w:szCs w:val="18"/>
              </w:rPr>
              <w:t>x</w:t>
            </w:r>
          </w:p>
        </w:tc>
      </w:tr>
    </w:tbl>
    <w:p w14:paraId="7D2AE1AD" w14:textId="472601A8" w:rsidR="00414F57" w:rsidRPr="00E01FB1" w:rsidRDefault="00414F57" w:rsidP="008B4EBD">
      <w:pPr>
        <w:pStyle w:val="BodyText"/>
        <w:ind w:left="-450" w:right="-390" w:firstLine="0"/>
        <w:rPr>
          <w:sz w:val="19"/>
          <w:szCs w:val="22"/>
        </w:rPr>
      </w:pPr>
      <w:r w:rsidRPr="00E01FB1">
        <w:rPr>
          <w:sz w:val="19"/>
          <w:szCs w:val="22"/>
        </w:rPr>
        <w:t>NOTE: States we identify as meeting the conditions for the potential enactment of a gerrymander are shown highlighted. Primary control of the process: L=Legislature, C=Commission, C(P)=Political Commission, C(L)=Commission with Legislative Backup, -=One district. Who Drew the Lines: L=Legislature, Comm.=Commission, Court=Federal or State Court.</w:t>
      </w:r>
    </w:p>
    <w:p w14:paraId="56961B3B" w14:textId="77777777" w:rsidR="00C133C9" w:rsidRPr="00C93FE1" w:rsidRDefault="00C133C9" w:rsidP="00212B79">
      <w:pPr>
        <w:pStyle w:val="BodyText"/>
      </w:pPr>
    </w:p>
    <w:p w14:paraId="71209C09" w14:textId="40012171" w:rsidR="00414F57" w:rsidRDefault="00414F57" w:rsidP="00212B79">
      <w:pPr>
        <w:pStyle w:val="BodyText"/>
      </w:pPr>
      <w:r w:rsidRPr="00FB61B1">
        <w:rPr>
          <w:bCs/>
        </w:rPr>
        <w:fldChar w:fldCharType="begin"/>
      </w:r>
      <w:r w:rsidRPr="00F912CF">
        <w:rPr>
          <w:bCs/>
        </w:rPr>
        <w:instrText xml:space="preserve"> REF _Ref123137422 \h  \* MERGEFORMAT </w:instrText>
      </w:r>
      <w:r w:rsidRPr="00FB61B1">
        <w:rPr>
          <w:bCs/>
        </w:rPr>
      </w:r>
      <w:r w:rsidRPr="00FB61B1">
        <w:rPr>
          <w:bCs/>
        </w:rPr>
        <w:fldChar w:fldCharType="separate"/>
      </w:r>
      <w:r>
        <w:t xml:space="preserve">Table </w:t>
      </w:r>
      <w:r>
        <w:rPr>
          <w:noProof/>
        </w:rPr>
        <w:t>1</w:t>
      </w:r>
      <w:r w:rsidRPr="00FB61B1">
        <w:rPr>
          <w:bCs/>
        </w:rPr>
        <w:fldChar w:fldCharType="end"/>
      </w:r>
      <w:r>
        <w:rPr>
          <w:bCs/>
        </w:rPr>
        <w:t xml:space="preserve"> h</w:t>
      </w:r>
      <w:r w:rsidRPr="005D2141">
        <w:rPr>
          <w:bCs/>
        </w:rPr>
        <w:t>ighlight</w:t>
      </w:r>
      <w:r>
        <w:rPr>
          <w:bCs/>
        </w:rPr>
        <w:t>s</w:t>
      </w:r>
      <w:r w:rsidRPr="005D2141">
        <w:rPr>
          <w:bCs/>
        </w:rPr>
        <w:t xml:space="preserve"> </w:t>
      </w:r>
      <w:r>
        <w:rPr>
          <w:bCs/>
        </w:rPr>
        <w:t>the</w:t>
      </w:r>
      <w:r>
        <w:t xml:space="preserve"> twenty-nine states that meet the normal conditions for enacting a partisan gerrymander. Those are the states in which the control over Congressional redistricting resides in the state legislature (or political commission), and one party controls all aspects of the process (aside from judicial oversight), and the state was apportioned </w:t>
      </w:r>
      <w:r>
        <w:lastRenderedPageBreak/>
        <w:t>at least two districts. For the moment</w:t>
      </w:r>
      <w:r w:rsidRPr="00F912CF">
        <w:t>,</w:t>
      </w:r>
      <w:r>
        <w:t xml:space="preserve"> we ignore whether there is state law that prohibits gerrymandering since it is possible that the legislature would simply ignore the law when selecting a plan. Some states are included even when there is no potential for gerrymandering to occur, such as situations where the state’s political composition is so dominated by one party that no matter how the districts are drawn, the majority party cannot possibly gain additional seats (e.g., Massachusetts, West Virginia).</w:t>
      </w:r>
      <w:r w:rsidRPr="0078695B">
        <w:rPr>
          <w:rStyle w:val="FootnoteReference"/>
        </w:rPr>
        <w:footnoteReference w:id="136"/>
      </w:r>
      <w:r>
        <w:t xml:space="preserve"> </w:t>
      </w:r>
      <w:bookmarkStart w:id="292" w:name="Gerrymandering_Claim"/>
      <w:bookmarkStart w:id="293" w:name="Commission_failings"/>
      <w:bookmarkEnd w:id="292"/>
      <w:bookmarkEnd w:id="293"/>
      <w:r>
        <w:t xml:space="preserve">Additionally, we have left off commission drawn plans, which means we exclude states where tie-breaking decisions on otherwise split commissions can lead to potentially biased plans (e.g., Arizona, New Jersey). This table also neglects the possibility that a court could enact a plan that is potentially dilutive (e.g., Minnesota, Wisconsin). Later, in </w:t>
      </w:r>
      <w:r>
        <w:fldChar w:fldCharType="begin"/>
      </w:r>
      <w:r>
        <w:instrText xml:space="preserve"> REF _Ref123166113 \h  \* MERGEFORMAT </w:instrText>
      </w:r>
      <w:r>
        <w:fldChar w:fldCharType="separate"/>
      </w:r>
      <w:r w:rsidRPr="0080356A">
        <w:t xml:space="preserve">Table </w:t>
      </w:r>
      <w:r>
        <w:rPr>
          <w:noProof/>
        </w:rPr>
        <w:t>4</w:t>
      </w:r>
      <w:r>
        <w:fldChar w:fldCharType="end"/>
      </w:r>
      <w:r>
        <w:t>, we will focus on a different subset of states where claims that a plan was political (and racial) gerrymanders were made.</w:t>
      </w:r>
      <w:r>
        <w:rPr>
          <w:rStyle w:val="FootnoteReference"/>
        </w:rPr>
        <w:footnoteReference w:id="137"/>
      </w:r>
    </w:p>
    <w:p w14:paraId="0B0EFE95" w14:textId="77777777" w:rsidR="00414F57" w:rsidRDefault="00414F57" w:rsidP="00212B79">
      <w:pPr>
        <w:pStyle w:val="BodyText"/>
      </w:pPr>
      <w:r w:rsidRPr="00FB61B1">
        <w:fldChar w:fldCharType="begin"/>
      </w:r>
      <w:r w:rsidRPr="00F912CF">
        <w:instrText xml:space="preserve"> REF _Ref123163956 \h  \* MERGEFORMAT </w:instrText>
      </w:r>
      <w:r w:rsidRPr="00FB61B1">
        <w:fldChar w:fldCharType="separate"/>
      </w:r>
      <w:r>
        <w:t xml:space="preserve">Table </w:t>
      </w:r>
      <w:r>
        <w:rPr>
          <w:noProof/>
        </w:rPr>
        <w:t>2</w:t>
      </w:r>
      <w:r w:rsidRPr="00FB61B1">
        <w:fldChar w:fldCharType="end"/>
      </w:r>
      <w:r>
        <w:t xml:space="preserve"> summarizes</w:t>
      </w:r>
      <w:r w:rsidRPr="002F64E0">
        <w:t xml:space="preserve"> the potential effects of party control at the aggregate level.</w:t>
      </w:r>
      <w:bookmarkStart w:id="294" w:name="_Ref119667110"/>
      <w:bookmarkStart w:id="295" w:name="_Ref119667104"/>
    </w:p>
    <w:p w14:paraId="6CA5FFCE" w14:textId="77777777" w:rsidR="00414F57" w:rsidRPr="001D2160" w:rsidRDefault="00414F57" w:rsidP="00A11ABD">
      <w:pPr>
        <w:pStyle w:val="BodyText"/>
        <w:ind w:firstLine="0"/>
        <w:jc w:val="left"/>
        <w:rPr>
          <w:b/>
          <w:bCs/>
        </w:rPr>
      </w:pPr>
      <w:bookmarkStart w:id="296" w:name="_Ref123163956"/>
      <w:bookmarkEnd w:id="294"/>
      <w:r w:rsidRPr="00A11ABD">
        <w:rPr>
          <w:b/>
          <w:bCs/>
        </w:rPr>
        <w:t xml:space="preserve">Table </w:t>
      </w:r>
      <w:r w:rsidRPr="00A11ABD">
        <w:rPr>
          <w:b/>
          <w:bCs/>
        </w:rPr>
        <w:fldChar w:fldCharType="begin"/>
      </w:r>
      <w:r w:rsidRPr="00A11ABD">
        <w:rPr>
          <w:b/>
          <w:bCs/>
        </w:rPr>
        <w:instrText xml:space="preserve"> SEQ Table \* ARABIC </w:instrText>
      </w:r>
      <w:r w:rsidRPr="00A11ABD">
        <w:rPr>
          <w:b/>
          <w:bCs/>
        </w:rPr>
        <w:fldChar w:fldCharType="separate"/>
      </w:r>
      <w:r w:rsidRPr="00A11ABD">
        <w:rPr>
          <w:b/>
          <w:bCs/>
          <w:noProof/>
        </w:rPr>
        <w:t>2</w:t>
      </w:r>
      <w:r w:rsidRPr="00A11ABD">
        <w:rPr>
          <w:b/>
          <w:bCs/>
          <w:noProof/>
        </w:rPr>
        <w:fldChar w:fldCharType="end"/>
      </w:r>
      <w:bookmarkEnd w:id="296"/>
      <w:r w:rsidRPr="001D2160">
        <w:rPr>
          <w:b/>
          <w:bCs/>
        </w:rPr>
        <w:t>. Party Control over Redistricting in 2010 and 2020</w:t>
      </w:r>
      <w:bookmarkEnd w:id="295"/>
    </w:p>
    <w:tbl>
      <w:tblPr>
        <w:tblStyle w:val="TableGrid"/>
        <w:tblW w:w="5000" w:type="pct"/>
        <w:tblLook w:val="04A0" w:firstRow="1" w:lastRow="0" w:firstColumn="1" w:lastColumn="0" w:noHBand="0" w:noVBand="1"/>
      </w:tblPr>
      <w:tblGrid>
        <w:gridCol w:w="1342"/>
        <w:gridCol w:w="1341"/>
        <w:gridCol w:w="1705"/>
        <w:gridCol w:w="1341"/>
        <w:gridCol w:w="1341"/>
      </w:tblGrid>
      <w:tr w:rsidR="00414F57" w:rsidRPr="00282E09" w14:paraId="2D7A3C6A" w14:textId="77777777" w:rsidTr="001D2160">
        <w:tc>
          <w:tcPr>
            <w:tcW w:w="1300" w:type="dxa"/>
            <w:noWrap/>
            <w:vAlign w:val="center"/>
            <w:hideMark/>
          </w:tcPr>
          <w:p w14:paraId="37537633" w14:textId="77777777" w:rsidR="00414F57" w:rsidRPr="005503EC" w:rsidRDefault="00414F57" w:rsidP="00C93FE1">
            <w:pPr>
              <w:rPr>
                <w:b/>
                <w:bCs/>
                <w:sz w:val="19"/>
                <w:szCs w:val="19"/>
              </w:rPr>
            </w:pPr>
            <w:r w:rsidRPr="005503EC">
              <w:rPr>
                <w:b/>
                <w:bCs/>
                <w:sz w:val="19"/>
                <w:szCs w:val="19"/>
              </w:rPr>
              <w:t>Party Control</w:t>
            </w:r>
          </w:p>
        </w:tc>
        <w:tc>
          <w:tcPr>
            <w:tcW w:w="1300" w:type="dxa"/>
            <w:noWrap/>
            <w:vAlign w:val="center"/>
            <w:hideMark/>
          </w:tcPr>
          <w:p w14:paraId="17EA5FD1" w14:textId="77777777" w:rsidR="00414F57" w:rsidRPr="005503EC" w:rsidRDefault="00414F57" w:rsidP="001D2160">
            <w:pPr>
              <w:jc w:val="center"/>
              <w:rPr>
                <w:b/>
                <w:bCs/>
                <w:sz w:val="19"/>
                <w:szCs w:val="19"/>
              </w:rPr>
            </w:pPr>
            <w:r w:rsidRPr="005503EC">
              <w:rPr>
                <w:b/>
                <w:bCs/>
                <w:sz w:val="19"/>
                <w:szCs w:val="19"/>
              </w:rPr>
              <w:t>Single Seat</w:t>
            </w:r>
          </w:p>
        </w:tc>
        <w:tc>
          <w:tcPr>
            <w:tcW w:w="1578" w:type="dxa"/>
            <w:noWrap/>
            <w:vAlign w:val="center"/>
            <w:hideMark/>
          </w:tcPr>
          <w:p w14:paraId="156A8DE0" w14:textId="77777777" w:rsidR="00414F57" w:rsidRPr="005503EC" w:rsidRDefault="00414F57" w:rsidP="001D2160">
            <w:pPr>
              <w:jc w:val="center"/>
              <w:rPr>
                <w:b/>
                <w:bCs/>
                <w:sz w:val="19"/>
                <w:szCs w:val="19"/>
              </w:rPr>
            </w:pPr>
            <w:r w:rsidRPr="005503EC">
              <w:rPr>
                <w:b/>
                <w:bCs/>
                <w:sz w:val="19"/>
                <w:szCs w:val="19"/>
              </w:rPr>
              <w:t>Split/Commission</w:t>
            </w:r>
          </w:p>
        </w:tc>
        <w:tc>
          <w:tcPr>
            <w:tcW w:w="1300" w:type="dxa"/>
            <w:noWrap/>
            <w:vAlign w:val="center"/>
            <w:hideMark/>
          </w:tcPr>
          <w:p w14:paraId="33D17FA6" w14:textId="77777777" w:rsidR="00414F57" w:rsidRPr="005503EC" w:rsidRDefault="00414F57" w:rsidP="001D2160">
            <w:pPr>
              <w:jc w:val="center"/>
              <w:rPr>
                <w:b/>
                <w:bCs/>
                <w:sz w:val="19"/>
                <w:szCs w:val="19"/>
              </w:rPr>
            </w:pPr>
            <w:r w:rsidRPr="005503EC">
              <w:rPr>
                <w:b/>
                <w:bCs/>
                <w:sz w:val="19"/>
                <w:szCs w:val="19"/>
              </w:rPr>
              <w:t>Republican</w:t>
            </w:r>
          </w:p>
        </w:tc>
        <w:tc>
          <w:tcPr>
            <w:tcW w:w="1300" w:type="dxa"/>
            <w:noWrap/>
            <w:vAlign w:val="center"/>
            <w:hideMark/>
          </w:tcPr>
          <w:p w14:paraId="071AE2C4" w14:textId="77777777" w:rsidR="00414F57" w:rsidRPr="005503EC" w:rsidRDefault="00414F57" w:rsidP="001D2160">
            <w:pPr>
              <w:jc w:val="center"/>
              <w:rPr>
                <w:b/>
                <w:bCs/>
                <w:sz w:val="19"/>
                <w:szCs w:val="19"/>
              </w:rPr>
            </w:pPr>
            <w:r w:rsidRPr="005503EC">
              <w:rPr>
                <w:b/>
                <w:bCs/>
                <w:sz w:val="19"/>
                <w:szCs w:val="19"/>
              </w:rPr>
              <w:t>Democratic</w:t>
            </w:r>
          </w:p>
        </w:tc>
      </w:tr>
      <w:tr w:rsidR="00414F57" w:rsidRPr="00282E09" w14:paraId="13073975" w14:textId="77777777" w:rsidTr="001D2160">
        <w:tc>
          <w:tcPr>
            <w:tcW w:w="1300" w:type="dxa"/>
            <w:noWrap/>
            <w:vAlign w:val="center"/>
            <w:hideMark/>
          </w:tcPr>
          <w:p w14:paraId="456C85B9" w14:textId="77777777" w:rsidR="00414F57" w:rsidRPr="00A11ABD" w:rsidRDefault="00414F57" w:rsidP="00C93FE1">
            <w:pPr>
              <w:rPr>
                <w:bCs/>
                <w:color w:val="000000"/>
                <w:sz w:val="18"/>
                <w:szCs w:val="18"/>
              </w:rPr>
            </w:pPr>
            <w:r w:rsidRPr="00A11ABD">
              <w:rPr>
                <w:bCs/>
                <w:color w:val="000000"/>
                <w:sz w:val="18"/>
                <w:szCs w:val="18"/>
              </w:rPr>
              <w:t>2010</w:t>
            </w:r>
          </w:p>
        </w:tc>
        <w:tc>
          <w:tcPr>
            <w:tcW w:w="1300" w:type="dxa"/>
            <w:noWrap/>
            <w:vAlign w:val="center"/>
            <w:hideMark/>
          </w:tcPr>
          <w:p w14:paraId="6F52F487" w14:textId="77777777" w:rsidR="00414F57" w:rsidRPr="00F8234C" w:rsidRDefault="00414F57">
            <w:pPr>
              <w:jc w:val="center"/>
              <w:rPr>
                <w:bCs/>
                <w:color w:val="000000"/>
                <w:sz w:val="18"/>
                <w:szCs w:val="18"/>
                <w:rPrChange w:id="297" w:author="Kyle Kopko" w:date="2023-06-14T23:06:00Z">
                  <w:rPr>
                    <w:bCs/>
                    <w:color w:val="000000"/>
                    <w:sz w:val="19"/>
                    <w:szCs w:val="19"/>
                  </w:rPr>
                </w:rPrChange>
              </w:rPr>
              <w:pPrChange w:id="298" w:author="Kyle Kopko" w:date="2023-06-14T22:13:00Z">
                <w:pPr/>
              </w:pPrChange>
            </w:pPr>
            <w:r w:rsidRPr="00F8234C">
              <w:rPr>
                <w:bCs/>
                <w:color w:val="000000"/>
                <w:sz w:val="18"/>
                <w:szCs w:val="18"/>
                <w:rPrChange w:id="299" w:author="Kyle Kopko" w:date="2023-06-14T23:06:00Z">
                  <w:rPr>
                    <w:bCs/>
                    <w:color w:val="000000"/>
                    <w:sz w:val="19"/>
                    <w:szCs w:val="19"/>
                  </w:rPr>
                </w:rPrChange>
              </w:rPr>
              <w:t>7 (7)</w:t>
            </w:r>
          </w:p>
        </w:tc>
        <w:tc>
          <w:tcPr>
            <w:tcW w:w="1578" w:type="dxa"/>
            <w:noWrap/>
            <w:vAlign w:val="center"/>
            <w:hideMark/>
          </w:tcPr>
          <w:p w14:paraId="5C7BD594" w14:textId="77777777" w:rsidR="00414F57" w:rsidRPr="00F8234C" w:rsidRDefault="00414F57">
            <w:pPr>
              <w:jc w:val="center"/>
              <w:rPr>
                <w:bCs/>
                <w:color w:val="000000"/>
                <w:sz w:val="18"/>
                <w:szCs w:val="18"/>
                <w:rPrChange w:id="300" w:author="Kyle Kopko" w:date="2023-06-14T23:06:00Z">
                  <w:rPr>
                    <w:bCs/>
                    <w:color w:val="000000"/>
                    <w:sz w:val="19"/>
                    <w:szCs w:val="19"/>
                  </w:rPr>
                </w:rPrChange>
              </w:rPr>
              <w:pPrChange w:id="301" w:author="Kyle Kopko" w:date="2023-06-14T22:13:00Z">
                <w:pPr/>
              </w:pPrChange>
            </w:pPr>
            <w:r w:rsidRPr="00F8234C">
              <w:rPr>
                <w:bCs/>
                <w:color w:val="000000"/>
                <w:sz w:val="18"/>
                <w:szCs w:val="18"/>
                <w:rPrChange w:id="302" w:author="Kyle Kopko" w:date="2023-06-14T23:06:00Z">
                  <w:rPr>
                    <w:bCs/>
                    <w:color w:val="000000"/>
                    <w:sz w:val="19"/>
                    <w:szCs w:val="19"/>
                  </w:rPr>
                </w:rPrChange>
              </w:rPr>
              <w:t>19 (173)</w:t>
            </w:r>
          </w:p>
        </w:tc>
        <w:tc>
          <w:tcPr>
            <w:tcW w:w="1300" w:type="dxa"/>
            <w:noWrap/>
            <w:vAlign w:val="center"/>
            <w:hideMark/>
          </w:tcPr>
          <w:p w14:paraId="15BD7665" w14:textId="77777777" w:rsidR="00414F57" w:rsidRPr="00F8234C" w:rsidRDefault="00414F57">
            <w:pPr>
              <w:jc w:val="center"/>
              <w:rPr>
                <w:bCs/>
                <w:color w:val="000000"/>
                <w:sz w:val="18"/>
                <w:szCs w:val="18"/>
                <w:rPrChange w:id="303" w:author="Kyle Kopko" w:date="2023-06-14T23:06:00Z">
                  <w:rPr>
                    <w:bCs/>
                    <w:color w:val="000000"/>
                    <w:sz w:val="19"/>
                    <w:szCs w:val="19"/>
                  </w:rPr>
                </w:rPrChange>
              </w:rPr>
              <w:pPrChange w:id="304" w:author="Kyle Kopko" w:date="2023-06-14T22:13:00Z">
                <w:pPr/>
              </w:pPrChange>
            </w:pPr>
            <w:r w:rsidRPr="00F8234C">
              <w:rPr>
                <w:bCs/>
                <w:color w:val="000000"/>
                <w:sz w:val="18"/>
                <w:szCs w:val="18"/>
                <w:rPrChange w:id="305" w:author="Kyle Kopko" w:date="2023-06-14T23:06:00Z">
                  <w:rPr>
                    <w:bCs/>
                    <w:color w:val="000000"/>
                    <w:sz w:val="19"/>
                    <w:szCs w:val="19"/>
                  </w:rPr>
                </w:rPrChange>
              </w:rPr>
              <w:t>18 (206)</w:t>
            </w:r>
          </w:p>
        </w:tc>
        <w:tc>
          <w:tcPr>
            <w:tcW w:w="1300" w:type="dxa"/>
            <w:noWrap/>
            <w:vAlign w:val="center"/>
            <w:hideMark/>
          </w:tcPr>
          <w:p w14:paraId="2073BC30" w14:textId="77777777" w:rsidR="00414F57" w:rsidRPr="00F8234C" w:rsidRDefault="00414F57">
            <w:pPr>
              <w:jc w:val="center"/>
              <w:rPr>
                <w:bCs/>
                <w:color w:val="000000"/>
                <w:sz w:val="18"/>
                <w:szCs w:val="18"/>
                <w:rPrChange w:id="306" w:author="Kyle Kopko" w:date="2023-06-14T23:06:00Z">
                  <w:rPr>
                    <w:bCs/>
                    <w:color w:val="000000"/>
                    <w:sz w:val="19"/>
                    <w:szCs w:val="19"/>
                  </w:rPr>
                </w:rPrChange>
              </w:rPr>
              <w:pPrChange w:id="307" w:author="Kyle Kopko" w:date="2023-06-14T22:13:00Z">
                <w:pPr/>
              </w:pPrChange>
            </w:pPr>
            <w:r w:rsidRPr="00F8234C">
              <w:rPr>
                <w:bCs/>
                <w:color w:val="000000"/>
                <w:sz w:val="18"/>
                <w:szCs w:val="18"/>
                <w:rPrChange w:id="308" w:author="Kyle Kopko" w:date="2023-06-14T23:06:00Z">
                  <w:rPr>
                    <w:bCs/>
                    <w:color w:val="000000"/>
                    <w:sz w:val="19"/>
                    <w:szCs w:val="19"/>
                  </w:rPr>
                </w:rPrChange>
              </w:rPr>
              <w:t>6 (44)</w:t>
            </w:r>
          </w:p>
        </w:tc>
      </w:tr>
      <w:tr w:rsidR="00414F57" w:rsidRPr="00282E09" w14:paraId="101480B5" w14:textId="77777777" w:rsidTr="001D2160">
        <w:tc>
          <w:tcPr>
            <w:tcW w:w="1300" w:type="dxa"/>
            <w:noWrap/>
            <w:vAlign w:val="center"/>
            <w:hideMark/>
          </w:tcPr>
          <w:p w14:paraId="173403F0" w14:textId="77777777" w:rsidR="00414F57" w:rsidRPr="00A11ABD" w:rsidRDefault="00414F57" w:rsidP="00C93FE1">
            <w:pPr>
              <w:rPr>
                <w:bCs/>
                <w:color w:val="000000"/>
                <w:sz w:val="18"/>
                <w:szCs w:val="18"/>
              </w:rPr>
            </w:pPr>
            <w:r w:rsidRPr="00A11ABD">
              <w:rPr>
                <w:bCs/>
                <w:color w:val="000000"/>
                <w:sz w:val="18"/>
                <w:szCs w:val="18"/>
              </w:rPr>
              <w:t>2020</w:t>
            </w:r>
          </w:p>
        </w:tc>
        <w:tc>
          <w:tcPr>
            <w:tcW w:w="1300" w:type="dxa"/>
            <w:noWrap/>
            <w:vAlign w:val="center"/>
            <w:hideMark/>
          </w:tcPr>
          <w:p w14:paraId="4187DE23" w14:textId="77777777" w:rsidR="00414F57" w:rsidRPr="00F8234C" w:rsidRDefault="00414F57">
            <w:pPr>
              <w:jc w:val="center"/>
              <w:rPr>
                <w:bCs/>
                <w:color w:val="000000"/>
                <w:sz w:val="18"/>
                <w:szCs w:val="18"/>
                <w:rPrChange w:id="309" w:author="Kyle Kopko" w:date="2023-06-14T23:06:00Z">
                  <w:rPr>
                    <w:bCs/>
                    <w:color w:val="000000"/>
                    <w:sz w:val="19"/>
                    <w:szCs w:val="19"/>
                  </w:rPr>
                </w:rPrChange>
              </w:rPr>
              <w:pPrChange w:id="310" w:author="Kyle Kopko" w:date="2023-06-14T22:13:00Z">
                <w:pPr/>
              </w:pPrChange>
            </w:pPr>
            <w:r w:rsidRPr="00F8234C">
              <w:rPr>
                <w:bCs/>
                <w:color w:val="000000"/>
                <w:sz w:val="18"/>
                <w:szCs w:val="18"/>
                <w:rPrChange w:id="311" w:author="Kyle Kopko" w:date="2023-06-14T23:06:00Z">
                  <w:rPr>
                    <w:bCs/>
                    <w:color w:val="000000"/>
                    <w:sz w:val="19"/>
                    <w:szCs w:val="19"/>
                  </w:rPr>
                </w:rPrChange>
              </w:rPr>
              <w:t>6 (6)</w:t>
            </w:r>
          </w:p>
        </w:tc>
        <w:tc>
          <w:tcPr>
            <w:tcW w:w="1578" w:type="dxa"/>
            <w:noWrap/>
            <w:vAlign w:val="center"/>
            <w:hideMark/>
          </w:tcPr>
          <w:p w14:paraId="1461B74A" w14:textId="77777777" w:rsidR="00414F57" w:rsidRPr="00F8234C" w:rsidRDefault="00414F57">
            <w:pPr>
              <w:jc w:val="center"/>
              <w:rPr>
                <w:bCs/>
                <w:color w:val="000000"/>
                <w:sz w:val="18"/>
                <w:szCs w:val="18"/>
                <w:rPrChange w:id="312" w:author="Kyle Kopko" w:date="2023-06-14T23:06:00Z">
                  <w:rPr>
                    <w:bCs/>
                    <w:color w:val="000000"/>
                    <w:sz w:val="19"/>
                    <w:szCs w:val="19"/>
                  </w:rPr>
                </w:rPrChange>
              </w:rPr>
              <w:pPrChange w:id="313" w:author="Kyle Kopko" w:date="2023-06-14T22:13:00Z">
                <w:pPr/>
              </w:pPrChange>
            </w:pPr>
            <w:r w:rsidRPr="00F8234C">
              <w:rPr>
                <w:bCs/>
                <w:color w:val="000000"/>
                <w:sz w:val="18"/>
                <w:szCs w:val="18"/>
                <w:rPrChange w:id="314" w:author="Kyle Kopko" w:date="2023-06-14T23:06:00Z">
                  <w:rPr>
                    <w:bCs/>
                    <w:color w:val="000000"/>
                    <w:sz w:val="19"/>
                    <w:szCs w:val="19"/>
                  </w:rPr>
                </w:rPrChange>
              </w:rPr>
              <w:t>17 (171)</w:t>
            </w:r>
          </w:p>
        </w:tc>
        <w:tc>
          <w:tcPr>
            <w:tcW w:w="1300" w:type="dxa"/>
            <w:noWrap/>
            <w:vAlign w:val="center"/>
            <w:hideMark/>
          </w:tcPr>
          <w:p w14:paraId="03C14BCE" w14:textId="77777777" w:rsidR="00414F57" w:rsidRPr="00F8234C" w:rsidRDefault="00414F57">
            <w:pPr>
              <w:jc w:val="center"/>
              <w:rPr>
                <w:bCs/>
                <w:color w:val="000000"/>
                <w:sz w:val="18"/>
                <w:szCs w:val="18"/>
                <w:rPrChange w:id="315" w:author="Kyle Kopko" w:date="2023-06-14T23:06:00Z">
                  <w:rPr>
                    <w:bCs/>
                    <w:color w:val="000000"/>
                    <w:sz w:val="19"/>
                    <w:szCs w:val="19"/>
                  </w:rPr>
                </w:rPrChange>
              </w:rPr>
              <w:pPrChange w:id="316" w:author="Kyle Kopko" w:date="2023-06-14T22:13:00Z">
                <w:pPr/>
              </w:pPrChange>
            </w:pPr>
            <w:r w:rsidRPr="00F8234C">
              <w:rPr>
                <w:bCs/>
                <w:color w:val="000000"/>
                <w:sz w:val="18"/>
                <w:szCs w:val="18"/>
                <w:rPrChange w:id="317" w:author="Kyle Kopko" w:date="2023-06-14T23:06:00Z">
                  <w:rPr>
                    <w:bCs/>
                    <w:color w:val="000000"/>
                    <w:sz w:val="19"/>
                    <w:szCs w:val="19"/>
                  </w:rPr>
                </w:rPrChange>
              </w:rPr>
              <w:t>19 (183)</w:t>
            </w:r>
          </w:p>
        </w:tc>
        <w:tc>
          <w:tcPr>
            <w:tcW w:w="1300" w:type="dxa"/>
            <w:noWrap/>
            <w:vAlign w:val="center"/>
            <w:hideMark/>
          </w:tcPr>
          <w:p w14:paraId="2985E0F9" w14:textId="77777777" w:rsidR="00414F57" w:rsidRPr="00F8234C" w:rsidRDefault="00414F57">
            <w:pPr>
              <w:jc w:val="center"/>
              <w:rPr>
                <w:bCs/>
                <w:color w:val="000000"/>
                <w:sz w:val="18"/>
                <w:szCs w:val="18"/>
                <w:rPrChange w:id="318" w:author="Kyle Kopko" w:date="2023-06-14T23:06:00Z">
                  <w:rPr>
                    <w:bCs/>
                    <w:color w:val="000000"/>
                    <w:sz w:val="19"/>
                    <w:szCs w:val="19"/>
                  </w:rPr>
                </w:rPrChange>
              </w:rPr>
              <w:pPrChange w:id="319" w:author="Kyle Kopko" w:date="2023-06-14T22:13:00Z">
                <w:pPr/>
              </w:pPrChange>
            </w:pPr>
            <w:r w:rsidRPr="00F8234C">
              <w:rPr>
                <w:bCs/>
                <w:color w:val="000000"/>
                <w:sz w:val="18"/>
                <w:szCs w:val="18"/>
                <w:rPrChange w:id="320" w:author="Kyle Kopko" w:date="2023-06-14T23:06:00Z">
                  <w:rPr>
                    <w:bCs/>
                    <w:color w:val="000000"/>
                    <w:sz w:val="19"/>
                    <w:szCs w:val="19"/>
                  </w:rPr>
                </w:rPrChange>
              </w:rPr>
              <w:t>8 (75)</w:t>
            </w:r>
          </w:p>
        </w:tc>
      </w:tr>
    </w:tbl>
    <w:p w14:paraId="7D9A67D5" w14:textId="77777777" w:rsidR="00414F57" w:rsidRPr="00A11ABD" w:rsidRDefault="00414F57" w:rsidP="00A11ABD">
      <w:pPr>
        <w:pStyle w:val="BodyText"/>
        <w:ind w:firstLine="0"/>
        <w:rPr>
          <w:sz w:val="19"/>
          <w:szCs w:val="22"/>
        </w:rPr>
      </w:pPr>
      <w:r w:rsidRPr="00A11ABD">
        <w:rPr>
          <w:sz w:val="19"/>
          <w:szCs w:val="22"/>
        </w:rPr>
        <w:t xml:space="preserve">NOTE: Totals calculated by determining which institution had control over the process.  </w:t>
      </w:r>
      <w:r w:rsidRPr="00A11ABD">
        <w:rPr>
          <w:bCs/>
          <w:sz w:val="19"/>
          <w:szCs w:val="22"/>
        </w:rPr>
        <w:t>We take party control in 2020 to be found in legislatures that</w:t>
      </w:r>
      <w:r w:rsidRPr="00A11ABD">
        <w:rPr>
          <w:b/>
          <w:sz w:val="19"/>
          <w:szCs w:val="22"/>
        </w:rPr>
        <w:t xml:space="preserve"> </w:t>
      </w:r>
      <w:r w:rsidRPr="00A11ABD">
        <w:rPr>
          <w:sz w:val="19"/>
          <w:szCs w:val="22"/>
        </w:rPr>
        <w:t>have supermajorities that create veto-proof majorities (Maryland, Massachusetts) or when commissions can be superseded by the Legislature (Ohio, New York).</w:t>
      </w:r>
      <w:r w:rsidRPr="00A11ABD">
        <w:rPr>
          <w:rStyle w:val="FootnoteReference"/>
          <w:sz w:val="19"/>
          <w:szCs w:val="22"/>
        </w:rPr>
        <w:footnoteReference w:id="138"/>
      </w:r>
    </w:p>
    <w:p w14:paraId="278E4C8B" w14:textId="77777777" w:rsidR="00414F57" w:rsidRDefault="00414F57" w:rsidP="00212B79">
      <w:pPr>
        <w:pStyle w:val="BodyText"/>
      </w:pPr>
    </w:p>
    <w:p w14:paraId="191B3535" w14:textId="791CB093" w:rsidR="00414F57" w:rsidRDefault="00414F57" w:rsidP="00212B79">
      <w:pPr>
        <w:pStyle w:val="BodyText"/>
      </w:pPr>
      <w:r>
        <w:t xml:space="preserve">What we see is that for the 2020 cycle, the Democrats controlled the process in </w:t>
      </w:r>
      <w:del w:id="328" w:author="Jonathan Cervas" w:date="2023-06-22T12:34:00Z">
        <w:r w:rsidDel="00BB018C">
          <w:delText xml:space="preserve">just </w:delText>
        </w:r>
      </w:del>
      <w:r>
        <w:t>eight states. In those eight states, there is a total of seventy-five districts.  This was an increase from forty-four in the previous decade. Republicans had control in the other nineteen states.  Here, there are 18</w:t>
      </w:r>
      <w:ins w:id="329" w:author="Jonathan Cervas" w:date="2023-06-22T12:44:00Z">
        <w:r w:rsidR="000737BD">
          <w:t>3</w:t>
        </w:r>
      </w:ins>
      <w:del w:id="330" w:author="Jonathan Cervas" w:date="2023-06-22T12:44:00Z">
        <w:r w:rsidDel="000737BD">
          <w:delText>9</w:delText>
        </w:r>
      </w:del>
      <w:r>
        <w:t xml:space="preserve"> districts.  This is a decrease from the 206 districts of the previous decade. </w:t>
      </w:r>
    </w:p>
    <w:p w14:paraId="43D4FB62" w14:textId="77777777" w:rsidR="00414F57" w:rsidRPr="00282E09" w:rsidRDefault="00414F57" w:rsidP="00212B79">
      <w:pPr>
        <w:pStyle w:val="BodyText"/>
      </w:pPr>
      <w:r w:rsidRPr="006373AC">
        <w:lastRenderedPageBreak/>
        <w:t>Critical for understanding the 2020 cycle is to notice that both the total number of states where the process was controlled by just one party increased and the number of congressional seats allocated under one</w:t>
      </w:r>
      <w:r w:rsidRPr="00F912CF">
        <w:t>-</w:t>
      </w:r>
      <w:r w:rsidRPr="006373AC">
        <w:t>party control increased, but the relative advantage of Republicans declined</w:t>
      </w:r>
      <w:r>
        <w:t xml:space="preserve">.  </w:t>
      </w:r>
      <w:r w:rsidRPr="006373AC">
        <w:t xml:space="preserve">Republicans </w:t>
      </w:r>
      <w:r>
        <w:t xml:space="preserve">gained a state under </w:t>
      </w:r>
      <w:r w:rsidRPr="006373AC">
        <w:t>ful</w:t>
      </w:r>
      <w:r>
        <w:t>l party</w:t>
      </w:r>
      <w:r w:rsidRPr="006373AC">
        <w:t xml:space="preserve"> control</w:t>
      </w:r>
      <w:r>
        <w:t xml:space="preserve"> between 2010 and 2020, but Democrats gained two states.</w:t>
      </w:r>
      <w:r w:rsidRPr="0078695B">
        <w:rPr>
          <w:rStyle w:val="FootnoteReference"/>
        </w:rPr>
        <w:footnoteReference w:id="139"/>
      </w:r>
      <w:r>
        <w:t xml:space="preserve">  More importantly</w:t>
      </w:r>
      <w:r w:rsidRPr="006373AC">
        <w:t>, the</w:t>
      </w:r>
      <w:r>
        <w:t xml:space="preserve"> states in which the Democrats controlled the process changed, e.g., gaining control in large state New York, and losing control in small state West Virginia.</w:t>
      </w:r>
      <w:r w:rsidRPr="0078695B">
        <w:rPr>
          <w:rStyle w:val="FootnoteReference"/>
        </w:rPr>
        <w:footnoteReference w:id="140"/>
      </w:r>
    </w:p>
    <w:p w14:paraId="533FC4BF" w14:textId="5866AD47" w:rsidR="008D703D" w:rsidRDefault="008D703D" w:rsidP="00212B79">
      <w:pPr>
        <w:pStyle w:val="Heading2"/>
      </w:pPr>
      <w:bookmarkStart w:id="334" w:name="_Toc138947180"/>
      <w:r>
        <w:t>Comparing Outcomes in Congressional Districts Before and After Redistricting</w:t>
      </w:r>
      <w:bookmarkEnd w:id="334"/>
    </w:p>
    <w:p w14:paraId="25205746" w14:textId="77777777" w:rsidR="00D625DD" w:rsidRDefault="00D625DD" w:rsidP="00212B79">
      <w:pPr>
        <w:pStyle w:val="BodyText"/>
      </w:pPr>
      <w:r>
        <w:t>First</w:t>
      </w:r>
      <w:r w:rsidRPr="009E2F11">
        <w:t>,</w:t>
      </w:r>
      <w:r w:rsidRPr="002474A2">
        <w:t xml:space="preserve"> we must</w:t>
      </w:r>
      <w:r>
        <w:t xml:space="preserve"> </w:t>
      </w:r>
      <w:r w:rsidRPr="002474A2">
        <w:t xml:space="preserve">recognize that the total number of districts in each state </w:t>
      </w:r>
      <w:r w:rsidRPr="00F912CF">
        <w:t>was</w:t>
      </w:r>
      <w:r w:rsidRPr="002474A2">
        <w:t xml:space="preserve"> affected by apportionment.</w:t>
      </w:r>
      <w:r>
        <w:t xml:space="preserve"> </w:t>
      </w:r>
      <w:r w:rsidRPr="002474A2">
        <w:t>Texas led the country with relative population gain between 2010 and 2020 and gained two seats in the House of Representatives.</w:t>
      </w:r>
      <w:r>
        <w:t xml:space="preserve"> </w:t>
      </w:r>
      <w:r w:rsidRPr="002474A2">
        <w:t>Montana added a second seat, and Florida, North Carolina, Oregon, and Colorado all added another seat.</w:t>
      </w:r>
      <w:r>
        <w:t xml:space="preserve"> </w:t>
      </w:r>
      <w:r w:rsidRPr="002474A2">
        <w:t>California, New York, Illinois, Michigan, Ohio, Pennsylvania, and West Virginia all lost one seat.</w:t>
      </w:r>
      <w:r w:rsidRPr="0078695B">
        <w:rPr>
          <w:rStyle w:val="FootnoteReference"/>
        </w:rPr>
        <w:footnoteReference w:id="141"/>
      </w:r>
      <w:r>
        <w:rPr>
          <w:sz w:val="22"/>
          <w:szCs w:val="22"/>
        </w:rPr>
        <w:t xml:space="preserve"> </w:t>
      </w:r>
    </w:p>
    <w:p w14:paraId="64C0E95A" w14:textId="77777777" w:rsidR="00D625DD" w:rsidRPr="00790D65" w:rsidRDefault="00D625DD" w:rsidP="00212B79">
      <w:pPr>
        <w:pStyle w:val="BodyText"/>
        <w:rPr>
          <w:szCs w:val="22"/>
        </w:rPr>
      </w:pPr>
      <w:r>
        <w:t>A simple calculation can be made to help determine the independent effect of apportionment and redistricting on the balance of power in the U.S House</w:t>
      </w:r>
      <w:r w:rsidRPr="00790D65">
        <w:t>.</w:t>
      </w:r>
      <w:r>
        <w:t xml:space="preserve"> </w:t>
      </w:r>
      <w:r w:rsidRPr="00790D65">
        <w:t>We can look at how many congressional districts a national candidate</w:t>
      </w:r>
      <w:r>
        <w:t xml:space="preserve"> — </w:t>
      </w:r>
      <w:r w:rsidRPr="00790D65">
        <w:t>here</w:t>
      </w:r>
      <w:r w:rsidRPr="00F912CF">
        <w:t>,</w:t>
      </w:r>
      <w:r w:rsidRPr="00790D65">
        <w:t xml:space="preserve"> President Biden ca. 2020</w:t>
      </w:r>
      <w:r>
        <w:t xml:space="preserve"> </w:t>
      </w:r>
      <w:r w:rsidRPr="008C2EA2">
        <w:t>—</w:t>
      </w:r>
      <w:r w:rsidRPr="00790D65">
        <w:t xml:space="preserve"> did win under one set of maps and compare those results to Biden’s 2020 votes projected into the 2022 districts.</w:t>
      </w:r>
      <w:r w:rsidRPr="000A7806">
        <w:rPr>
          <w:rStyle w:val="FootnoteReference"/>
        </w:rPr>
        <w:t xml:space="preserve"> </w:t>
      </w:r>
      <w:r w:rsidRPr="00790D65">
        <w:rPr>
          <w:szCs w:val="22"/>
        </w:rPr>
        <w:t>This simple analysis leaves aside very important considerations that would affect who wins in specific districts, such as incumbency effects, candidate quality, and the effect of campaigns.</w:t>
      </w:r>
      <w:r>
        <w:rPr>
          <w:szCs w:val="22"/>
        </w:rPr>
        <w:t xml:space="preserve">  </w:t>
      </w:r>
      <w:r w:rsidRPr="00790D65">
        <w:rPr>
          <w:szCs w:val="22"/>
        </w:rPr>
        <w:t xml:space="preserve">But the benefit of this apples-to-apples comparison is that it shows, using the </w:t>
      </w:r>
      <w:r w:rsidRPr="00FB52C4">
        <w:t>same</w:t>
      </w:r>
      <w:r w:rsidRPr="00790D65">
        <w:rPr>
          <w:szCs w:val="22"/>
        </w:rPr>
        <w:t xml:space="preserve"> nationwide election, the difference between the old and new lines.</w:t>
      </w:r>
    </w:p>
    <w:p w14:paraId="57C50220" w14:textId="77777777" w:rsidR="00D625DD" w:rsidRPr="002C4796" w:rsidRDefault="00D625DD" w:rsidP="00212B79">
      <w:pPr>
        <w:pStyle w:val="BodyText"/>
        <w:rPr>
          <w:bCs/>
        </w:rPr>
      </w:pPr>
      <w:r>
        <w:t xml:space="preserve">Using the congressional district lines </w:t>
      </w:r>
      <w:r w:rsidRPr="001F319C">
        <w:rPr>
          <w:bCs/>
        </w:rPr>
        <w:t>from 2020,</w:t>
      </w:r>
      <w:r>
        <w:t xml:space="preserve"> </w:t>
      </w:r>
      <w:r w:rsidRPr="001F319C">
        <w:t>Donald Trump carried 210 districts</w:t>
      </w:r>
      <w:r w:rsidRPr="00F912CF">
        <w:t>,</w:t>
      </w:r>
      <w:r w:rsidRPr="001F319C">
        <w:t xml:space="preserve"> and Joe Biden carried the other 225.</w:t>
      </w:r>
      <w:r w:rsidRPr="0078695B">
        <w:rPr>
          <w:rStyle w:val="FootnoteReference"/>
        </w:rPr>
        <w:footnoteReference w:id="142"/>
      </w:r>
      <w:r>
        <w:t xml:space="preserve">  </w:t>
      </w:r>
      <w:r w:rsidRPr="001F319C">
        <w:t>Un</w:t>
      </w:r>
      <w:r>
        <w:t xml:space="preserve">der the district lines drawn for use in the 2022 election, which includes the apportionment changes above, Trump would have carried </w:t>
      </w:r>
      <w:r w:rsidRPr="002A77A1">
        <w:t>209 districts and</w:t>
      </w:r>
      <w:r>
        <w:t xml:space="preserve"> Biden 226.</w:t>
      </w:r>
      <w:r w:rsidRPr="0078695B">
        <w:rPr>
          <w:rStyle w:val="FootnoteReference"/>
        </w:rPr>
        <w:footnoteReference w:id="143"/>
      </w:r>
      <w:r>
        <w:t xml:space="preserve">  Only </w:t>
      </w:r>
      <w:r w:rsidRPr="007F4A42">
        <w:rPr>
          <w:u w:val="single"/>
        </w:rPr>
        <w:t>one</w:t>
      </w:r>
      <w:r>
        <w:t xml:space="preserve"> seat would have changed party based solely on </w:t>
      </w:r>
      <w:r>
        <w:lastRenderedPageBreak/>
        <w:t>these changes.</w:t>
      </w:r>
      <w:r w:rsidRPr="0078695B">
        <w:rPr>
          <w:rStyle w:val="FootnoteReference"/>
        </w:rPr>
        <w:footnoteReference w:id="144"/>
      </w:r>
      <w:r>
        <w:t xml:space="preserve">  That seat benefited the Democrats.  </w:t>
      </w:r>
      <w:r w:rsidRPr="002C4796">
        <w:rPr>
          <w:bCs/>
        </w:rPr>
        <w:t>Thus, redistricting and apportionment itself did not have a large effect on the outcomes in Congress as judged by projecting 2020 presidential results into the new districts.</w:t>
      </w:r>
    </w:p>
    <w:p w14:paraId="3BEF7D10" w14:textId="77777777" w:rsidR="00D625DD" w:rsidRPr="002C4796" w:rsidRDefault="00D625DD" w:rsidP="00212B79">
      <w:pPr>
        <w:pStyle w:val="BodyText"/>
      </w:pPr>
      <w:r w:rsidRPr="001F0BCD">
        <w:t>However</w:t>
      </w:r>
      <w:r w:rsidRPr="002C4796">
        <w:t xml:space="preserve">, </w:t>
      </w:r>
      <w:r w:rsidRPr="001F0BCD">
        <w:t xml:space="preserve">the 2020 presidential contests </w:t>
      </w:r>
      <w:r w:rsidRPr="002C4796">
        <w:t>were only partly predictive of what happened in 2020 at the congressional level</w:t>
      </w:r>
      <w:r>
        <w:t xml:space="preserve">.  The differences between the 2020 presidential election and the 2022 midterm election are even more apparent </w:t>
      </w:r>
      <w:r w:rsidRPr="002C4796">
        <w:t xml:space="preserve">because there was a midterm tide toward the Republicans in </w:t>
      </w:r>
      <w:r>
        <w:t>some</w:t>
      </w:r>
      <w:r w:rsidRPr="002C4796">
        <w:t xml:space="preserve"> states</w:t>
      </w:r>
      <w:r>
        <w:t xml:space="preserve"> and toward Democrats in other states</w:t>
      </w:r>
      <w:r w:rsidRPr="002C4796">
        <w:t>.</w:t>
      </w:r>
      <w:bookmarkStart w:id="335" w:name="_Ref138948713"/>
      <w:r w:rsidRPr="0078695B">
        <w:rPr>
          <w:rStyle w:val="FootnoteReference"/>
        </w:rPr>
        <w:footnoteReference w:id="145"/>
      </w:r>
      <w:bookmarkEnd w:id="335"/>
      <w:r>
        <w:t xml:space="preserve">  </w:t>
      </w:r>
      <w:r w:rsidRPr="002C4796">
        <w:t>Nonetheless, the net aggregate combined effects of redistricting and apportionment on partisan outcomes were largely a wash.</w:t>
      </w:r>
      <w:r w:rsidRPr="00F7134C">
        <w:rPr>
          <w:rStyle w:val="FootnoteReference"/>
        </w:rPr>
        <w:t xml:space="preserve"> </w:t>
      </w:r>
      <w:r w:rsidRPr="0078695B">
        <w:rPr>
          <w:rStyle w:val="FootnoteReference"/>
        </w:rPr>
        <w:footnoteReference w:id="146"/>
      </w:r>
    </w:p>
    <w:p w14:paraId="6D9D96D1" w14:textId="77777777" w:rsidR="00D625DD" w:rsidRDefault="00D625DD" w:rsidP="00212B79">
      <w:pPr>
        <w:pStyle w:val="BodyText"/>
      </w:pPr>
      <w:r w:rsidRPr="002C4796">
        <w:t>If we fine-tune the analysis to the state level, a more nuanced picture emerges from our projections.</w:t>
      </w:r>
      <w:r>
        <w:t xml:space="preserve">  </w:t>
      </w:r>
      <w:r w:rsidRPr="002C4796">
        <w:t xml:space="preserve">Trump gained one additional seat in each of Georgia, Missouri, Montana, and Tennessee. In Texas, three Trump seats were added. </w:t>
      </w:r>
      <w:r>
        <w:t xml:space="preserve"> </w:t>
      </w:r>
      <w:r w:rsidRPr="002C4796">
        <w:t>In Florida, Trump gained a plurality</w:t>
      </w:r>
      <w:r>
        <w:t xml:space="preserve"> in five additional districts.  Biden added to his tally in several states, including one seat in each of Colorado, Michigan, New </w:t>
      </w:r>
      <w:r w:rsidRPr="00507AB8">
        <w:t>Jersey, New Mexico, New York, and Oregon.</w:t>
      </w:r>
      <w:r>
        <w:t xml:space="preserve">  </w:t>
      </w:r>
      <w:r w:rsidRPr="00507AB8">
        <w:t>He also would have added two seats in Illinois and North Carolina using the projected presidential results.</w:t>
      </w:r>
      <w:commentRangeStart w:id="336"/>
      <w:commentRangeStart w:id="337"/>
      <w:r w:rsidRPr="0078695B">
        <w:rPr>
          <w:rStyle w:val="FootnoteReference"/>
        </w:rPr>
        <w:footnoteReference w:id="147"/>
      </w:r>
      <w:commentRangeEnd w:id="336"/>
      <w:r w:rsidR="00C9357C">
        <w:rPr>
          <w:rStyle w:val="CommentReference"/>
          <w:szCs w:val="20"/>
        </w:rPr>
        <w:commentReference w:id="336"/>
      </w:r>
      <w:commentRangeEnd w:id="337"/>
      <w:r w:rsidR="00C9357C">
        <w:rPr>
          <w:rStyle w:val="CommentReference"/>
          <w:szCs w:val="20"/>
        </w:rPr>
        <w:commentReference w:id="337"/>
      </w:r>
      <w:r w:rsidRPr="002474A2">
        <w:rPr>
          <w:b/>
        </w:rPr>
        <w:t xml:space="preserve"> </w:t>
      </w:r>
    </w:p>
    <w:p w14:paraId="1FCE5E19" w14:textId="38AAB960" w:rsidR="000D4B59" w:rsidDel="00C9357C" w:rsidRDefault="00D625DD" w:rsidP="00212B79">
      <w:pPr>
        <w:pStyle w:val="BodyText"/>
        <w:rPr>
          <w:del w:id="339" w:author="Jonathan Cervas" w:date="2023-06-22T15:52:00Z"/>
        </w:rPr>
      </w:pPr>
      <w:r w:rsidRPr="00FB61B1">
        <w:fldChar w:fldCharType="begin"/>
      </w:r>
      <w:r w:rsidRPr="00F912CF">
        <w:instrText xml:space="preserve"> REF _Ref123165901 \h  \* MERGEFORMAT </w:instrText>
      </w:r>
      <w:r w:rsidRPr="00FB61B1">
        <w:fldChar w:fldCharType="separate"/>
      </w:r>
      <w:r>
        <w:t xml:space="preserve">Table </w:t>
      </w:r>
      <w:r>
        <w:rPr>
          <w:noProof/>
        </w:rPr>
        <w:t>3</w:t>
      </w:r>
      <w:r w:rsidRPr="00FB61B1">
        <w:fldChar w:fldCharType="end"/>
      </w:r>
      <w:r>
        <w:t xml:space="preserve"> shows this data.  We show only the states in which there was a change in the number of districts won by Trump/Biden because of the new maps. The column labeled “Total Number of Districts” shows the change in seats resulting from apportionment.  The district totals for the “OLD MAPS” are actual results for the 2020 presidential election, and the </w:t>
      </w:r>
      <w:r>
        <w:lastRenderedPageBreak/>
        <w:t>totals for the “NEW MAPS” are the results of the 2020 election projected into the districts used in the 2022 election.  S</w:t>
      </w:r>
      <w:r w:rsidRPr="007A51D4">
        <w:t xml:space="preserve">tate courts in several states </w:t>
      </w:r>
      <w:r w:rsidRPr="00F912CF">
        <w:t>ha</w:t>
      </w:r>
      <w:r>
        <w:t>d</w:t>
      </w:r>
      <w:r w:rsidRPr="00F912CF">
        <w:t xml:space="preserve"> </w:t>
      </w:r>
      <w:r>
        <w:t xml:space="preserve">already acted </w:t>
      </w:r>
      <w:r w:rsidRPr="007A51D4">
        <w:t>to strike down plans as gerrymanders</w:t>
      </w:r>
      <w:r>
        <w:t xml:space="preserve"> and replace them with court-drawn plans</w:t>
      </w:r>
      <w:r w:rsidRPr="007A51D4">
        <w:t>.</w:t>
      </w:r>
      <w:commentRangeStart w:id="340"/>
      <w:r w:rsidRPr="0078695B">
        <w:rPr>
          <w:rStyle w:val="FootnoteReference"/>
        </w:rPr>
        <w:footnoteReference w:id="148"/>
      </w:r>
      <w:commentRangeEnd w:id="340"/>
      <w:r>
        <w:rPr>
          <w:rStyle w:val="CommentReference"/>
        </w:rPr>
        <w:commentReference w:id="340"/>
      </w:r>
      <w:r>
        <w:t xml:space="preserve">  </w:t>
      </w:r>
      <w:r w:rsidRPr="007A51D4">
        <w:t xml:space="preserve">Thus, </w:t>
      </w:r>
      <w:r>
        <w:t xml:space="preserve">we </w:t>
      </w:r>
      <w:r w:rsidRPr="007A51D4">
        <w:t xml:space="preserve">use this simple analysis </w:t>
      </w:r>
      <w:r>
        <w:t>to make</w:t>
      </w:r>
      <w:r w:rsidRPr="007A51D4">
        <w:t xml:space="preserve"> comparisons between actual outcomes in 2020 and projected outcomes in 2022.</w:t>
      </w:r>
      <w:r w:rsidRPr="0078695B">
        <w:rPr>
          <w:rStyle w:val="FootnoteReference"/>
        </w:rPr>
        <w:footnoteReference w:id="149"/>
      </w:r>
    </w:p>
    <w:p w14:paraId="54902365" w14:textId="4CA0E31D" w:rsidR="000D4B59" w:rsidRDefault="000D4B59">
      <w:pPr>
        <w:pStyle w:val="BodyText"/>
        <w:ind w:firstLine="0"/>
        <w:pPrChange w:id="343" w:author="Jonathan Cervas" w:date="2023-06-22T15:52:00Z">
          <w:pPr/>
        </w:pPrChange>
      </w:pPr>
      <w:del w:id="344" w:author="Jonathan Cervas" w:date="2023-06-22T15:52:00Z">
        <w:r w:rsidDel="00C9357C">
          <w:br w:type="page"/>
        </w:r>
      </w:del>
    </w:p>
    <w:p w14:paraId="3E067768" w14:textId="0117BA6A" w:rsidR="000D4B59" w:rsidRDefault="000D4B59" w:rsidP="00CB0D01">
      <w:pPr>
        <w:pStyle w:val="BodyText"/>
        <w:ind w:left="-90" w:firstLine="0"/>
        <w:rPr>
          <w:b/>
          <w:bCs/>
        </w:rPr>
      </w:pPr>
      <w:bookmarkStart w:id="345" w:name="_Ref123165901"/>
      <w:bookmarkStart w:id="346" w:name="_Ref123137150"/>
      <w:commentRangeStart w:id="347"/>
      <w:commentRangeStart w:id="348"/>
      <w:commentRangeStart w:id="349"/>
      <w:r w:rsidRPr="009E091B">
        <w:rPr>
          <w:b/>
          <w:bCs/>
          <w:i/>
          <w:iCs/>
        </w:rPr>
        <w:lastRenderedPageBreak/>
        <w:t xml:space="preserve">Table </w:t>
      </w:r>
      <w:r w:rsidRPr="009E091B">
        <w:rPr>
          <w:b/>
          <w:bCs/>
          <w:i/>
          <w:iCs/>
        </w:rPr>
        <w:fldChar w:fldCharType="begin"/>
      </w:r>
      <w:r w:rsidRPr="009E091B">
        <w:rPr>
          <w:b/>
          <w:bCs/>
          <w:i/>
          <w:iCs/>
        </w:rPr>
        <w:instrText xml:space="preserve"> SEQ Table \* ARABIC </w:instrText>
      </w:r>
      <w:r w:rsidRPr="009E091B">
        <w:rPr>
          <w:b/>
          <w:bCs/>
          <w:i/>
          <w:iCs/>
        </w:rPr>
        <w:fldChar w:fldCharType="separate"/>
      </w:r>
      <w:r w:rsidRPr="009E091B">
        <w:rPr>
          <w:b/>
          <w:bCs/>
          <w:i/>
          <w:iCs/>
          <w:noProof/>
        </w:rPr>
        <w:t>3</w:t>
      </w:r>
      <w:r w:rsidRPr="009E091B">
        <w:rPr>
          <w:b/>
          <w:bCs/>
          <w:i/>
          <w:iCs/>
          <w:noProof/>
        </w:rPr>
        <w:fldChar w:fldCharType="end"/>
      </w:r>
      <w:bookmarkEnd w:id="345"/>
      <w:commentRangeEnd w:id="347"/>
      <w:r w:rsidR="00B50363">
        <w:rPr>
          <w:rStyle w:val="CommentReference"/>
          <w:szCs w:val="20"/>
        </w:rPr>
        <w:commentReference w:id="347"/>
      </w:r>
      <w:r w:rsidRPr="009E091B">
        <w:rPr>
          <w:b/>
          <w:bCs/>
          <w:i/>
          <w:iCs/>
        </w:rPr>
        <w:t>.</w:t>
      </w:r>
      <w:r w:rsidRPr="009E091B">
        <w:rPr>
          <w:b/>
          <w:bCs/>
        </w:rPr>
        <w:t xml:space="preserve"> Change in Congressional Districts by Party Using Projected or Actual 2020 Presidential Votes</w:t>
      </w:r>
      <w:bookmarkEnd w:id="346"/>
      <w:commentRangeEnd w:id="348"/>
      <w:r w:rsidR="00C532D6">
        <w:rPr>
          <w:rStyle w:val="CommentReference"/>
          <w:szCs w:val="20"/>
        </w:rPr>
        <w:commentReference w:id="348"/>
      </w:r>
      <w:commentRangeEnd w:id="349"/>
      <w:r w:rsidR="008B4EBD">
        <w:rPr>
          <w:rStyle w:val="CommentReference"/>
          <w:szCs w:val="20"/>
        </w:rPr>
        <w:commentReference w:id="349"/>
      </w:r>
    </w:p>
    <w:p w14:paraId="59210C62" w14:textId="77777777" w:rsidR="00374393" w:rsidRPr="009E091B" w:rsidRDefault="00374393" w:rsidP="00CB0D01">
      <w:pPr>
        <w:pStyle w:val="BodyText"/>
        <w:ind w:left="-90" w:firstLine="0"/>
        <w:rPr>
          <w:b/>
          <w:bCs/>
        </w:rPr>
      </w:pPr>
    </w:p>
    <w:tbl>
      <w:tblPr>
        <w:tblW w:w="50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1001"/>
        <w:gridCol w:w="966"/>
        <w:gridCol w:w="954"/>
        <w:gridCol w:w="1001"/>
        <w:gridCol w:w="966"/>
        <w:gridCol w:w="954"/>
      </w:tblGrid>
      <w:tr w:rsidR="000D4B59" w:rsidRPr="00F8621C" w14:paraId="541D9B0C" w14:textId="77777777" w:rsidTr="00676885">
        <w:trPr>
          <w:trHeight w:val="209"/>
          <w:jc w:val="center"/>
        </w:trPr>
        <w:tc>
          <w:tcPr>
            <w:tcW w:w="1363" w:type="dxa"/>
            <w:tcBorders>
              <w:top w:val="nil"/>
              <w:left w:val="nil"/>
            </w:tcBorders>
            <w:shd w:val="clear" w:color="auto" w:fill="auto"/>
            <w:noWrap/>
            <w:vAlign w:val="center"/>
            <w:hideMark/>
          </w:tcPr>
          <w:p w14:paraId="3AC74ADD" w14:textId="77777777" w:rsidR="000D4B59" w:rsidRPr="00B82F6C" w:rsidRDefault="000D4B59" w:rsidP="005B1794">
            <w:pPr>
              <w:spacing w:line="480" w:lineRule="auto"/>
              <w:jc w:val="right"/>
              <w:rPr>
                <w:i/>
                <w:sz w:val="18"/>
              </w:rPr>
            </w:pPr>
          </w:p>
        </w:tc>
        <w:tc>
          <w:tcPr>
            <w:tcW w:w="2920" w:type="dxa"/>
            <w:gridSpan w:val="3"/>
            <w:tcBorders>
              <w:right w:val="single" w:sz="36" w:space="0" w:color="auto"/>
            </w:tcBorders>
            <w:shd w:val="clear" w:color="auto" w:fill="auto"/>
            <w:noWrap/>
            <w:vAlign w:val="center"/>
            <w:hideMark/>
          </w:tcPr>
          <w:p w14:paraId="0A8FDC27" w14:textId="77777777" w:rsidR="000D4B59" w:rsidRPr="000D4B59" w:rsidRDefault="000D4B59" w:rsidP="005B1794">
            <w:pPr>
              <w:jc w:val="center"/>
              <w:rPr>
                <w:b/>
                <w:sz w:val="18"/>
              </w:rPr>
            </w:pPr>
            <w:r w:rsidRPr="000D4B59">
              <w:rPr>
                <w:b/>
                <w:sz w:val="18"/>
              </w:rPr>
              <w:t>OLD MAPS</w:t>
            </w:r>
          </w:p>
        </w:tc>
        <w:tc>
          <w:tcPr>
            <w:tcW w:w="2920" w:type="dxa"/>
            <w:gridSpan w:val="3"/>
            <w:tcBorders>
              <w:left w:val="single" w:sz="36" w:space="0" w:color="auto"/>
            </w:tcBorders>
            <w:shd w:val="clear" w:color="auto" w:fill="auto"/>
            <w:noWrap/>
            <w:vAlign w:val="center"/>
            <w:hideMark/>
          </w:tcPr>
          <w:p w14:paraId="4BFD6BCE" w14:textId="77777777" w:rsidR="000D4B59" w:rsidRPr="000D4B59" w:rsidRDefault="000D4B59" w:rsidP="005B1794">
            <w:pPr>
              <w:jc w:val="center"/>
              <w:rPr>
                <w:b/>
                <w:sz w:val="18"/>
              </w:rPr>
            </w:pPr>
            <w:r w:rsidRPr="000D4B59">
              <w:rPr>
                <w:b/>
                <w:sz w:val="18"/>
              </w:rPr>
              <w:t>NEW MAPS</w:t>
            </w:r>
          </w:p>
        </w:tc>
      </w:tr>
      <w:tr w:rsidR="000D4B59" w:rsidRPr="00F8621C" w14:paraId="431A8521" w14:textId="77777777" w:rsidTr="000A7116">
        <w:trPr>
          <w:trHeight w:val="791"/>
          <w:jc w:val="center"/>
        </w:trPr>
        <w:tc>
          <w:tcPr>
            <w:tcW w:w="0" w:type="auto"/>
            <w:shd w:val="clear" w:color="auto" w:fill="auto"/>
            <w:vAlign w:val="center"/>
            <w:hideMark/>
          </w:tcPr>
          <w:p w14:paraId="0ED1F3B4" w14:textId="77777777" w:rsidR="000D4B59" w:rsidRPr="000A7116" w:rsidRDefault="000D4B59" w:rsidP="000A7116">
            <w:pPr>
              <w:pStyle w:val="NoSpacing"/>
              <w:jc w:val="center"/>
              <w:rPr>
                <w:b/>
                <w:bCs/>
                <w:sz w:val="19"/>
                <w:szCs w:val="22"/>
              </w:rPr>
            </w:pPr>
            <w:r w:rsidRPr="000A7116">
              <w:rPr>
                <w:b/>
                <w:bCs/>
                <w:sz w:val="19"/>
                <w:szCs w:val="22"/>
              </w:rPr>
              <w:t>State</w:t>
            </w:r>
          </w:p>
        </w:tc>
        <w:tc>
          <w:tcPr>
            <w:tcW w:w="0" w:type="auto"/>
            <w:shd w:val="clear" w:color="auto" w:fill="auto"/>
            <w:vAlign w:val="center"/>
            <w:hideMark/>
          </w:tcPr>
          <w:p w14:paraId="277EF9CA" w14:textId="77777777" w:rsidR="000D4B59" w:rsidRPr="000A7116" w:rsidRDefault="000D4B59" w:rsidP="000A7116">
            <w:pPr>
              <w:pStyle w:val="NoSpacing"/>
              <w:jc w:val="center"/>
              <w:rPr>
                <w:b/>
                <w:bCs/>
                <w:sz w:val="19"/>
                <w:szCs w:val="22"/>
              </w:rPr>
            </w:pPr>
            <w:r w:rsidRPr="000A7116">
              <w:rPr>
                <w:b/>
                <w:bCs/>
                <w:sz w:val="19"/>
                <w:szCs w:val="22"/>
              </w:rPr>
              <w:t>Total Number of Districts</w:t>
            </w:r>
          </w:p>
        </w:tc>
        <w:tc>
          <w:tcPr>
            <w:tcW w:w="0" w:type="auto"/>
            <w:shd w:val="clear" w:color="auto" w:fill="auto"/>
            <w:vAlign w:val="center"/>
            <w:hideMark/>
          </w:tcPr>
          <w:p w14:paraId="4D41731A" w14:textId="77777777" w:rsidR="000D4B59" w:rsidRPr="000A7116" w:rsidRDefault="000D4B59" w:rsidP="000A7116">
            <w:pPr>
              <w:pStyle w:val="NoSpacing"/>
              <w:jc w:val="center"/>
              <w:rPr>
                <w:b/>
                <w:bCs/>
                <w:sz w:val="19"/>
                <w:szCs w:val="22"/>
              </w:rPr>
            </w:pPr>
            <w:r w:rsidRPr="000A7116">
              <w:rPr>
                <w:b/>
                <w:bCs/>
                <w:sz w:val="19"/>
                <w:szCs w:val="22"/>
              </w:rPr>
              <w:t>Biden 2020 Districts</w:t>
            </w:r>
          </w:p>
        </w:tc>
        <w:tc>
          <w:tcPr>
            <w:tcW w:w="0" w:type="auto"/>
            <w:tcBorders>
              <w:right w:val="single" w:sz="36" w:space="0" w:color="auto"/>
            </w:tcBorders>
            <w:shd w:val="clear" w:color="auto" w:fill="auto"/>
            <w:vAlign w:val="center"/>
            <w:hideMark/>
          </w:tcPr>
          <w:p w14:paraId="62E9998A" w14:textId="77777777" w:rsidR="000D4B59" w:rsidRPr="000A7116" w:rsidRDefault="000D4B59" w:rsidP="000A7116">
            <w:pPr>
              <w:pStyle w:val="NoSpacing"/>
              <w:jc w:val="center"/>
              <w:rPr>
                <w:b/>
                <w:bCs/>
                <w:sz w:val="19"/>
                <w:szCs w:val="22"/>
              </w:rPr>
            </w:pPr>
            <w:r w:rsidRPr="000A7116">
              <w:rPr>
                <w:b/>
                <w:bCs/>
                <w:sz w:val="19"/>
                <w:szCs w:val="22"/>
              </w:rPr>
              <w:t>Trump 2020 Districts</w:t>
            </w:r>
          </w:p>
        </w:tc>
        <w:tc>
          <w:tcPr>
            <w:tcW w:w="0" w:type="auto"/>
            <w:tcBorders>
              <w:left w:val="single" w:sz="36" w:space="0" w:color="auto"/>
            </w:tcBorders>
            <w:shd w:val="clear" w:color="auto" w:fill="auto"/>
            <w:vAlign w:val="center"/>
            <w:hideMark/>
          </w:tcPr>
          <w:p w14:paraId="36B42EF5" w14:textId="77777777" w:rsidR="000D4B59" w:rsidRPr="000A7116" w:rsidRDefault="000D4B59" w:rsidP="000A7116">
            <w:pPr>
              <w:pStyle w:val="NoSpacing"/>
              <w:jc w:val="center"/>
              <w:rPr>
                <w:b/>
                <w:bCs/>
                <w:sz w:val="19"/>
                <w:szCs w:val="22"/>
              </w:rPr>
            </w:pPr>
            <w:r w:rsidRPr="000A7116">
              <w:rPr>
                <w:b/>
                <w:bCs/>
                <w:sz w:val="19"/>
                <w:szCs w:val="22"/>
              </w:rPr>
              <w:t>Total Number of Districts</w:t>
            </w:r>
          </w:p>
        </w:tc>
        <w:tc>
          <w:tcPr>
            <w:tcW w:w="0" w:type="auto"/>
            <w:shd w:val="clear" w:color="auto" w:fill="auto"/>
            <w:vAlign w:val="center"/>
            <w:hideMark/>
          </w:tcPr>
          <w:p w14:paraId="397A2F17" w14:textId="77777777" w:rsidR="000D4B59" w:rsidRPr="000A7116" w:rsidRDefault="000D4B59" w:rsidP="000A7116">
            <w:pPr>
              <w:pStyle w:val="NoSpacing"/>
              <w:jc w:val="center"/>
              <w:rPr>
                <w:b/>
                <w:bCs/>
                <w:sz w:val="19"/>
                <w:szCs w:val="22"/>
              </w:rPr>
            </w:pPr>
            <w:r w:rsidRPr="000A7116">
              <w:rPr>
                <w:b/>
                <w:bCs/>
                <w:sz w:val="19"/>
                <w:szCs w:val="22"/>
              </w:rPr>
              <w:t>Biden 2020 Districts</w:t>
            </w:r>
          </w:p>
        </w:tc>
        <w:tc>
          <w:tcPr>
            <w:tcW w:w="0" w:type="auto"/>
            <w:shd w:val="clear" w:color="auto" w:fill="auto"/>
            <w:vAlign w:val="center"/>
            <w:hideMark/>
          </w:tcPr>
          <w:p w14:paraId="1F6D6724" w14:textId="77777777" w:rsidR="000D4B59" w:rsidRPr="000A7116" w:rsidRDefault="000D4B59" w:rsidP="000A7116">
            <w:pPr>
              <w:pStyle w:val="NoSpacing"/>
              <w:jc w:val="center"/>
              <w:rPr>
                <w:b/>
                <w:bCs/>
                <w:sz w:val="19"/>
                <w:szCs w:val="22"/>
              </w:rPr>
            </w:pPr>
            <w:r w:rsidRPr="000A7116">
              <w:rPr>
                <w:b/>
                <w:bCs/>
                <w:sz w:val="19"/>
                <w:szCs w:val="22"/>
              </w:rPr>
              <w:t>Trump 2020 Districts</w:t>
            </w:r>
          </w:p>
        </w:tc>
      </w:tr>
      <w:tr w:rsidR="000D4B59" w:rsidRPr="00F8621C" w14:paraId="7F80B04B" w14:textId="77777777" w:rsidTr="00771774">
        <w:trPr>
          <w:trHeight w:val="188"/>
          <w:jc w:val="center"/>
        </w:trPr>
        <w:tc>
          <w:tcPr>
            <w:tcW w:w="0" w:type="auto"/>
            <w:shd w:val="clear" w:color="auto" w:fill="auto"/>
            <w:noWrap/>
            <w:vAlign w:val="center"/>
            <w:hideMark/>
          </w:tcPr>
          <w:p w14:paraId="6B720D8A" w14:textId="77777777" w:rsidR="000D4B59" w:rsidRPr="001D2160" w:rsidRDefault="000D4B59" w:rsidP="00B54CC5">
            <w:pPr>
              <w:pStyle w:val="NoSpacing"/>
              <w:rPr>
                <w:i/>
                <w:iCs/>
                <w:sz w:val="18"/>
                <w:szCs w:val="18"/>
              </w:rPr>
            </w:pPr>
            <w:r w:rsidRPr="001D2160">
              <w:rPr>
                <w:i/>
                <w:iCs/>
                <w:sz w:val="18"/>
                <w:szCs w:val="18"/>
              </w:rPr>
              <w:t>California</w:t>
            </w:r>
          </w:p>
        </w:tc>
        <w:tc>
          <w:tcPr>
            <w:tcW w:w="0" w:type="auto"/>
            <w:shd w:val="clear" w:color="auto" w:fill="auto"/>
            <w:noWrap/>
            <w:vAlign w:val="center"/>
            <w:hideMark/>
          </w:tcPr>
          <w:p w14:paraId="117E5D13" w14:textId="77777777" w:rsidR="000D4B59" w:rsidRPr="001D2160" w:rsidRDefault="000D4B59" w:rsidP="00B54CC5">
            <w:pPr>
              <w:pStyle w:val="NoSpacing"/>
              <w:jc w:val="center"/>
              <w:rPr>
                <w:sz w:val="18"/>
                <w:szCs w:val="18"/>
              </w:rPr>
            </w:pPr>
            <w:r w:rsidRPr="001D2160">
              <w:rPr>
                <w:sz w:val="18"/>
                <w:szCs w:val="18"/>
              </w:rPr>
              <w:t>53</w:t>
            </w:r>
          </w:p>
        </w:tc>
        <w:tc>
          <w:tcPr>
            <w:tcW w:w="0" w:type="auto"/>
            <w:shd w:val="clear" w:color="000000" w:fill="D9D9D9"/>
            <w:noWrap/>
            <w:vAlign w:val="center"/>
            <w:hideMark/>
          </w:tcPr>
          <w:p w14:paraId="37C551C8" w14:textId="77777777" w:rsidR="000D4B59" w:rsidRPr="001D2160" w:rsidRDefault="000D4B59" w:rsidP="00B54CC5">
            <w:pPr>
              <w:pStyle w:val="NoSpacing"/>
              <w:jc w:val="center"/>
              <w:rPr>
                <w:sz w:val="18"/>
                <w:szCs w:val="18"/>
              </w:rPr>
            </w:pPr>
            <w:r w:rsidRPr="001D2160">
              <w:rPr>
                <w:sz w:val="18"/>
                <w:szCs w:val="18"/>
              </w:rPr>
              <w:t>46</w:t>
            </w:r>
          </w:p>
        </w:tc>
        <w:tc>
          <w:tcPr>
            <w:tcW w:w="0" w:type="auto"/>
            <w:tcBorders>
              <w:right w:val="single" w:sz="36" w:space="0" w:color="auto"/>
            </w:tcBorders>
            <w:shd w:val="clear" w:color="auto" w:fill="auto"/>
            <w:noWrap/>
            <w:vAlign w:val="center"/>
            <w:hideMark/>
          </w:tcPr>
          <w:p w14:paraId="27DF421F" w14:textId="77777777" w:rsidR="000D4B59" w:rsidRPr="001D2160" w:rsidRDefault="000D4B59" w:rsidP="00B54CC5">
            <w:pPr>
              <w:pStyle w:val="NoSpacing"/>
              <w:jc w:val="center"/>
              <w:rPr>
                <w:sz w:val="18"/>
                <w:szCs w:val="18"/>
              </w:rPr>
            </w:pPr>
            <w:r w:rsidRPr="001D2160">
              <w:rPr>
                <w:sz w:val="18"/>
                <w:szCs w:val="18"/>
              </w:rPr>
              <w:t>7</w:t>
            </w:r>
          </w:p>
        </w:tc>
        <w:tc>
          <w:tcPr>
            <w:tcW w:w="0" w:type="auto"/>
            <w:tcBorders>
              <w:left w:val="single" w:sz="36" w:space="0" w:color="auto"/>
            </w:tcBorders>
            <w:shd w:val="clear" w:color="auto" w:fill="auto"/>
            <w:noWrap/>
            <w:vAlign w:val="center"/>
            <w:hideMark/>
          </w:tcPr>
          <w:p w14:paraId="3AF85848" w14:textId="77777777" w:rsidR="000D4B59" w:rsidRPr="001D2160" w:rsidRDefault="000D4B59" w:rsidP="00B54CC5">
            <w:pPr>
              <w:pStyle w:val="NoSpacing"/>
              <w:jc w:val="center"/>
              <w:rPr>
                <w:sz w:val="18"/>
                <w:szCs w:val="18"/>
              </w:rPr>
            </w:pPr>
            <w:r w:rsidRPr="001D2160">
              <w:rPr>
                <w:sz w:val="18"/>
                <w:szCs w:val="18"/>
              </w:rPr>
              <w:t>52 (-1)</w:t>
            </w:r>
          </w:p>
        </w:tc>
        <w:tc>
          <w:tcPr>
            <w:tcW w:w="0" w:type="auto"/>
            <w:shd w:val="clear" w:color="000000" w:fill="D9D9D9"/>
            <w:noWrap/>
            <w:vAlign w:val="center"/>
            <w:hideMark/>
          </w:tcPr>
          <w:p w14:paraId="645FA4C3" w14:textId="77777777" w:rsidR="000D4B59" w:rsidRPr="001D2160" w:rsidRDefault="000D4B59" w:rsidP="00B54CC5">
            <w:pPr>
              <w:pStyle w:val="NoSpacing"/>
              <w:jc w:val="center"/>
              <w:rPr>
                <w:sz w:val="18"/>
                <w:szCs w:val="18"/>
              </w:rPr>
            </w:pPr>
            <w:r w:rsidRPr="001D2160">
              <w:rPr>
                <w:sz w:val="18"/>
                <w:szCs w:val="18"/>
              </w:rPr>
              <w:t>45 (-1)</w:t>
            </w:r>
          </w:p>
        </w:tc>
        <w:tc>
          <w:tcPr>
            <w:tcW w:w="0" w:type="auto"/>
            <w:shd w:val="clear" w:color="auto" w:fill="auto"/>
            <w:noWrap/>
            <w:vAlign w:val="center"/>
            <w:hideMark/>
          </w:tcPr>
          <w:p w14:paraId="4440A82D" w14:textId="77777777" w:rsidR="000D4B59" w:rsidRPr="001D2160" w:rsidRDefault="000D4B59" w:rsidP="00B54CC5">
            <w:pPr>
              <w:pStyle w:val="NoSpacing"/>
              <w:jc w:val="center"/>
              <w:rPr>
                <w:sz w:val="18"/>
                <w:szCs w:val="18"/>
              </w:rPr>
            </w:pPr>
            <w:r w:rsidRPr="001D2160">
              <w:rPr>
                <w:sz w:val="18"/>
                <w:szCs w:val="18"/>
              </w:rPr>
              <w:t>7</w:t>
            </w:r>
          </w:p>
        </w:tc>
      </w:tr>
      <w:tr w:rsidR="000D4B59" w:rsidRPr="00F8621C" w14:paraId="16E1C14D" w14:textId="77777777" w:rsidTr="00B54CC5">
        <w:trPr>
          <w:trHeight w:val="188"/>
          <w:jc w:val="center"/>
        </w:trPr>
        <w:tc>
          <w:tcPr>
            <w:tcW w:w="0" w:type="auto"/>
            <w:shd w:val="clear" w:color="auto" w:fill="auto"/>
            <w:noWrap/>
            <w:vAlign w:val="center"/>
            <w:hideMark/>
          </w:tcPr>
          <w:p w14:paraId="06F8274F" w14:textId="77777777" w:rsidR="000D4B59" w:rsidRPr="001D2160" w:rsidRDefault="000D4B59" w:rsidP="00B54CC5">
            <w:pPr>
              <w:pStyle w:val="NoSpacing"/>
              <w:rPr>
                <w:i/>
                <w:iCs/>
                <w:sz w:val="18"/>
                <w:szCs w:val="18"/>
              </w:rPr>
            </w:pPr>
            <w:r w:rsidRPr="001D2160">
              <w:rPr>
                <w:i/>
                <w:iCs/>
                <w:sz w:val="18"/>
                <w:szCs w:val="18"/>
              </w:rPr>
              <w:t>Colorado</w:t>
            </w:r>
          </w:p>
        </w:tc>
        <w:tc>
          <w:tcPr>
            <w:tcW w:w="0" w:type="auto"/>
            <w:shd w:val="clear" w:color="auto" w:fill="auto"/>
            <w:noWrap/>
            <w:vAlign w:val="center"/>
            <w:hideMark/>
          </w:tcPr>
          <w:p w14:paraId="7908B120" w14:textId="77777777" w:rsidR="000D4B59" w:rsidRPr="001D2160" w:rsidRDefault="000D4B59" w:rsidP="00B54CC5">
            <w:pPr>
              <w:pStyle w:val="NoSpacing"/>
              <w:jc w:val="center"/>
              <w:rPr>
                <w:sz w:val="18"/>
                <w:szCs w:val="18"/>
              </w:rPr>
            </w:pPr>
            <w:r w:rsidRPr="001D2160">
              <w:rPr>
                <w:sz w:val="18"/>
                <w:szCs w:val="18"/>
              </w:rPr>
              <w:t>7</w:t>
            </w:r>
          </w:p>
        </w:tc>
        <w:tc>
          <w:tcPr>
            <w:tcW w:w="0" w:type="auto"/>
            <w:shd w:val="clear" w:color="000000" w:fill="D9D9D9"/>
            <w:noWrap/>
            <w:vAlign w:val="center"/>
            <w:hideMark/>
          </w:tcPr>
          <w:p w14:paraId="5D801800" w14:textId="77777777" w:rsidR="000D4B59" w:rsidRPr="001D2160" w:rsidRDefault="000D4B59" w:rsidP="00B54CC5">
            <w:pPr>
              <w:pStyle w:val="NoSpacing"/>
              <w:jc w:val="center"/>
              <w:rPr>
                <w:sz w:val="18"/>
                <w:szCs w:val="18"/>
              </w:rPr>
            </w:pPr>
            <w:r w:rsidRPr="001D2160">
              <w:rPr>
                <w:sz w:val="18"/>
                <w:szCs w:val="18"/>
              </w:rPr>
              <w:t>4</w:t>
            </w:r>
          </w:p>
        </w:tc>
        <w:tc>
          <w:tcPr>
            <w:tcW w:w="0" w:type="auto"/>
            <w:tcBorders>
              <w:right w:val="single" w:sz="36" w:space="0" w:color="auto"/>
            </w:tcBorders>
            <w:shd w:val="clear" w:color="auto" w:fill="auto"/>
            <w:noWrap/>
            <w:vAlign w:val="center"/>
            <w:hideMark/>
          </w:tcPr>
          <w:p w14:paraId="1625B01D" w14:textId="77777777" w:rsidR="000D4B59" w:rsidRPr="001D2160" w:rsidRDefault="000D4B59" w:rsidP="00B54CC5">
            <w:pPr>
              <w:pStyle w:val="NoSpacing"/>
              <w:jc w:val="center"/>
              <w:rPr>
                <w:sz w:val="18"/>
                <w:szCs w:val="18"/>
              </w:rPr>
            </w:pPr>
            <w:r w:rsidRPr="001D2160">
              <w:rPr>
                <w:sz w:val="18"/>
                <w:szCs w:val="18"/>
              </w:rPr>
              <w:t>3</w:t>
            </w:r>
          </w:p>
        </w:tc>
        <w:tc>
          <w:tcPr>
            <w:tcW w:w="0" w:type="auto"/>
            <w:tcBorders>
              <w:left w:val="single" w:sz="36" w:space="0" w:color="auto"/>
            </w:tcBorders>
            <w:shd w:val="clear" w:color="auto" w:fill="auto"/>
            <w:noWrap/>
            <w:vAlign w:val="center"/>
            <w:hideMark/>
          </w:tcPr>
          <w:p w14:paraId="3EE20288" w14:textId="77777777" w:rsidR="000D4B59" w:rsidRPr="001D2160" w:rsidRDefault="000D4B59" w:rsidP="00B54CC5">
            <w:pPr>
              <w:pStyle w:val="NoSpacing"/>
              <w:jc w:val="center"/>
              <w:rPr>
                <w:sz w:val="18"/>
                <w:szCs w:val="18"/>
              </w:rPr>
            </w:pPr>
            <w:r w:rsidRPr="001D2160">
              <w:rPr>
                <w:sz w:val="18"/>
                <w:szCs w:val="18"/>
              </w:rPr>
              <w:t>8 (+1)</w:t>
            </w:r>
          </w:p>
        </w:tc>
        <w:tc>
          <w:tcPr>
            <w:tcW w:w="0" w:type="auto"/>
            <w:shd w:val="clear" w:color="000000" w:fill="D9D9D9"/>
            <w:noWrap/>
            <w:vAlign w:val="center"/>
            <w:hideMark/>
          </w:tcPr>
          <w:p w14:paraId="7F87E582" w14:textId="77777777" w:rsidR="000D4B59" w:rsidRPr="001D2160" w:rsidRDefault="000D4B59" w:rsidP="00B54CC5">
            <w:pPr>
              <w:pStyle w:val="NoSpacing"/>
              <w:jc w:val="center"/>
              <w:rPr>
                <w:sz w:val="18"/>
                <w:szCs w:val="18"/>
              </w:rPr>
            </w:pPr>
            <w:r w:rsidRPr="001D2160">
              <w:rPr>
                <w:sz w:val="18"/>
                <w:szCs w:val="18"/>
              </w:rPr>
              <w:t>5 (+1)</w:t>
            </w:r>
          </w:p>
        </w:tc>
        <w:tc>
          <w:tcPr>
            <w:tcW w:w="0" w:type="auto"/>
            <w:shd w:val="clear" w:color="auto" w:fill="auto"/>
            <w:noWrap/>
            <w:vAlign w:val="center"/>
            <w:hideMark/>
          </w:tcPr>
          <w:p w14:paraId="1B7C9EB8" w14:textId="77777777" w:rsidR="000D4B59" w:rsidRPr="001D2160" w:rsidRDefault="000D4B59" w:rsidP="00B54CC5">
            <w:pPr>
              <w:pStyle w:val="NoSpacing"/>
              <w:jc w:val="center"/>
              <w:rPr>
                <w:sz w:val="18"/>
                <w:szCs w:val="18"/>
              </w:rPr>
            </w:pPr>
            <w:r w:rsidRPr="001D2160">
              <w:rPr>
                <w:sz w:val="18"/>
                <w:szCs w:val="18"/>
              </w:rPr>
              <w:t>3</w:t>
            </w:r>
          </w:p>
        </w:tc>
      </w:tr>
      <w:tr w:rsidR="000D4B59" w:rsidRPr="00F8621C" w14:paraId="7FE0EE4A" w14:textId="77777777" w:rsidTr="00B54CC5">
        <w:trPr>
          <w:trHeight w:val="107"/>
          <w:jc w:val="center"/>
        </w:trPr>
        <w:tc>
          <w:tcPr>
            <w:tcW w:w="0" w:type="auto"/>
            <w:shd w:val="clear" w:color="auto" w:fill="auto"/>
            <w:noWrap/>
            <w:vAlign w:val="center"/>
            <w:hideMark/>
          </w:tcPr>
          <w:p w14:paraId="6DC1733F" w14:textId="77777777" w:rsidR="000D4B59" w:rsidRPr="001D2160" w:rsidRDefault="000D4B59" w:rsidP="00B54CC5">
            <w:pPr>
              <w:pStyle w:val="NoSpacing"/>
              <w:rPr>
                <w:i/>
                <w:iCs/>
                <w:sz w:val="18"/>
                <w:szCs w:val="18"/>
              </w:rPr>
            </w:pPr>
            <w:r w:rsidRPr="001D2160">
              <w:rPr>
                <w:i/>
                <w:iCs/>
                <w:sz w:val="18"/>
                <w:szCs w:val="18"/>
              </w:rPr>
              <w:t>Florida</w:t>
            </w:r>
          </w:p>
        </w:tc>
        <w:tc>
          <w:tcPr>
            <w:tcW w:w="0" w:type="auto"/>
            <w:shd w:val="clear" w:color="auto" w:fill="auto"/>
            <w:noWrap/>
            <w:vAlign w:val="center"/>
            <w:hideMark/>
          </w:tcPr>
          <w:p w14:paraId="316F34A5" w14:textId="77777777" w:rsidR="000D4B59" w:rsidRPr="001D2160" w:rsidRDefault="000D4B59" w:rsidP="00B54CC5">
            <w:pPr>
              <w:pStyle w:val="NoSpacing"/>
              <w:jc w:val="center"/>
              <w:rPr>
                <w:sz w:val="18"/>
                <w:szCs w:val="18"/>
              </w:rPr>
            </w:pPr>
            <w:r w:rsidRPr="001D2160">
              <w:rPr>
                <w:sz w:val="18"/>
                <w:szCs w:val="18"/>
              </w:rPr>
              <w:t>27</w:t>
            </w:r>
          </w:p>
        </w:tc>
        <w:tc>
          <w:tcPr>
            <w:tcW w:w="0" w:type="auto"/>
            <w:shd w:val="clear" w:color="000000" w:fill="D9D9D9"/>
            <w:noWrap/>
            <w:vAlign w:val="center"/>
            <w:hideMark/>
          </w:tcPr>
          <w:p w14:paraId="1243620E" w14:textId="77777777" w:rsidR="000D4B59" w:rsidRPr="001D2160" w:rsidRDefault="000D4B59" w:rsidP="00B54CC5">
            <w:pPr>
              <w:pStyle w:val="NoSpacing"/>
              <w:jc w:val="center"/>
              <w:rPr>
                <w:sz w:val="18"/>
                <w:szCs w:val="18"/>
              </w:rPr>
            </w:pPr>
            <w:r w:rsidRPr="001D2160">
              <w:rPr>
                <w:sz w:val="18"/>
                <w:szCs w:val="18"/>
              </w:rPr>
              <w:t>12</w:t>
            </w:r>
          </w:p>
        </w:tc>
        <w:tc>
          <w:tcPr>
            <w:tcW w:w="0" w:type="auto"/>
            <w:tcBorders>
              <w:right w:val="single" w:sz="36" w:space="0" w:color="auto"/>
            </w:tcBorders>
            <w:shd w:val="clear" w:color="auto" w:fill="auto"/>
            <w:noWrap/>
            <w:vAlign w:val="center"/>
            <w:hideMark/>
          </w:tcPr>
          <w:p w14:paraId="3E156AD5" w14:textId="77777777" w:rsidR="000D4B59" w:rsidRPr="001D2160" w:rsidRDefault="000D4B59" w:rsidP="00B54CC5">
            <w:pPr>
              <w:pStyle w:val="NoSpacing"/>
              <w:jc w:val="center"/>
              <w:rPr>
                <w:sz w:val="18"/>
                <w:szCs w:val="18"/>
              </w:rPr>
            </w:pPr>
            <w:r w:rsidRPr="001D2160">
              <w:rPr>
                <w:sz w:val="18"/>
                <w:szCs w:val="18"/>
              </w:rPr>
              <w:t>15</w:t>
            </w:r>
          </w:p>
        </w:tc>
        <w:tc>
          <w:tcPr>
            <w:tcW w:w="0" w:type="auto"/>
            <w:tcBorders>
              <w:left w:val="single" w:sz="36" w:space="0" w:color="auto"/>
            </w:tcBorders>
            <w:shd w:val="clear" w:color="auto" w:fill="auto"/>
            <w:noWrap/>
            <w:vAlign w:val="center"/>
            <w:hideMark/>
          </w:tcPr>
          <w:p w14:paraId="56B04C9D" w14:textId="77777777" w:rsidR="000D4B59" w:rsidRPr="001D2160" w:rsidRDefault="000D4B59" w:rsidP="00B54CC5">
            <w:pPr>
              <w:pStyle w:val="NoSpacing"/>
              <w:jc w:val="center"/>
              <w:rPr>
                <w:sz w:val="18"/>
                <w:szCs w:val="18"/>
              </w:rPr>
            </w:pPr>
            <w:r w:rsidRPr="001D2160">
              <w:rPr>
                <w:sz w:val="18"/>
                <w:szCs w:val="18"/>
              </w:rPr>
              <w:t>28 (+1)</w:t>
            </w:r>
          </w:p>
        </w:tc>
        <w:tc>
          <w:tcPr>
            <w:tcW w:w="0" w:type="auto"/>
            <w:shd w:val="clear" w:color="000000" w:fill="D9D9D9"/>
            <w:noWrap/>
            <w:vAlign w:val="center"/>
            <w:hideMark/>
          </w:tcPr>
          <w:p w14:paraId="4477F7B4" w14:textId="77777777" w:rsidR="000D4B59" w:rsidRPr="001D2160" w:rsidRDefault="000D4B59" w:rsidP="00B54CC5">
            <w:pPr>
              <w:pStyle w:val="NoSpacing"/>
              <w:jc w:val="center"/>
              <w:rPr>
                <w:sz w:val="18"/>
                <w:szCs w:val="18"/>
              </w:rPr>
            </w:pPr>
            <w:r w:rsidRPr="001D2160">
              <w:rPr>
                <w:sz w:val="18"/>
                <w:szCs w:val="18"/>
              </w:rPr>
              <w:t>8 (-3)</w:t>
            </w:r>
          </w:p>
        </w:tc>
        <w:tc>
          <w:tcPr>
            <w:tcW w:w="0" w:type="auto"/>
            <w:shd w:val="clear" w:color="auto" w:fill="auto"/>
            <w:noWrap/>
            <w:vAlign w:val="center"/>
            <w:hideMark/>
          </w:tcPr>
          <w:p w14:paraId="496697F8" w14:textId="77777777" w:rsidR="000D4B59" w:rsidRPr="001D2160" w:rsidRDefault="000D4B59" w:rsidP="00B54CC5">
            <w:pPr>
              <w:pStyle w:val="NoSpacing"/>
              <w:jc w:val="center"/>
              <w:rPr>
                <w:sz w:val="18"/>
                <w:szCs w:val="18"/>
              </w:rPr>
            </w:pPr>
            <w:r w:rsidRPr="001D2160">
              <w:rPr>
                <w:sz w:val="18"/>
                <w:szCs w:val="18"/>
              </w:rPr>
              <w:t>20 (+5)</w:t>
            </w:r>
          </w:p>
        </w:tc>
      </w:tr>
      <w:tr w:rsidR="000D4B59" w:rsidRPr="00F8621C" w14:paraId="3CCD123D" w14:textId="77777777" w:rsidTr="00B54CC5">
        <w:trPr>
          <w:trHeight w:val="116"/>
          <w:jc w:val="center"/>
        </w:trPr>
        <w:tc>
          <w:tcPr>
            <w:tcW w:w="0" w:type="auto"/>
            <w:shd w:val="clear" w:color="auto" w:fill="auto"/>
            <w:noWrap/>
            <w:vAlign w:val="center"/>
            <w:hideMark/>
          </w:tcPr>
          <w:p w14:paraId="73228DFB" w14:textId="77777777" w:rsidR="000D4B59" w:rsidRPr="001D2160" w:rsidRDefault="000D4B59" w:rsidP="00B54CC5">
            <w:pPr>
              <w:pStyle w:val="NoSpacing"/>
              <w:rPr>
                <w:i/>
                <w:iCs/>
                <w:sz w:val="18"/>
                <w:szCs w:val="18"/>
              </w:rPr>
            </w:pPr>
            <w:r w:rsidRPr="001D2160">
              <w:rPr>
                <w:i/>
                <w:iCs/>
                <w:sz w:val="18"/>
                <w:szCs w:val="18"/>
              </w:rPr>
              <w:t>Georgia</w:t>
            </w:r>
          </w:p>
        </w:tc>
        <w:tc>
          <w:tcPr>
            <w:tcW w:w="0" w:type="auto"/>
            <w:shd w:val="clear" w:color="auto" w:fill="auto"/>
            <w:noWrap/>
            <w:vAlign w:val="center"/>
            <w:hideMark/>
          </w:tcPr>
          <w:p w14:paraId="0FADD531" w14:textId="77777777" w:rsidR="000D4B59" w:rsidRPr="001D2160" w:rsidRDefault="000D4B59" w:rsidP="00B54CC5">
            <w:pPr>
              <w:pStyle w:val="NoSpacing"/>
              <w:jc w:val="center"/>
              <w:rPr>
                <w:sz w:val="18"/>
                <w:szCs w:val="18"/>
              </w:rPr>
            </w:pPr>
            <w:r w:rsidRPr="001D2160">
              <w:rPr>
                <w:sz w:val="18"/>
                <w:szCs w:val="18"/>
              </w:rPr>
              <w:t>14</w:t>
            </w:r>
          </w:p>
        </w:tc>
        <w:tc>
          <w:tcPr>
            <w:tcW w:w="0" w:type="auto"/>
            <w:shd w:val="clear" w:color="000000" w:fill="D9D9D9"/>
            <w:noWrap/>
            <w:vAlign w:val="center"/>
            <w:hideMark/>
          </w:tcPr>
          <w:p w14:paraId="1AD867C9" w14:textId="77777777" w:rsidR="000D4B59" w:rsidRPr="001D2160" w:rsidRDefault="000D4B59" w:rsidP="00B54CC5">
            <w:pPr>
              <w:pStyle w:val="NoSpacing"/>
              <w:jc w:val="center"/>
              <w:rPr>
                <w:sz w:val="18"/>
                <w:szCs w:val="18"/>
              </w:rPr>
            </w:pPr>
            <w:r w:rsidRPr="001D2160">
              <w:rPr>
                <w:sz w:val="18"/>
                <w:szCs w:val="18"/>
              </w:rPr>
              <w:t>6</w:t>
            </w:r>
          </w:p>
        </w:tc>
        <w:tc>
          <w:tcPr>
            <w:tcW w:w="0" w:type="auto"/>
            <w:tcBorders>
              <w:bottom w:val="single" w:sz="4" w:space="0" w:color="auto"/>
              <w:right w:val="single" w:sz="36" w:space="0" w:color="auto"/>
            </w:tcBorders>
            <w:shd w:val="clear" w:color="auto" w:fill="auto"/>
            <w:noWrap/>
            <w:vAlign w:val="center"/>
            <w:hideMark/>
          </w:tcPr>
          <w:p w14:paraId="7B123939" w14:textId="77777777" w:rsidR="000D4B59" w:rsidRPr="001D2160" w:rsidRDefault="000D4B59" w:rsidP="00B54CC5">
            <w:pPr>
              <w:pStyle w:val="NoSpacing"/>
              <w:jc w:val="center"/>
              <w:rPr>
                <w:sz w:val="18"/>
                <w:szCs w:val="18"/>
              </w:rPr>
            </w:pPr>
            <w:r w:rsidRPr="001D2160">
              <w:rPr>
                <w:sz w:val="18"/>
                <w:szCs w:val="18"/>
              </w:rPr>
              <w:t>8</w:t>
            </w:r>
          </w:p>
        </w:tc>
        <w:tc>
          <w:tcPr>
            <w:tcW w:w="0" w:type="auto"/>
            <w:tcBorders>
              <w:left w:val="single" w:sz="36" w:space="0" w:color="auto"/>
            </w:tcBorders>
            <w:shd w:val="clear" w:color="auto" w:fill="auto"/>
            <w:noWrap/>
            <w:vAlign w:val="center"/>
            <w:hideMark/>
          </w:tcPr>
          <w:p w14:paraId="052A2A2F" w14:textId="77777777" w:rsidR="000D4B59" w:rsidRPr="001D2160" w:rsidRDefault="000D4B59" w:rsidP="00B54CC5">
            <w:pPr>
              <w:pStyle w:val="NoSpacing"/>
              <w:jc w:val="center"/>
              <w:rPr>
                <w:sz w:val="18"/>
                <w:szCs w:val="18"/>
              </w:rPr>
            </w:pPr>
            <w:r w:rsidRPr="001D2160">
              <w:rPr>
                <w:sz w:val="18"/>
                <w:szCs w:val="18"/>
              </w:rPr>
              <w:t>14</w:t>
            </w:r>
          </w:p>
        </w:tc>
        <w:tc>
          <w:tcPr>
            <w:tcW w:w="0" w:type="auto"/>
            <w:shd w:val="clear" w:color="000000" w:fill="D9D9D9"/>
            <w:noWrap/>
            <w:vAlign w:val="center"/>
            <w:hideMark/>
          </w:tcPr>
          <w:p w14:paraId="3DA104E5" w14:textId="77777777" w:rsidR="000D4B59" w:rsidRPr="001D2160" w:rsidRDefault="000D4B59" w:rsidP="00B54CC5">
            <w:pPr>
              <w:pStyle w:val="NoSpacing"/>
              <w:jc w:val="center"/>
              <w:rPr>
                <w:sz w:val="18"/>
                <w:szCs w:val="18"/>
              </w:rPr>
            </w:pPr>
            <w:r w:rsidRPr="001D2160">
              <w:rPr>
                <w:sz w:val="18"/>
                <w:szCs w:val="18"/>
              </w:rPr>
              <w:t>5 (-1)</w:t>
            </w:r>
          </w:p>
        </w:tc>
        <w:tc>
          <w:tcPr>
            <w:tcW w:w="0" w:type="auto"/>
            <w:shd w:val="clear" w:color="auto" w:fill="auto"/>
            <w:noWrap/>
            <w:vAlign w:val="center"/>
            <w:hideMark/>
          </w:tcPr>
          <w:p w14:paraId="6545AB64" w14:textId="3BB65F47" w:rsidR="000D4B59" w:rsidRPr="001D2160" w:rsidRDefault="000D4B59" w:rsidP="00B54CC5">
            <w:pPr>
              <w:pStyle w:val="NoSpacing"/>
              <w:jc w:val="center"/>
              <w:rPr>
                <w:sz w:val="18"/>
                <w:szCs w:val="18"/>
              </w:rPr>
            </w:pPr>
            <w:r w:rsidRPr="001D2160">
              <w:rPr>
                <w:sz w:val="18"/>
                <w:szCs w:val="18"/>
              </w:rPr>
              <w:t>(+1)</w:t>
            </w:r>
          </w:p>
        </w:tc>
      </w:tr>
      <w:tr w:rsidR="000D4B59" w:rsidRPr="00F8621C" w14:paraId="778F65E4" w14:textId="77777777" w:rsidTr="00B54CC5">
        <w:trPr>
          <w:trHeight w:val="116"/>
          <w:jc w:val="center"/>
        </w:trPr>
        <w:tc>
          <w:tcPr>
            <w:tcW w:w="0" w:type="auto"/>
            <w:shd w:val="clear" w:color="auto" w:fill="auto"/>
            <w:noWrap/>
            <w:vAlign w:val="center"/>
            <w:hideMark/>
          </w:tcPr>
          <w:p w14:paraId="2241921E" w14:textId="77777777" w:rsidR="000D4B59" w:rsidRPr="001D2160" w:rsidRDefault="000D4B59" w:rsidP="00B54CC5">
            <w:pPr>
              <w:pStyle w:val="NoSpacing"/>
              <w:rPr>
                <w:i/>
                <w:iCs/>
                <w:sz w:val="18"/>
                <w:szCs w:val="18"/>
              </w:rPr>
            </w:pPr>
            <w:r w:rsidRPr="001D2160">
              <w:rPr>
                <w:i/>
                <w:iCs/>
                <w:sz w:val="18"/>
                <w:szCs w:val="18"/>
              </w:rPr>
              <w:t>Illinois</w:t>
            </w:r>
          </w:p>
        </w:tc>
        <w:tc>
          <w:tcPr>
            <w:tcW w:w="0" w:type="auto"/>
            <w:shd w:val="clear" w:color="auto" w:fill="auto"/>
            <w:noWrap/>
            <w:vAlign w:val="center"/>
            <w:hideMark/>
          </w:tcPr>
          <w:p w14:paraId="488F4836" w14:textId="77777777" w:rsidR="000D4B59" w:rsidRPr="001D2160" w:rsidRDefault="000D4B59" w:rsidP="00B54CC5">
            <w:pPr>
              <w:pStyle w:val="NoSpacing"/>
              <w:jc w:val="center"/>
              <w:rPr>
                <w:sz w:val="18"/>
                <w:szCs w:val="18"/>
              </w:rPr>
            </w:pPr>
            <w:r w:rsidRPr="001D2160">
              <w:rPr>
                <w:sz w:val="18"/>
                <w:szCs w:val="18"/>
              </w:rPr>
              <w:t>18</w:t>
            </w:r>
          </w:p>
        </w:tc>
        <w:tc>
          <w:tcPr>
            <w:tcW w:w="0" w:type="auto"/>
            <w:shd w:val="clear" w:color="000000" w:fill="D9D9D9"/>
            <w:noWrap/>
            <w:vAlign w:val="center"/>
            <w:hideMark/>
          </w:tcPr>
          <w:p w14:paraId="3BD22C1D" w14:textId="77777777" w:rsidR="000D4B59" w:rsidRPr="001D2160" w:rsidRDefault="000D4B59" w:rsidP="00B54CC5">
            <w:pPr>
              <w:pStyle w:val="NoSpacing"/>
              <w:jc w:val="center"/>
              <w:rPr>
                <w:sz w:val="18"/>
                <w:szCs w:val="18"/>
              </w:rPr>
            </w:pPr>
            <w:r w:rsidRPr="001D2160">
              <w:rPr>
                <w:sz w:val="18"/>
                <w:szCs w:val="18"/>
              </w:rPr>
              <w:t>12</w:t>
            </w:r>
          </w:p>
        </w:tc>
        <w:tc>
          <w:tcPr>
            <w:tcW w:w="0" w:type="auto"/>
            <w:tcBorders>
              <w:right w:val="single" w:sz="36" w:space="0" w:color="auto"/>
            </w:tcBorders>
            <w:shd w:val="clear" w:color="auto" w:fill="auto"/>
            <w:noWrap/>
            <w:vAlign w:val="center"/>
            <w:hideMark/>
          </w:tcPr>
          <w:p w14:paraId="08F32EFA" w14:textId="77777777" w:rsidR="000D4B59" w:rsidRPr="001D2160" w:rsidRDefault="000D4B59" w:rsidP="00B54CC5">
            <w:pPr>
              <w:pStyle w:val="NoSpacing"/>
              <w:jc w:val="center"/>
              <w:rPr>
                <w:sz w:val="18"/>
                <w:szCs w:val="18"/>
              </w:rPr>
            </w:pPr>
            <w:r w:rsidRPr="001D2160">
              <w:rPr>
                <w:sz w:val="18"/>
                <w:szCs w:val="18"/>
              </w:rPr>
              <w:t>6</w:t>
            </w:r>
          </w:p>
        </w:tc>
        <w:tc>
          <w:tcPr>
            <w:tcW w:w="0" w:type="auto"/>
            <w:tcBorders>
              <w:left w:val="single" w:sz="36" w:space="0" w:color="auto"/>
            </w:tcBorders>
            <w:shd w:val="clear" w:color="auto" w:fill="auto"/>
            <w:noWrap/>
            <w:vAlign w:val="center"/>
            <w:hideMark/>
          </w:tcPr>
          <w:p w14:paraId="745DE982" w14:textId="77777777" w:rsidR="000D4B59" w:rsidRPr="001D2160" w:rsidRDefault="000D4B59" w:rsidP="00B54CC5">
            <w:pPr>
              <w:pStyle w:val="NoSpacing"/>
              <w:jc w:val="center"/>
              <w:rPr>
                <w:sz w:val="18"/>
                <w:szCs w:val="18"/>
              </w:rPr>
            </w:pPr>
            <w:r w:rsidRPr="001D2160">
              <w:rPr>
                <w:sz w:val="18"/>
                <w:szCs w:val="18"/>
              </w:rPr>
              <w:t>17 (-1)</w:t>
            </w:r>
          </w:p>
        </w:tc>
        <w:tc>
          <w:tcPr>
            <w:tcW w:w="0" w:type="auto"/>
            <w:shd w:val="clear" w:color="000000" w:fill="D9D9D9"/>
            <w:noWrap/>
            <w:vAlign w:val="center"/>
            <w:hideMark/>
          </w:tcPr>
          <w:p w14:paraId="51D42560" w14:textId="77777777" w:rsidR="000D4B59" w:rsidRPr="001D2160" w:rsidRDefault="000D4B59" w:rsidP="00B54CC5">
            <w:pPr>
              <w:pStyle w:val="NoSpacing"/>
              <w:jc w:val="center"/>
              <w:rPr>
                <w:sz w:val="18"/>
                <w:szCs w:val="18"/>
              </w:rPr>
            </w:pPr>
            <w:r w:rsidRPr="001D2160">
              <w:rPr>
                <w:sz w:val="18"/>
                <w:szCs w:val="18"/>
              </w:rPr>
              <w:t>14 (+2)</w:t>
            </w:r>
          </w:p>
        </w:tc>
        <w:tc>
          <w:tcPr>
            <w:tcW w:w="0" w:type="auto"/>
            <w:shd w:val="clear" w:color="auto" w:fill="auto"/>
            <w:noWrap/>
            <w:vAlign w:val="center"/>
            <w:hideMark/>
          </w:tcPr>
          <w:p w14:paraId="52AAA52C" w14:textId="77777777" w:rsidR="000D4B59" w:rsidRPr="001D2160" w:rsidRDefault="000D4B59" w:rsidP="00B54CC5">
            <w:pPr>
              <w:pStyle w:val="NoSpacing"/>
              <w:jc w:val="center"/>
              <w:rPr>
                <w:sz w:val="18"/>
                <w:szCs w:val="18"/>
              </w:rPr>
            </w:pPr>
            <w:r w:rsidRPr="001D2160">
              <w:rPr>
                <w:sz w:val="18"/>
                <w:szCs w:val="18"/>
              </w:rPr>
              <w:t>3 (-3)</w:t>
            </w:r>
          </w:p>
        </w:tc>
      </w:tr>
      <w:tr w:rsidR="000D4B59" w:rsidRPr="00F8621C" w14:paraId="64EA80FD" w14:textId="77777777" w:rsidTr="000A7116">
        <w:trPr>
          <w:trHeight w:val="53"/>
          <w:jc w:val="center"/>
        </w:trPr>
        <w:tc>
          <w:tcPr>
            <w:tcW w:w="0" w:type="auto"/>
            <w:shd w:val="clear" w:color="auto" w:fill="auto"/>
            <w:noWrap/>
            <w:vAlign w:val="center"/>
            <w:hideMark/>
          </w:tcPr>
          <w:p w14:paraId="5344E505" w14:textId="77777777" w:rsidR="000D4B59" w:rsidRPr="001D2160" w:rsidRDefault="000D4B59" w:rsidP="00B54CC5">
            <w:pPr>
              <w:pStyle w:val="NoSpacing"/>
              <w:rPr>
                <w:i/>
                <w:iCs/>
                <w:sz w:val="18"/>
                <w:szCs w:val="18"/>
              </w:rPr>
            </w:pPr>
            <w:r w:rsidRPr="001D2160">
              <w:rPr>
                <w:i/>
                <w:iCs/>
                <w:sz w:val="18"/>
                <w:szCs w:val="18"/>
              </w:rPr>
              <w:t>Michigan</w:t>
            </w:r>
          </w:p>
        </w:tc>
        <w:tc>
          <w:tcPr>
            <w:tcW w:w="0" w:type="auto"/>
            <w:shd w:val="clear" w:color="auto" w:fill="auto"/>
            <w:noWrap/>
            <w:vAlign w:val="center"/>
            <w:hideMark/>
          </w:tcPr>
          <w:p w14:paraId="1512E123" w14:textId="77777777" w:rsidR="000D4B59" w:rsidRPr="001D2160" w:rsidRDefault="000D4B59" w:rsidP="00B54CC5">
            <w:pPr>
              <w:pStyle w:val="NoSpacing"/>
              <w:jc w:val="center"/>
              <w:rPr>
                <w:sz w:val="18"/>
                <w:szCs w:val="18"/>
              </w:rPr>
            </w:pPr>
            <w:r w:rsidRPr="001D2160">
              <w:rPr>
                <w:sz w:val="18"/>
                <w:szCs w:val="18"/>
              </w:rPr>
              <w:t>14</w:t>
            </w:r>
          </w:p>
        </w:tc>
        <w:tc>
          <w:tcPr>
            <w:tcW w:w="0" w:type="auto"/>
            <w:shd w:val="clear" w:color="000000" w:fill="D9D9D9"/>
            <w:noWrap/>
            <w:vAlign w:val="center"/>
            <w:hideMark/>
          </w:tcPr>
          <w:p w14:paraId="1053B9E9" w14:textId="77777777" w:rsidR="000D4B59" w:rsidRPr="001D2160" w:rsidRDefault="000D4B59" w:rsidP="00B54CC5">
            <w:pPr>
              <w:pStyle w:val="NoSpacing"/>
              <w:jc w:val="center"/>
              <w:rPr>
                <w:sz w:val="18"/>
                <w:szCs w:val="18"/>
              </w:rPr>
            </w:pPr>
            <w:r w:rsidRPr="001D2160">
              <w:rPr>
                <w:sz w:val="18"/>
                <w:szCs w:val="18"/>
              </w:rPr>
              <w:t>6</w:t>
            </w:r>
          </w:p>
        </w:tc>
        <w:tc>
          <w:tcPr>
            <w:tcW w:w="0" w:type="auto"/>
            <w:tcBorders>
              <w:right w:val="single" w:sz="36" w:space="0" w:color="auto"/>
            </w:tcBorders>
            <w:shd w:val="clear" w:color="auto" w:fill="auto"/>
            <w:noWrap/>
            <w:vAlign w:val="center"/>
            <w:hideMark/>
          </w:tcPr>
          <w:p w14:paraId="770FC9FA" w14:textId="77777777" w:rsidR="000D4B59" w:rsidRPr="001D2160" w:rsidRDefault="000D4B59" w:rsidP="00B54CC5">
            <w:pPr>
              <w:pStyle w:val="NoSpacing"/>
              <w:jc w:val="center"/>
              <w:rPr>
                <w:sz w:val="18"/>
                <w:szCs w:val="18"/>
              </w:rPr>
            </w:pPr>
            <w:r w:rsidRPr="001D2160">
              <w:rPr>
                <w:sz w:val="18"/>
                <w:szCs w:val="18"/>
              </w:rPr>
              <w:t>8</w:t>
            </w:r>
          </w:p>
        </w:tc>
        <w:tc>
          <w:tcPr>
            <w:tcW w:w="0" w:type="auto"/>
            <w:tcBorders>
              <w:left w:val="single" w:sz="36" w:space="0" w:color="auto"/>
            </w:tcBorders>
            <w:shd w:val="clear" w:color="auto" w:fill="auto"/>
            <w:noWrap/>
            <w:vAlign w:val="center"/>
            <w:hideMark/>
          </w:tcPr>
          <w:p w14:paraId="33C46DB6" w14:textId="77777777" w:rsidR="000D4B59" w:rsidRPr="001D2160" w:rsidRDefault="000D4B59" w:rsidP="00B54CC5">
            <w:pPr>
              <w:pStyle w:val="NoSpacing"/>
              <w:jc w:val="center"/>
              <w:rPr>
                <w:sz w:val="18"/>
                <w:szCs w:val="18"/>
              </w:rPr>
            </w:pPr>
            <w:r w:rsidRPr="001D2160">
              <w:rPr>
                <w:sz w:val="18"/>
                <w:szCs w:val="18"/>
              </w:rPr>
              <w:t>13 (-1)</w:t>
            </w:r>
          </w:p>
        </w:tc>
        <w:tc>
          <w:tcPr>
            <w:tcW w:w="0" w:type="auto"/>
            <w:shd w:val="clear" w:color="000000" w:fill="D9D9D9"/>
            <w:noWrap/>
            <w:vAlign w:val="center"/>
            <w:hideMark/>
          </w:tcPr>
          <w:p w14:paraId="11B1BC8E" w14:textId="77777777" w:rsidR="000D4B59" w:rsidRPr="001D2160" w:rsidRDefault="000D4B59" w:rsidP="00B54CC5">
            <w:pPr>
              <w:pStyle w:val="NoSpacing"/>
              <w:jc w:val="center"/>
              <w:rPr>
                <w:sz w:val="18"/>
                <w:szCs w:val="18"/>
              </w:rPr>
            </w:pPr>
            <w:r w:rsidRPr="001D2160">
              <w:rPr>
                <w:sz w:val="18"/>
                <w:szCs w:val="18"/>
              </w:rPr>
              <w:t>7 (+1)</w:t>
            </w:r>
          </w:p>
        </w:tc>
        <w:tc>
          <w:tcPr>
            <w:tcW w:w="0" w:type="auto"/>
            <w:shd w:val="clear" w:color="auto" w:fill="auto"/>
            <w:noWrap/>
            <w:vAlign w:val="center"/>
            <w:hideMark/>
          </w:tcPr>
          <w:p w14:paraId="6A9B5A77" w14:textId="77777777" w:rsidR="000D4B59" w:rsidRPr="001D2160" w:rsidRDefault="000D4B59" w:rsidP="00B54CC5">
            <w:pPr>
              <w:pStyle w:val="NoSpacing"/>
              <w:jc w:val="center"/>
              <w:rPr>
                <w:sz w:val="18"/>
                <w:szCs w:val="18"/>
              </w:rPr>
            </w:pPr>
            <w:r w:rsidRPr="001D2160">
              <w:rPr>
                <w:sz w:val="18"/>
                <w:szCs w:val="18"/>
              </w:rPr>
              <w:t>6 (-2)</w:t>
            </w:r>
          </w:p>
        </w:tc>
      </w:tr>
      <w:tr w:rsidR="000D4B59" w:rsidRPr="00F8621C" w14:paraId="1F34467E" w14:textId="77777777" w:rsidTr="000A7116">
        <w:trPr>
          <w:trHeight w:val="143"/>
          <w:jc w:val="center"/>
        </w:trPr>
        <w:tc>
          <w:tcPr>
            <w:tcW w:w="0" w:type="auto"/>
            <w:shd w:val="clear" w:color="auto" w:fill="auto"/>
            <w:noWrap/>
            <w:vAlign w:val="center"/>
            <w:hideMark/>
          </w:tcPr>
          <w:p w14:paraId="13634A1F" w14:textId="77777777" w:rsidR="000D4B59" w:rsidRPr="001D2160" w:rsidRDefault="000D4B59" w:rsidP="00B54CC5">
            <w:pPr>
              <w:pStyle w:val="NoSpacing"/>
              <w:rPr>
                <w:i/>
                <w:iCs/>
                <w:sz w:val="18"/>
                <w:szCs w:val="18"/>
              </w:rPr>
            </w:pPr>
            <w:r w:rsidRPr="001D2160">
              <w:rPr>
                <w:i/>
                <w:iCs/>
                <w:sz w:val="18"/>
                <w:szCs w:val="18"/>
              </w:rPr>
              <w:t>Missouri</w:t>
            </w:r>
          </w:p>
        </w:tc>
        <w:tc>
          <w:tcPr>
            <w:tcW w:w="0" w:type="auto"/>
            <w:shd w:val="clear" w:color="auto" w:fill="auto"/>
            <w:noWrap/>
            <w:vAlign w:val="center"/>
            <w:hideMark/>
          </w:tcPr>
          <w:p w14:paraId="631F436D" w14:textId="77777777" w:rsidR="000D4B59" w:rsidRPr="001D2160" w:rsidRDefault="000D4B59" w:rsidP="00B54CC5">
            <w:pPr>
              <w:pStyle w:val="NoSpacing"/>
              <w:jc w:val="center"/>
              <w:rPr>
                <w:sz w:val="18"/>
                <w:szCs w:val="18"/>
              </w:rPr>
            </w:pPr>
            <w:r w:rsidRPr="001D2160">
              <w:rPr>
                <w:sz w:val="18"/>
                <w:szCs w:val="18"/>
              </w:rPr>
              <w:t>8</w:t>
            </w:r>
          </w:p>
        </w:tc>
        <w:tc>
          <w:tcPr>
            <w:tcW w:w="0" w:type="auto"/>
            <w:shd w:val="clear" w:color="000000" w:fill="D9D9D9"/>
            <w:noWrap/>
            <w:vAlign w:val="center"/>
            <w:hideMark/>
          </w:tcPr>
          <w:p w14:paraId="416AA755" w14:textId="77777777" w:rsidR="000D4B59" w:rsidRPr="001D2160" w:rsidRDefault="000D4B59" w:rsidP="00B54CC5">
            <w:pPr>
              <w:pStyle w:val="NoSpacing"/>
              <w:jc w:val="center"/>
              <w:rPr>
                <w:sz w:val="18"/>
                <w:szCs w:val="18"/>
              </w:rPr>
            </w:pPr>
            <w:r w:rsidRPr="001D2160">
              <w:rPr>
                <w:sz w:val="18"/>
                <w:szCs w:val="18"/>
              </w:rPr>
              <w:t>3</w:t>
            </w:r>
          </w:p>
        </w:tc>
        <w:tc>
          <w:tcPr>
            <w:tcW w:w="0" w:type="auto"/>
            <w:tcBorders>
              <w:right w:val="single" w:sz="36" w:space="0" w:color="auto"/>
            </w:tcBorders>
            <w:shd w:val="clear" w:color="auto" w:fill="auto"/>
            <w:noWrap/>
            <w:vAlign w:val="center"/>
            <w:hideMark/>
          </w:tcPr>
          <w:p w14:paraId="33A22F96" w14:textId="77777777" w:rsidR="000D4B59" w:rsidRPr="001D2160" w:rsidRDefault="000D4B59" w:rsidP="00B54CC5">
            <w:pPr>
              <w:pStyle w:val="NoSpacing"/>
              <w:jc w:val="center"/>
              <w:rPr>
                <w:sz w:val="18"/>
                <w:szCs w:val="18"/>
              </w:rPr>
            </w:pPr>
            <w:r w:rsidRPr="001D2160">
              <w:rPr>
                <w:sz w:val="18"/>
                <w:szCs w:val="18"/>
              </w:rPr>
              <w:t>5</w:t>
            </w:r>
          </w:p>
        </w:tc>
        <w:tc>
          <w:tcPr>
            <w:tcW w:w="0" w:type="auto"/>
            <w:tcBorders>
              <w:left w:val="single" w:sz="36" w:space="0" w:color="auto"/>
            </w:tcBorders>
            <w:shd w:val="clear" w:color="auto" w:fill="auto"/>
            <w:noWrap/>
            <w:vAlign w:val="center"/>
            <w:hideMark/>
          </w:tcPr>
          <w:p w14:paraId="700860CF" w14:textId="77777777" w:rsidR="000D4B59" w:rsidRPr="001D2160" w:rsidRDefault="000D4B59" w:rsidP="00B54CC5">
            <w:pPr>
              <w:pStyle w:val="NoSpacing"/>
              <w:jc w:val="center"/>
              <w:rPr>
                <w:sz w:val="18"/>
                <w:szCs w:val="18"/>
              </w:rPr>
            </w:pPr>
            <w:r w:rsidRPr="001D2160">
              <w:rPr>
                <w:sz w:val="18"/>
                <w:szCs w:val="18"/>
              </w:rPr>
              <w:t>8</w:t>
            </w:r>
          </w:p>
        </w:tc>
        <w:tc>
          <w:tcPr>
            <w:tcW w:w="0" w:type="auto"/>
            <w:shd w:val="clear" w:color="000000" w:fill="D9D9D9"/>
            <w:noWrap/>
            <w:vAlign w:val="center"/>
            <w:hideMark/>
          </w:tcPr>
          <w:p w14:paraId="0C76E4CE" w14:textId="77777777" w:rsidR="000D4B59" w:rsidRPr="001D2160" w:rsidRDefault="000D4B59" w:rsidP="00B54CC5">
            <w:pPr>
              <w:pStyle w:val="NoSpacing"/>
              <w:jc w:val="center"/>
              <w:rPr>
                <w:sz w:val="18"/>
                <w:szCs w:val="18"/>
              </w:rPr>
            </w:pPr>
            <w:r w:rsidRPr="001D2160">
              <w:rPr>
                <w:sz w:val="18"/>
                <w:szCs w:val="18"/>
              </w:rPr>
              <w:t>2 (-1)</w:t>
            </w:r>
          </w:p>
        </w:tc>
        <w:tc>
          <w:tcPr>
            <w:tcW w:w="0" w:type="auto"/>
            <w:shd w:val="clear" w:color="auto" w:fill="auto"/>
            <w:noWrap/>
            <w:vAlign w:val="center"/>
            <w:hideMark/>
          </w:tcPr>
          <w:p w14:paraId="48347333" w14:textId="77777777" w:rsidR="000D4B59" w:rsidRPr="001D2160" w:rsidRDefault="000D4B59" w:rsidP="00B54CC5">
            <w:pPr>
              <w:pStyle w:val="NoSpacing"/>
              <w:jc w:val="center"/>
              <w:rPr>
                <w:sz w:val="18"/>
                <w:szCs w:val="18"/>
              </w:rPr>
            </w:pPr>
            <w:r w:rsidRPr="001D2160">
              <w:rPr>
                <w:sz w:val="18"/>
                <w:szCs w:val="18"/>
              </w:rPr>
              <w:t>6 (+1)</w:t>
            </w:r>
          </w:p>
        </w:tc>
      </w:tr>
      <w:tr w:rsidR="000D4B59" w:rsidRPr="00F8621C" w14:paraId="1C3202E1" w14:textId="77777777" w:rsidTr="000A7116">
        <w:trPr>
          <w:trHeight w:val="53"/>
          <w:jc w:val="center"/>
        </w:trPr>
        <w:tc>
          <w:tcPr>
            <w:tcW w:w="0" w:type="auto"/>
            <w:shd w:val="clear" w:color="auto" w:fill="auto"/>
            <w:noWrap/>
            <w:vAlign w:val="center"/>
            <w:hideMark/>
          </w:tcPr>
          <w:p w14:paraId="338116E2" w14:textId="77777777" w:rsidR="000D4B59" w:rsidRPr="001D2160" w:rsidRDefault="000D4B59" w:rsidP="00B54CC5">
            <w:pPr>
              <w:pStyle w:val="NoSpacing"/>
              <w:rPr>
                <w:i/>
                <w:iCs/>
                <w:sz w:val="18"/>
                <w:szCs w:val="18"/>
              </w:rPr>
            </w:pPr>
            <w:r w:rsidRPr="001D2160">
              <w:rPr>
                <w:i/>
                <w:iCs/>
                <w:sz w:val="18"/>
                <w:szCs w:val="18"/>
              </w:rPr>
              <w:t>New Jersey</w:t>
            </w:r>
          </w:p>
        </w:tc>
        <w:tc>
          <w:tcPr>
            <w:tcW w:w="0" w:type="auto"/>
            <w:shd w:val="clear" w:color="auto" w:fill="auto"/>
            <w:noWrap/>
            <w:vAlign w:val="center"/>
            <w:hideMark/>
          </w:tcPr>
          <w:p w14:paraId="7A579E09" w14:textId="77777777" w:rsidR="000D4B59" w:rsidRPr="001D2160" w:rsidRDefault="000D4B59" w:rsidP="00B54CC5">
            <w:pPr>
              <w:pStyle w:val="NoSpacing"/>
              <w:jc w:val="center"/>
              <w:rPr>
                <w:sz w:val="18"/>
                <w:szCs w:val="18"/>
              </w:rPr>
            </w:pPr>
            <w:r w:rsidRPr="001D2160">
              <w:rPr>
                <w:sz w:val="18"/>
                <w:szCs w:val="18"/>
              </w:rPr>
              <w:t>12</w:t>
            </w:r>
          </w:p>
        </w:tc>
        <w:tc>
          <w:tcPr>
            <w:tcW w:w="0" w:type="auto"/>
            <w:shd w:val="clear" w:color="000000" w:fill="D9D9D9"/>
            <w:noWrap/>
            <w:vAlign w:val="center"/>
            <w:hideMark/>
          </w:tcPr>
          <w:p w14:paraId="0E56B97B" w14:textId="77777777" w:rsidR="000D4B59" w:rsidRPr="001D2160" w:rsidRDefault="000D4B59" w:rsidP="00B54CC5">
            <w:pPr>
              <w:pStyle w:val="NoSpacing"/>
              <w:jc w:val="center"/>
              <w:rPr>
                <w:sz w:val="18"/>
                <w:szCs w:val="18"/>
              </w:rPr>
            </w:pPr>
            <w:r w:rsidRPr="001D2160">
              <w:rPr>
                <w:sz w:val="18"/>
                <w:szCs w:val="18"/>
              </w:rPr>
              <w:t>9</w:t>
            </w:r>
          </w:p>
        </w:tc>
        <w:tc>
          <w:tcPr>
            <w:tcW w:w="0" w:type="auto"/>
            <w:tcBorders>
              <w:right w:val="single" w:sz="36" w:space="0" w:color="auto"/>
            </w:tcBorders>
            <w:shd w:val="clear" w:color="auto" w:fill="auto"/>
            <w:noWrap/>
            <w:vAlign w:val="center"/>
            <w:hideMark/>
          </w:tcPr>
          <w:p w14:paraId="3016610D" w14:textId="77777777" w:rsidR="000D4B59" w:rsidRPr="001D2160" w:rsidRDefault="000D4B59" w:rsidP="00B54CC5">
            <w:pPr>
              <w:pStyle w:val="NoSpacing"/>
              <w:jc w:val="center"/>
              <w:rPr>
                <w:sz w:val="18"/>
                <w:szCs w:val="18"/>
              </w:rPr>
            </w:pPr>
            <w:r w:rsidRPr="001D2160">
              <w:rPr>
                <w:sz w:val="18"/>
                <w:szCs w:val="18"/>
              </w:rPr>
              <w:t>3</w:t>
            </w:r>
          </w:p>
        </w:tc>
        <w:tc>
          <w:tcPr>
            <w:tcW w:w="0" w:type="auto"/>
            <w:tcBorders>
              <w:left w:val="single" w:sz="36" w:space="0" w:color="auto"/>
            </w:tcBorders>
            <w:shd w:val="clear" w:color="auto" w:fill="auto"/>
            <w:noWrap/>
            <w:vAlign w:val="center"/>
            <w:hideMark/>
          </w:tcPr>
          <w:p w14:paraId="6596007E" w14:textId="77777777" w:rsidR="000D4B59" w:rsidRPr="001D2160" w:rsidRDefault="000D4B59" w:rsidP="00B54CC5">
            <w:pPr>
              <w:pStyle w:val="NoSpacing"/>
              <w:jc w:val="center"/>
              <w:rPr>
                <w:sz w:val="18"/>
                <w:szCs w:val="18"/>
              </w:rPr>
            </w:pPr>
            <w:r w:rsidRPr="001D2160">
              <w:rPr>
                <w:sz w:val="18"/>
                <w:szCs w:val="18"/>
              </w:rPr>
              <w:t>12</w:t>
            </w:r>
          </w:p>
        </w:tc>
        <w:tc>
          <w:tcPr>
            <w:tcW w:w="0" w:type="auto"/>
            <w:shd w:val="clear" w:color="000000" w:fill="D9D9D9"/>
            <w:noWrap/>
            <w:vAlign w:val="center"/>
            <w:hideMark/>
          </w:tcPr>
          <w:p w14:paraId="469DDAA2" w14:textId="77777777" w:rsidR="000D4B59" w:rsidRPr="001D2160" w:rsidRDefault="000D4B59" w:rsidP="00B54CC5">
            <w:pPr>
              <w:pStyle w:val="NoSpacing"/>
              <w:jc w:val="center"/>
              <w:rPr>
                <w:sz w:val="18"/>
                <w:szCs w:val="18"/>
              </w:rPr>
            </w:pPr>
            <w:r w:rsidRPr="001D2160">
              <w:rPr>
                <w:sz w:val="18"/>
                <w:szCs w:val="18"/>
              </w:rPr>
              <w:t>10 (+1)</w:t>
            </w:r>
          </w:p>
        </w:tc>
        <w:tc>
          <w:tcPr>
            <w:tcW w:w="0" w:type="auto"/>
            <w:shd w:val="clear" w:color="auto" w:fill="auto"/>
            <w:noWrap/>
            <w:vAlign w:val="center"/>
            <w:hideMark/>
          </w:tcPr>
          <w:p w14:paraId="30D9522B" w14:textId="77777777" w:rsidR="000D4B59" w:rsidRPr="001D2160" w:rsidRDefault="000D4B59" w:rsidP="00B54CC5">
            <w:pPr>
              <w:pStyle w:val="NoSpacing"/>
              <w:jc w:val="center"/>
              <w:rPr>
                <w:sz w:val="18"/>
                <w:szCs w:val="18"/>
              </w:rPr>
            </w:pPr>
            <w:r w:rsidRPr="001D2160">
              <w:rPr>
                <w:sz w:val="18"/>
                <w:szCs w:val="18"/>
              </w:rPr>
              <w:t>2 (-1)</w:t>
            </w:r>
          </w:p>
        </w:tc>
      </w:tr>
      <w:tr w:rsidR="000D4B59" w:rsidRPr="00F8621C" w14:paraId="11AD35C7" w14:textId="77777777" w:rsidTr="00771774">
        <w:trPr>
          <w:trHeight w:val="192"/>
          <w:jc w:val="center"/>
        </w:trPr>
        <w:tc>
          <w:tcPr>
            <w:tcW w:w="0" w:type="auto"/>
            <w:shd w:val="clear" w:color="auto" w:fill="auto"/>
            <w:noWrap/>
            <w:vAlign w:val="center"/>
            <w:hideMark/>
          </w:tcPr>
          <w:p w14:paraId="45A5419D" w14:textId="77777777" w:rsidR="000D4B59" w:rsidRPr="001D2160" w:rsidRDefault="000D4B59" w:rsidP="00B54CC5">
            <w:pPr>
              <w:pStyle w:val="NoSpacing"/>
              <w:rPr>
                <w:i/>
                <w:iCs/>
                <w:sz w:val="18"/>
                <w:szCs w:val="18"/>
              </w:rPr>
            </w:pPr>
            <w:r w:rsidRPr="001D2160">
              <w:rPr>
                <w:i/>
                <w:iCs/>
                <w:sz w:val="18"/>
                <w:szCs w:val="18"/>
              </w:rPr>
              <w:t>New York</w:t>
            </w:r>
          </w:p>
        </w:tc>
        <w:tc>
          <w:tcPr>
            <w:tcW w:w="0" w:type="auto"/>
            <w:shd w:val="clear" w:color="auto" w:fill="auto"/>
            <w:noWrap/>
            <w:vAlign w:val="center"/>
            <w:hideMark/>
          </w:tcPr>
          <w:p w14:paraId="6FD2EFA3" w14:textId="77777777" w:rsidR="000D4B59" w:rsidRPr="001D2160" w:rsidRDefault="000D4B59" w:rsidP="00B54CC5">
            <w:pPr>
              <w:pStyle w:val="NoSpacing"/>
              <w:jc w:val="center"/>
              <w:rPr>
                <w:sz w:val="18"/>
                <w:szCs w:val="18"/>
              </w:rPr>
            </w:pPr>
            <w:r w:rsidRPr="001D2160">
              <w:rPr>
                <w:sz w:val="18"/>
                <w:szCs w:val="18"/>
              </w:rPr>
              <w:t>27</w:t>
            </w:r>
          </w:p>
        </w:tc>
        <w:tc>
          <w:tcPr>
            <w:tcW w:w="0" w:type="auto"/>
            <w:shd w:val="clear" w:color="000000" w:fill="D9D9D9"/>
            <w:noWrap/>
            <w:vAlign w:val="center"/>
            <w:hideMark/>
          </w:tcPr>
          <w:p w14:paraId="0A40249F" w14:textId="77777777" w:rsidR="000D4B59" w:rsidRPr="001D2160" w:rsidRDefault="000D4B59" w:rsidP="00B54CC5">
            <w:pPr>
              <w:pStyle w:val="NoSpacing"/>
              <w:jc w:val="center"/>
              <w:rPr>
                <w:sz w:val="18"/>
                <w:szCs w:val="18"/>
              </w:rPr>
            </w:pPr>
            <w:r w:rsidRPr="001D2160">
              <w:rPr>
                <w:sz w:val="18"/>
                <w:szCs w:val="18"/>
              </w:rPr>
              <w:t>20</w:t>
            </w:r>
          </w:p>
        </w:tc>
        <w:tc>
          <w:tcPr>
            <w:tcW w:w="0" w:type="auto"/>
            <w:tcBorders>
              <w:right w:val="single" w:sz="36" w:space="0" w:color="auto"/>
            </w:tcBorders>
            <w:shd w:val="clear" w:color="auto" w:fill="auto"/>
            <w:noWrap/>
            <w:vAlign w:val="center"/>
            <w:hideMark/>
          </w:tcPr>
          <w:p w14:paraId="59C9AA86" w14:textId="77777777" w:rsidR="000D4B59" w:rsidRPr="001D2160" w:rsidRDefault="000D4B59" w:rsidP="00B54CC5">
            <w:pPr>
              <w:pStyle w:val="NoSpacing"/>
              <w:jc w:val="center"/>
              <w:rPr>
                <w:sz w:val="18"/>
                <w:szCs w:val="18"/>
              </w:rPr>
            </w:pPr>
            <w:r w:rsidRPr="001D2160">
              <w:rPr>
                <w:sz w:val="18"/>
                <w:szCs w:val="18"/>
              </w:rPr>
              <w:t>7</w:t>
            </w:r>
          </w:p>
        </w:tc>
        <w:tc>
          <w:tcPr>
            <w:tcW w:w="0" w:type="auto"/>
            <w:tcBorders>
              <w:left w:val="single" w:sz="36" w:space="0" w:color="auto"/>
            </w:tcBorders>
            <w:shd w:val="clear" w:color="auto" w:fill="auto"/>
            <w:noWrap/>
            <w:vAlign w:val="center"/>
            <w:hideMark/>
          </w:tcPr>
          <w:p w14:paraId="289FAA74" w14:textId="77777777" w:rsidR="000D4B59" w:rsidRPr="001D2160" w:rsidRDefault="000D4B59" w:rsidP="00B54CC5">
            <w:pPr>
              <w:pStyle w:val="NoSpacing"/>
              <w:jc w:val="center"/>
              <w:rPr>
                <w:sz w:val="18"/>
                <w:szCs w:val="18"/>
              </w:rPr>
            </w:pPr>
            <w:r w:rsidRPr="001D2160">
              <w:rPr>
                <w:sz w:val="18"/>
                <w:szCs w:val="18"/>
              </w:rPr>
              <w:t>26 (-1)</w:t>
            </w:r>
          </w:p>
        </w:tc>
        <w:tc>
          <w:tcPr>
            <w:tcW w:w="0" w:type="auto"/>
            <w:shd w:val="clear" w:color="000000" w:fill="D9D9D9"/>
            <w:noWrap/>
            <w:vAlign w:val="center"/>
            <w:hideMark/>
          </w:tcPr>
          <w:p w14:paraId="105ADA78" w14:textId="77777777" w:rsidR="000D4B59" w:rsidRPr="001D2160" w:rsidRDefault="000D4B59" w:rsidP="00B54CC5">
            <w:pPr>
              <w:pStyle w:val="NoSpacing"/>
              <w:jc w:val="center"/>
              <w:rPr>
                <w:sz w:val="18"/>
                <w:szCs w:val="18"/>
              </w:rPr>
            </w:pPr>
            <w:r w:rsidRPr="001D2160">
              <w:rPr>
                <w:sz w:val="18"/>
                <w:szCs w:val="18"/>
              </w:rPr>
              <w:t>21 (+1)</w:t>
            </w:r>
          </w:p>
        </w:tc>
        <w:tc>
          <w:tcPr>
            <w:tcW w:w="0" w:type="auto"/>
            <w:shd w:val="clear" w:color="auto" w:fill="auto"/>
            <w:noWrap/>
            <w:vAlign w:val="center"/>
            <w:hideMark/>
          </w:tcPr>
          <w:p w14:paraId="087BD529" w14:textId="77777777" w:rsidR="000D4B59" w:rsidRPr="001D2160" w:rsidRDefault="000D4B59" w:rsidP="00B54CC5">
            <w:pPr>
              <w:pStyle w:val="NoSpacing"/>
              <w:jc w:val="center"/>
              <w:rPr>
                <w:sz w:val="18"/>
                <w:szCs w:val="18"/>
              </w:rPr>
            </w:pPr>
            <w:r w:rsidRPr="001D2160">
              <w:rPr>
                <w:sz w:val="18"/>
                <w:szCs w:val="18"/>
              </w:rPr>
              <w:t>5 (-2)</w:t>
            </w:r>
          </w:p>
        </w:tc>
      </w:tr>
      <w:tr w:rsidR="000D4B59" w:rsidRPr="00F8621C" w14:paraId="1602CAC0" w14:textId="77777777" w:rsidTr="00CB0D01">
        <w:trPr>
          <w:trHeight w:val="152"/>
          <w:jc w:val="center"/>
        </w:trPr>
        <w:tc>
          <w:tcPr>
            <w:tcW w:w="0" w:type="auto"/>
            <w:shd w:val="clear" w:color="auto" w:fill="auto"/>
            <w:noWrap/>
            <w:vAlign w:val="center"/>
            <w:hideMark/>
          </w:tcPr>
          <w:p w14:paraId="3CF4C964" w14:textId="77777777" w:rsidR="000D4B59" w:rsidRPr="001D2160" w:rsidRDefault="000D4B59" w:rsidP="00B54CC5">
            <w:pPr>
              <w:pStyle w:val="NoSpacing"/>
              <w:rPr>
                <w:i/>
                <w:iCs/>
                <w:sz w:val="18"/>
                <w:szCs w:val="18"/>
              </w:rPr>
            </w:pPr>
            <w:r w:rsidRPr="001D2160">
              <w:rPr>
                <w:i/>
                <w:iCs/>
                <w:sz w:val="18"/>
                <w:szCs w:val="18"/>
              </w:rPr>
              <w:t>North Carolina</w:t>
            </w:r>
          </w:p>
        </w:tc>
        <w:tc>
          <w:tcPr>
            <w:tcW w:w="0" w:type="auto"/>
            <w:shd w:val="clear" w:color="auto" w:fill="auto"/>
            <w:noWrap/>
            <w:vAlign w:val="center"/>
            <w:hideMark/>
          </w:tcPr>
          <w:p w14:paraId="15DEE0B7" w14:textId="77777777" w:rsidR="000D4B59" w:rsidRPr="001D2160" w:rsidRDefault="000D4B59" w:rsidP="00B54CC5">
            <w:pPr>
              <w:pStyle w:val="NoSpacing"/>
              <w:jc w:val="center"/>
              <w:rPr>
                <w:sz w:val="18"/>
                <w:szCs w:val="18"/>
              </w:rPr>
            </w:pPr>
            <w:r w:rsidRPr="001D2160">
              <w:rPr>
                <w:sz w:val="18"/>
                <w:szCs w:val="18"/>
              </w:rPr>
              <w:t>13</w:t>
            </w:r>
          </w:p>
        </w:tc>
        <w:tc>
          <w:tcPr>
            <w:tcW w:w="0" w:type="auto"/>
            <w:shd w:val="clear" w:color="000000" w:fill="D9D9D9"/>
            <w:noWrap/>
            <w:vAlign w:val="center"/>
            <w:hideMark/>
          </w:tcPr>
          <w:p w14:paraId="225F88BA" w14:textId="77777777" w:rsidR="000D4B59" w:rsidRPr="001D2160" w:rsidRDefault="000D4B59" w:rsidP="00B54CC5">
            <w:pPr>
              <w:pStyle w:val="NoSpacing"/>
              <w:jc w:val="center"/>
              <w:rPr>
                <w:sz w:val="18"/>
                <w:szCs w:val="18"/>
              </w:rPr>
            </w:pPr>
            <w:r w:rsidRPr="001D2160">
              <w:rPr>
                <w:sz w:val="18"/>
                <w:szCs w:val="18"/>
              </w:rPr>
              <w:t>5</w:t>
            </w:r>
          </w:p>
        </w:tc>
        <w:tc>
          <w:tcPr>
            <w:tcW w:w="0" w:type="auto"/>
            <w:tcBorders>
              <w:right w:val="single" w:sz="36" w:space="0" w:color="auto"/>
            </w:tcBorders>
            <w:shd w:val="clear" w:color="auto" w:fill="auto"/>
            <w:noWrap/>
            <w:vAlign w:val="center"/>
            <w:hideMark/>
          </w:tcPr>
          <w:p w14:paraId="460CFC8B" w14:textId="77777777" w:rsidR="000D4B59" w:rsidRPr="001D2160" w:rsidRDefault="000D4B59" w:rsidP="00B54CC5">
            <w:pPr>
              <w:pStyle w:val="NoSpacing"/>
              <w:jc w:val="center"/>
              <w:rPr>
                <w:sz w:val="18"/>
                <w:szCs w:val="18"/>
              </w:rPr>
            </w:pPr>
            <w:r w:rsidRPr="001D2160">
              <w:rPr>
                <w:sz w:val="18"/>
                <w:szCs w:val="18"/>
              </w:rPr>
              <w:t>8</w:t>
            </w:r>
          </w:p>
        </w:tc>
        <w:tc>
          <w:tcPr>
            <w:tcW w:w="0" w:type="auto"/>
            <w:tcBorders>
              <w:left w:val="single" w:sz="36" w:space="0" w:color="auto"/>
            </w:tcBorders>
            <w:shd w:val="clear" w:color="auto" w:fill="auto"/>
            <w:noWrap/>
            <w:vAlign w:val="center"/>
            <w:hideMark/>
          </w:tcPr>
          <w:p w14:paraId="7B414A71" w14:textId="77777777" w:rsidR="000D4B59" w:rsidRPr="001D2160" w:rsidRDefault="000D4B59" w:rsidP="00B54CC5">
            <w:pPr>
              <w:pStyle w:val="NoSpacing"/>
              <w:jc w:val="center"/>
              <w:rPr>
                <w:sz w:val="18"/>
                <w:szCs w:val="18"/>
              </w:rPr>
            </w:pPr>
            <w:r w:rsidRPr="001D2160">
              <w:rPr>
                <w:sz w:val="18"/>
                <w:szCs w:val="18"/>
              </w:rPr>
              <w:t>14 (+1)</w:t>
            </w:r>
          </w:p>
        </w:tc>
        <w:tc>
          <w:tcPr>
            <w:tcW w:w="0" w:type="auto"/>
            <w:shd w:val="clear" w:color="000000" w:fill="D9D9D9"/>
            <w:noWrap/>
            <w:vAlign w:val="center"/>
            <w:hideMark/>
          </w:tcPr>
          <w:p w14:paraId="12D1CB1D" w14:textId="77777777" w:rsidR="000D4B59" w:rsidRPr="001D2160" w:rsidRDefault="000D4B59" w:rsidP="00B54CC5">
            <w:pPr>
              <w:pStyle w:val="NoSpacing"/>
              <w:jc w:val="center"/>
              <w:rPr>
                <w:sz w:val="18"/>
                <w:szCs w:val="18"/>
              </w:rPr>
            </w:pPr>
            <w:r w:rsidRPr="001D2160">
              <w:rPr>
                <w:sz w:val="18"/>
                <w:szCs w:val="18"/>
              </w:rPr>
              <w:t>7 (+2)</w:t>
            </w:r>
          </w:p>
        </w:tc>
        <w:tc>
          <w:tcPr>
            <w:tcW w:w="0" w:type="auto"/>
            <w:shd w:val="clear" w:color="auto" w:fill="auto"/>
            <w:noWrap/>
            <w:vAlign w:val="center"/>
            <w:hideMark/>
          </w:tcPr>
          <w:p w14:paraId="1569C6F8" w14:textId="77777777" w:rsidR="000D4B59" w:rsidRPr="001D2160" w:rsidRDefault="000D4B59" w:rsidP="00B54CC5">
            <w:pPr>
              <w:pStyle w:val="NoSpacing"/>
              <w:jc w:val="center"/>
              <w:rPr>
                <w:sz w:val="18"/>
                <w:szCs w:val="18"/>
              </w:rPr>
            </w:pPr>
            <w:r w:rsidRPr="001D2160">
              <w:rPr>
                <w:sz w:val="18"/>
                <w:szCs w:val="18"/>
              </w:rPr>
              <w:t>7 (-1)</w:t>
            </w:r>
          </w:p>
        </w:tc>
      </w:tr>
      <w:tr w:rsidR="000D4B59" w:rsidRPr="00F8621C" w14:paraId="09541B79" w14:textId="77777777" w:rsidTr="00CB0D01">
        <w:trPr>
          <w:trHeight w:val="53"/>
          <w:jc w:val="center"/>
        </w:trPr>
        <w:tc>
          <w:tcPr>
            <w:tcW w:w="0" w:type="auto"/>
            <w:shd w:val="clear" w:color="auto" w:fill="auto"/>
            <w:noWrap/>
            <w:vAlign w:val="center"/>
            <w:hideMark/>
          </w:tcPr>
          <w:p w14:paraId="0428D323" w14:textId="77777777" w:rsidR="000D4B59" w:rsidRPr="001D2160" w:rsidRDefault="000D4B59" w:rsidP="00B54CC5">
            <w:pPr>
              <w:pStyle w:val="NoSpacing"/>
              <w:rPr>
                <w:i/>
                <w:iCs/>
                <w:sz w:val="18"/>
                <w:szCs w:val="18"/>
              </w:rPr>
            </w:pPr>
            <w:r w:rsidRPr="001D2160">
              <w:rPr>
                <w:i/>
                <w:iCs/>
                <w:sz w:val="18"/>
                <w:szCs w:val="18"/>
              </w:rPr>
              <w:t>Oregon</w:t>
            </w:r>
          </w:p>
        </w:tc>
        <w:tc>
          <w:tcPr>
            <w:tcW w:w="0" w:type="auto"/>
            <w:shd w:val="clear" w:color="auto" w:fill="auto"/>
            <w:noWrap/>
            <w:vAlign w:val="center"/>
            <w:hideMark/>
          </w:tcPr>
          <w:p w14:paraId="2D389FB6" w14:textId="77777777" w:rsidR="000D4B59" w:rsidRPr="001D2160" w:rsidRDefault="000D4B59" w:rsidP="00B54CC5">
            <w:pPr>
              <w:pStyle w:val="NoSpacing"/>
              <w:jc w:val="center"/>
              <w:rPr>
                <w:sz w:val="18"/>
                <w:szCs w:val="18"/>
              </w:rPr>
            </w:pPr>
            <w:r w:rsidRPr="001D2160">
              <w:rPr>
                <w:sz w:val="18"/>
                <w:szCs w:val="18"/>
              </w:rPr>
              <w:t>5</w:t>
            </w:r>
          </w:p>
        </w:tc>
        <w:tc>
          <w:tcPr>
            <w:tcW w:w="0" w:type="auto"/>
            <w:shd w:val="clear" w:color="000000" w:fill="D9D9D9"/>
            <w:noWrap/>
            <w:vAlign w:val="center"/>
            <w:hideMark/>
          </w:tcPr>
          <w:p w14:paraId="7053D338" w14:textId="77777777" w:rsidR="000D4B59" w:rsidRPr="001D2160" w:rsidRDefault="000D4B59" w:rsidP="00B54CC5">
            <w:pPr>
              <w:pStyle w:val="NoSpacing"/>
              <w:jc w:val="center"/>
              <w:rPr>
                <w:sz w:val="18"/>
                <w:szCs w:val="18"/>
              </w:rPr>
            </w:pPr>
            <w:r w:rsidRPr="001D2160">
              <w:rPr>
                <w:sz w:val="18"/>
                <w:szCs w:val="18"/>
              </w:rPr>
              <w:t>4</w:t>
            </w:r>
          </w:p>
        </w:tc>
        <w:tc>
          <w:tcPr>
            <w:tcW w:w="0" w:type="auto"/>
            <w:tcBorders>
              <w:right w:val="single" w:sz="36" w:space="0" w:color="auto"/>
            </w:tcBorders>
            <w:shd w:val="clear" w:color="auto" w:fill="auto"/>
            <w:noWrap/>
            <w:vAlign w:val="center"/>
            <w:hideMark/>
          </w:tcPr>
          <w:p w14:paraId="5ADAFDD5" w14:textId="77777777" w:rsidR="000D4B59" w:rsidRPr="001D2160" w:rsidRDefault="000D4B59" w:rsidP="00B54CC5">
            <w:pPr>
              <w:pStyle w:val="NoSpacing"/>
              <w:jc w:val="center"/>
              <w:rPr>
                <w:sz w:val="18"/>
                <w:szCs w:val="18"/>
              </w:rPr>
            </w:pPr>
            <w:r w:rsidRPr="001D2160">
              <w:rPr>
                <w:sz w:val="18"/>
                <w:szCs w:val="18"/>
              </w:rPr>
              <w:t>1</w:t>
            </w:r>
          </w:p>
        </w:tc>
        <w:tc>
          <w:tcPr>
            <w:tcW w:w="0" w:type="auto"/>
            <w:tcBorders>
              <w:left w:val="single" w:sz="36" w:space="0" w:color="auto"/>
            </w:tcBorders>
            <w:shd w:val="clear" w:color="auto" w:fill="auto"/>
            <w:noWrap/>
            <w:vAlign w:val="center"/>
            <w:hideMark/>
          </w:tcPr>
          <w:p w14:paraId="1E48C333" w14:textId="77777777" w:rsidR="000D4B59" w:rsidRPr="001D2160" w:rsidRDefault="000D4B59" w:rsidP="00B54CC5">
            <w:pPr>
              <w:pStyle w:val="NoSpacing"/>
              <w:jc w:val="center"/>
              <w:rPr>
                <w:sz w:val="18"/>
                <w:szCs w:val="18"/>
              </w:rPr>
            </w:pPr>
            <w:r w:rsidRPr="001D2160">
              <w:rPr>
                <w:sz w:val="18"/>
                <w:szCs w:val="18"/>
              </w:rPr>
              <w:t>6 (+1)</w:t>
            </w:r>
          </w:p>
        </w:tc>
        <w:tc>
          <w:tcPr>
            <w:tcW w:w="0" w:type="auto"/>
            <w:shd w:val="clear" w:color="000000" w:fill="D9D9D9"/>
            <w:noWrap/>
            <w:vAlign w:val="center"/>
            <w:hideMark/>
          </w:tcPr>
          <w:p w14:paraId="687547CD" w14:textId="77777777" w:rsidR="000D4B59" w:rsidRPr="001D2160" w:rsidRDefault="000D4B59" w:rsidP="00B54CC5">
            <w:pPr>
              <w:pStyle w:val="NoSpacing"/>
              <w:jc w:val="center"/>
              <w:rPr>
                <w:sz w:val="18"/>
                <w:szCs w:val="18"/>
              </w:rPr>
            </w:pPr>
            <w:r w:rsidRPr="001D2160">
              <w:rPr>
                <w:sz w:val="18"/>
                <w:szCs w:val="18"/>
              </w:rPr>
              <w:t>5 (+1)</w:t>
            </w:r>
          </w:p>
        </w:tc>
        <w:tc>
          <w:tcPr>
            <w:tcW w:w="0" w:type="auto"/>
            <w:shd w:val="clear" w:color="auto" w:fill="auto"/>
            <w:noWrap/>
            <w:vAlign w:val="center"/>
            <w:hideMark/>
          </w:tcPr>
          <w:p w14:paraId="7650803A" w14:textId="77777777" w:rsidR="000D4B59" w:rsidRPr="001D2160" w:rsidRDefault="000D4B59" w:rsidP="00B54CC5">
            <w:pPr>
              <w:pStyle w:val="NoSpacing"/>
              <w:jc w:val="center"/>
              <w:rPr>
                <w:sz w:val="18"/>
                <w:szCs w:val="18"/>
              </w:rPr>
            </w:pPr>
            <w:r w:rsidRPr="001D2160">
              <w:rPr>
                <w:sz w:val="18"/>
                <w:szCs w:val="18"/>
              </w:rPr>
              <w:t>1</w:t>
            </w:r>
          </w:p>
        </w:tc>
      </w:tr>
      <w:tr w:rsidR="000D4B59" w:rsidRPr="00F8621C" w14:paraId="44F92A8A" w14:textId="77777777" w:rsidTr="00B54CC5">
        <w:trPr>
          <w:trHeight w:val="134"/>
          <w:jc w:val="center"/>
        </w:trPr>
        <w:tc>
          <w:tcPr>
            <w:tcW w:w="0" w:type="auto"/>
            <w:shd w:val="clear" w:color="auto" w:fill="auto"/>
            <w:noWrap/>
            <w:vAlign w:val="center"/>
            <w:hideMark/>
          </w:tcPr>
          <w:p w14:paraId="7AAEA1BB" w14:textId="77777777" w:rsidR="000D4B59" w:rsidRPr="001D2160" w:rsidRDefault="000D4B59" w:rsidP="00B54CC5">
            <w:pPr>
              <w:pStyle w:val="NoSpacing"/>
              <w:rPr>
                <w:i/>
                <w:iCs/>
                <w:sz w:val="18"/>
                <w:szCs w:val="18"/>
              </w:rPr>
            </w:pPr>
            <w:r w:rsidRPr="001D2160">
              <w:rPr>
                <w:i/>
                <w:iCs/>
                <w:sz w:val="18"/>
                <w:szCs w:val="18"/>
              </w:rPr>
              <w:t>Tennessee</w:t>
            </w:r>
          </w:p>
        </w:tc>
        <w:tc>
          <w:tcPr>
            <w:tcW w:w="0" w:type="auto"/>
            <w:shd w:val="clear" w:color="auto" w:fill="auto"/>
            <w:noWrap/>
            <w:vAlign w:val="center"/>
            <w:hideMark/>
          </w:tcPr>
          <w:p w14:paraId="187F8CA8" w14:textId="77777777" w:rsidR="000D4B59" w:rsidRPr="001D2160" w:rsidRDefault="000D4B59" w:rsidP="00B54CC5">
            <w:pPr>
              <w:pStyle w:val="NoSpacing"/>
              <w:jc w:val="center"/>
              <w:rPr>
                <w:sz w:val="18"/>
                <w:szCs w:val="18"/>
              </w:rPr>
            </w:pPr>
            <w:r w:rsidRPr="001D2160">
              <w:rPr>
                <w:sz w:val="18"/>
                <w:szCs w:val="18"/>
              </w:rPr>
              <w:t>9</w:t>
            </w:r>
          </w:p>
        </w:tc>
        <w:tc>
          <w:tcPr>
            <w:tcW w:w="0" w:type="auto"/>
            <w:shd w:val="clear" w:color="000000" w:fill="D9D9D9"/>
            <w:noWrap/>
            <w:vAlign w:val="center"/>
            <w:hideMark/>
          </w:tcPr>
          <w:p w14:paraId="7043B71C" w14:textId="77777777" w:rsidR="000D4B59" w:rsidRPr="001D2160" w:rsidRDefault="000D4B59" w:rsidP="00B54CC5">
            <w:pPr>
              <w:pStyle w:val="NoSpacing"/>
              <w:jc w:val="center"/>
              <w:rPr>
                <w:sz w:val="18"/>
                <w:szCs w:val="18"/>
              </w:rPr>
            </w:pPr>
            <w:r w:rsidRPr="001D2160">
              <w:rPr>
                <w:sz w:val="18"/>
                <w:szCs w:val="18"/>
              </w:rPr>
              <w:t>2</w:t>
            </w:r>
          </w:p>
        </w:tc>
        <w:tc>
          <w:tcPr>
            <w:tcW w:w="0" w:type="auto"/>
            <w:tcBorders>
              <w:right w:val="single" w:sz="36" w:space="0" w:color="auto"/>
            </w:tcBorders>
            <w:shd w:val="clear" w:color="auto" w:fill="auto"/>
            <w:noWrap/>
            <w:vAlign w:val="center"/>
            <w:hideMark/>
          </w:tcPr>
          <w:p w14:paraId="70D4A235" w14:textId="77777777" w:rsidR="000D4B59" w:rsidRPr="001D2160" w:rsidRDefault="000D4B59" w:rsidP="00B54CC5">
            <w:pPr>
              <w:pStyle w:val="NoSpacing"/>
              <w:jc w:val="center"/>
              <w:rPr>
                <w:sz w:val="18"/>
                <w:szCs w:val="18"/>
              </w:rPr>
            </w:pPr>
            <w:r w:rsidRPr="001D2160">
              <w:rPr>
                <w:sz w:val="18"/>
                <w:szCs w:val="18"/>
              </w:rPr>
              <w:t>7</w:t>
            </w:r>
          </w:p>
        </w:tc>
        <w:tc>
          <w:tcPr>
            <w:tcW w:w="0" w:type="auto"/>
            <w:tcBorders>
              <w:left w:val="single" w:sz="36" w:space="0" w:color="auto"/>
            </w:tcBorders>
            <w:shd w:val="clear" w:color="auto" w:fill="auto"/>
            <w:noWrap/>
            <w:vAlign w:val="center"/>
            <w:hideMark/>
          </w:tcPr>
          <w:p w14:paraId="285FC0F8" w14:textId="77777777" w:rsidR="000D4B59" w:rsidRPr="001D2160" w:rsidRDefault="000D4B59" w:rsidP="00B54CC5">
            <w:pPr>
              <w:pStyle w:val="NoSpacing"/>
              <w:jc w:val="center"/>
              <w:rPr>
                <w:sz w:val="18"/>
                <w:szCs w:val="18"/>
              </w:rPr>
            </w:pPr>
            <w:r w:rsidRPr="001D2160">
              <w:rPr>
                <w:sz w:val="18"/>
                <w:szCs w:val="18"/>
              </w:rPr>
              <w:t>9</w:t>
            </w:r>
          </w:p>
        </w:tc>
        <w:tc>
          <w:tcPr>
            <w:tcW w:w="0" w:type="auto"/>
            <w:shd w:val="clear" w:color="000000" w:fill="D9D9D9"/>
            <w:noWrap/>
            <w:vAlign w:val="center"/>
            <w:hideMark/>
          </w:tcPr>
          <w:p w14:paraId="7C7AAB5A" w14:textId="77777777" w:rsidR="000D4B59" w:rsidRPr="001D2160" w:rsidRDefault="000D4B59" w:rsidP="00B54CC5">
            <w:pPr>
              <w:pStyle w:val="NoSpacing"/>
              <w:jc w:val="center"/>
              <w:rPr>
                <w:sz w:val="18"/>
                <w:szCs w:val="18"/>
              </w:rPr>
            </w:pPr>
            <w:r w:rsidRPr="001D2160">
              <w:rPr>
                <w:sz w:val="18"/>
                <w:szCs w:val="18"/>
              </w:rPr>
              <w:t>1 (-1)</w:t>
            </w:r>
          </w:p>
        </w:tc>
        <w:tc>
          <w:tcPr>
            <w:tcW w:w="0" w:type="auto"/>
            <w:shd w:val="clear" w:color="auto" w:fill="auto"/>
            <w:noWrap/>
            <w:vAlign w:val="center"/>
            <w:hideMark/>
          </w:tcPr>
          <w:p w14:paraId="090CA3EB" w14:textId="77777777" w:rsidR="000D4B59" w:rsidRPr="001D2160" w:rsidRDefault="000D4B59" w:rsidP="00B54CC5">
            <w:pPr>
              <w:pStyle w:val="NoSpacing"/>
              <w:jc w:val="center"/>
              <w:rPr>
                <w:sz w:val="18"/>
                <w:szCs w:val="18"/>
              </w:rPr>
            </w:pPr>
            <w:r w:rsidRPr="001D2160">
              <w:rPr>
                <w:sz w:val="18"/>
                <w:szCs w:val="18"/>
              </w:rPr>
              <w:t>8 (+1)</w:t>
            </w:r>
          </w:p>
        </w:tc>
      </w:tr>
      <w:tr w:rsidR="000D4B59" w:rsidRPr="00F8621C" w14:paraId="18D14673" w14:textId="77777777" w:rsidTr="00CB0D01">
        <w:trPr>
          <w:trHeight w:val="53"/>
          <w:jc w:val="center"/>
        </w:trPr>
        <w:tc>
          <w:tcPr>
            <w:tcW w:w="0" w:type="auto"/>
            <w:shd w:val="clear" w:color="auto" w:fill="auto"/>
            <w:noWrap/>
            <w:vAlign w:val="center"/>
            <w:hideMark/>
          </w:tcPr>
          <w:p w14:paraId="25E1C481" w14:textId="77777777" w:rsidR="000D4B59" w:rsidRPr="001D2160" w:rsidRDefault="000D4B59" w:rsidP="00B54CC5">
            <w:pPr>
              <w:pStyle w:val="NoSpacing"/>
              <w:rPr>
                <w:i/>
                <w:iCs/>
                <w:sz w:val="18"/>
                <w:szCs w:val="18"/>
              </w:rPr>
            </w:pPr>
            <w:r w:rsidRPr="001D2160">
              <w:rPr>
                <w:i/>
                <w:iCs/>
                <w:sz w:val="18"/>
                <w:szCs w:val="18"/>
              </w:rPr>
              <w:t>Texas</w:t>
            </w:r>
          </w:p>
        </w:tc>
        <w:tc>
          <w:tcPr>
            <w:tcW w:w="0" w:type="auto"/>
            <w:shd w:val="clear" w:color="auto" w:fill="auto"/>
            <w:noWrap/>
            <w:vAlign w:val="center"/>
            <w:hideMark/>
          </w:tcPr>
          <w:p w14:paraId="613C5091" w14:textId="77777777" w:rsidR="000D4B59" w:rsidRPr="001D2160" w:rsidRDefault="000D4B59" w:rsidP="00B54CC5">
            <w:pPr>
              <w:pStyle w:val="NoSpacing"/>
              <w:jc w:val="center"/>
              <w:rPr>
                <w:sz w:val="18"/>
                <w:szCs w:val="18"/>
              </w:rPr>
            </w:pPr>
            <w:r w:rsidRPr="001D2160">
              <w:rPr>
                <w:sz w:val="18"/>
                <w:szCs w:val="18"/>
              </w:rPr>
              <w:t>36</w:t>
            </w:r>
          </w:p>
        </w:tc>
        <w:tc>
          <w:tcPr>
            <w:tcW w:w="0" w:type="auto"/>
            <w:shd w:val="clear" w:color="000000" w:fill="D9D9D9"/>
            <w:noWrap/>
            <w:vAlign w:val="center"/>
            <w:hideMark/>
          </w:tcPr>
          <w:p w14:paraId="61EBC45C" w14:textId="77777777" w:rsidR="000D4B59" w:rsidRPr="001D2160" w:rsidRDefault="000D4B59" w:rsidP="00B54CC5">
            <w:pPr>
              <w:pStyle w:val="NoSpacing"/>
              <w:jc w:val="center"/>
              <w:rPr>
                <w:sz w:val="18"/>
                <w:szCs w:val="18"/>
              </w:rPr>
            </w:pPr>
            <w:r w:rsidRPr="001D2160">
              <w:rPr>
                <w:sz w:val="18"/>
                <w:szCs w:val="18"/>
              </w:rPr>
              <w:t>14</w:t>
            </w:r>
          </w:p>
        </w:tc>
        <w:tc>
          <w:tcPr>
            <w:tcW w:w="0" w:type="auto"/>
            <w:tcBorders>
              <w:right w:val="single" w:sz="36" w:space="0" w:color="auto"/>
            </w:tcBorders>
            <w:shd w:val="clear" w:color="auto" w:fill="auto"/>
            <w:noWrap/>
            <w:vAlign w:val="center"/>
            <w:hideMark/>
          </w:tcPr>
          <w:p w14:paraId="2CD8D6AA" w14:textId="77777777" w:rsidR="000D4B59" w:rsidRPr="001D2160" w:rsidRDefault="000D4B59" w:rsidP="00B54CC5">
            <w:pPr>
              <w:pStyle w:val="NoSpacing"/>
              <w:jc w:val="center"/>
              <w:rPr>
                <w:sz w:val="18"/>
                <w:szCs w:val="18"/>
              </w:rPr>
            </w:pPr>
            <w:r w:rsidRPr="001D2160">
              <w:rPr>
                <w:sz w:val="18"/>
                <w:szCs w:val="18"/>
              </w:rPr>
              <w:t>22</w:t>
            </w:r>
          </w:p>
        </w:tc>
        <w:tc>
          <w:tcPr>
            <w:tcW w:w="0" w:type="auto"/>
            <w:tcBorders>
              <w:left w:val="single" w:sz="36" w:space="0" w:color="auto"/>
            </w:tcBorders>
            <w:shd w:val="clear" w:color="auto" w:fill="auto"/>
            <w:noWrap/>
            <w:vAlign w:val="center"/>
            <w:hideMark/>
          </w:tcPr>
          <w:p w14:paraId="15AFF80D" w14:textId="77777777" w:rsidR="000D4B59" w:rsidRPr="001D2160" w:rsidRDefault="000D4B59" w:rsidP="00B54CC5">
            <w:pPr>
              <w:pStyle w:val="NoSpacing"/>
              <w:jc w:val="center"/>
              <w:rPr>
                <w:sz w:val="18"/>
                <w:szCs w:val="18"/>
              </w:rPr>
            </w:pPr>
            <w:r w:rsidRPr="001D2160">
              <w:rPr>
                <w:sz w:val="18"/>
                <w:szCs w:val="18"/>
              </w:rPr>
              <w:t>38 (+2)</w:t>
            </w:r>
          </w:p>
        </w:tc>
        <w:tc>
          <w:tcPr>
            <w:tcW w:w="0" w:type="auto"/>
            <w:shd w:val="clear" w:color="000000" w:fill="D9D9D9"/>
            <w:noWrap/>
            <w:vAlign w:val="center"/>
            <w:hideMark/>
          </w:tcPr>
          <w:p w14:paraId="1ACBB85B" w14:textId="77777777" w:rsidR="000D4B59" w:rsidRPr="001D2160" w:rsidRDefault="000D4B59" w:rsidP="00B54CC5">
            <w:pPr>
              <w:pStyle w:val="NoSpacing"/>
              <w:jc w:val="center"/>
              <w:rPr>
                <w:sz w:val="18"/>
                <w:szCs w:val="18"/>
              </w:rPr>
            </w:pPr>
            <w:r w:rsidRPr="001D2160">
              <w:rPr>
                <w:sz w:val="18"/>
                <w:szCs w:val="18"/>
              </w:rPr>
              <w:t>13 (-1)</w:t>
            </w:r>
          </w:p>
        </w:tc>
        <w:tc>
          <w:tcPr>
            <w:tcW w:w="0" w:type="auto"/>
            <w:shd w:val="clear" w:color="auto" w:fill="auto"/>
            <w:noWrap/>
            <w:vAlign w:val="center"/>
            <w:hideMark/>
          </w:tcPr>
          <w:p w14:paraId="146C464A" w14:textId="77777777" w:rsidR="000D4B59" w:rsidRPr="001D2160" w:rsidRDefault="000D4B59" w:rsidP="00B54CC5">
            <w:pPr>
              <w:pStyle w:val="NoSpacing"/>
              <w:jc w:val="center"/>
              <w:rPr>
                <w:sz w:val="18"/>
                <w:szCs w:val="18"/>
              </w:rPr>
            </w:pPr>
            <w:r w:rsidRPr="001D2160">
              <w:rPr>
                <w:sz w:val="18"/>
                <w:szCs w:val="18"/>
              </w:rPr>
              <w:t>25 (+3)</w:t>
            </w:r>
          </w:p>
        </w:tc>
      </w:tr>
      <w:tr w:rsidR="000D4B59" w:rsidRPr="00F8621C" w14:paraId="34ADE87B" w14:textId="77777777" w:rsidTr="00CB0D01">
        <w:trPr>
          <w:trHeight w:val="53"/>
          <w:jc w:val="center"/>
        </w:trPr>
        <w:tc>
          <w:tcPr>
            <w:tcW w:w="0" w:type="auto"/>
            <w:shd w:val="clear" w:color="auto" w:fill="auto"/>
            <w:noWrap/>
            <w:vAlign w:val="center"/>
            <w:hideMark/>
          </w:tcPr>
          <w:p w14:paraId="2F885AC8" w14:textId="77777777" w:rsidR="000D4B59" w:rsidRPr="001D2160" w:rsidRDefault="000D4B59" w:rsidP="00B54CC5">
            <w:pPr>
              <w:pStyle w:val="NoSpacing"/>
              <w:rPr>
                <w:i/>
                <w:iCs/>
                <w:sz w:val="18"/>
                <w:szCs w:val="18"/>
              </w:rPr>
            </w:pPr>
            <w:r w:rsidRPr="001D2160">
              <w:rPr>
                <w:i/>
                <w:iCs/>
                <w:sz w:val="18"/>
                <w:szCs w:val="18"/>
              </w:rPr>
              <w:t>West Virginia</w:t>
            </w:r>
          </w:p>
        </w:tc>
        <w:tc>
          <w:tcPr>
            <w:tcW w:w="0" w:type="auto"/>
            <w:shd w:val="clear" w:color="auto" w:fill="auto"/>
            <w:noWrap/>
            <w:vAlign w:val="center"/>
            <w:hideMark/>
          </w:tcPr>
          <w:p w14:paraId="1D0F7C8E" w14:textId="77777777" w:rsidR="000D4B59" w:rsidRPr="001D2160" w:rsidRDefault="000D4B59" w:rsidP="00B54CC5">
            <w:pPr>
              <w:pStyle w:val="NoSpacing"/>
              <w:jc w:val="center"/>
              <w:rPr>
                <w:sz w:val="18"/>
                <w:szCs w:val="18"/>
              </w:rPr>
            </w:pPr>
            <w:r w:rsidRPr="001D2160">
              <w:rPr>
                <w:sz w:val="18"/>
                <w:szCs w:val="18"/>
              </w:rPr>
              <w:t>3</w:t>
            </w:r>
          </w:p>
        </w:tc>
        <w:tc>
          <w:tcPr>
            <w:tcW w:w="0" w:type="auto"/>
            <w:shd w:val="clear" w:color="000000" w:fill="D9D9D9"/>
            <w:noWrap/>
            <w:vAlign w:val="center"/>
            <w:hideMark/>
          </w:tcPr>
          <w:p w14:paraId="762A1B84" w14:textId="77777777" w:rsidR="000D4B59" w:rsidRPr="001D2160" w:rsidRDefault="000D4B59" w:rsidP="00B54CC5">
            <w:pPr>
              <w:pStyle w:val="NoSpacing"/>
              <w:jc w:val="center"/>
              <w:rPr>
                <w:sz w:val="18"/>
                <w:szCs w:val="18"/>
              </w:rPr>
            </w:pPr>
            <w:r w:rsidRPr="001D2160">
              <w:rPr>
                <w:sz w:val="18"/>
                <w:szCs w:val="18"/>
              </w:rPr>
              <w:t>0</w:t>
            </w:r>
          </w:p>
        </w:tc>
        <w:tc>
          <w:tcPr>
            <w:tcW w:w="0" w:type="auto"/>
            <w:tcBorders>
              <w:right w:val="single" w:sz="36" w:space="0" w:color="auto"/>
            </w:tcBorders>
            <w:shd w:val="clear" w:color="auto" w:fill="auto"/>
            <w:noWrap/>
            <w:vAlign w:val="center"/>
            <w:hideMark/>
          </w:tcPr>
          <w:p w14:paraId="486E7F2E" w14:textId="77777777" w:rsidR="000D4B59" w:rsidRPr="001D2160" w:rsidRDefault="000D4B59" w:rsidP="00B54CC5">
            <w:pPr>
              <w:pStyle w:val="NoSpacing"/>
              <w:jc w:val="center"/>
              <w:rPr>
                <w:sz w:val="18"/>
                <w:szCs w:val="18"/>
              </w:rPr>
            </w:pPr>
            <w:r w:rsidRPr="001D2160">
              <w:rPr>
                <w:sz w:val="18"/>
                <w:szCs w:val="18"/>
              </w:rPr>
              <w:t>3</w:t>
            </w:r>
          </w:p>
        </w:tc>
        <w:tc>
          <w:tcPr>
            <w:tcW w:w="0" w:type="auto"/>
            <w:tcBorders>
              <w:left w:val="single" w:sz="36" w:space="0" w:color="auto"/>
            </w:tcBorders>
            <w:shd w:val="clear" w:color="auto" w:fill="auto"/>
            <w:noWrap/>
            <w:vAlign w:val="center"/>
            <w:hideMark/>
          </w:tcPr>
          <w:p w14:paraId="5211D4A9" w14:textId="77777777" w:rsidR="000D4B59" w:rsidRPr="001D2160" w:rsidRDefault="000D4B59" w:rsidP="00B54CC5">
            <w:pPr>
              <w:pStyle w:val="NoSpacing"/>
              <w:jc w:val="center"/>
              <w:rPr>
                <w:sz w:val="18"/>
                <w:szCs w:val="18"/>
              </w:rPr>
            </w:pPr>
            <w:r w:rsidRPr="001D2160">
              <w:rPr>
                <w:sz w:val="18"/>
                <w:szCs w:val="18"/>
              </w:rPr>
              <w:t>2 (-1)</w:t>
            </w:r>
          </w:p>
        </w:tc>
        <w:tc>
          <w:tcPr>
            <w:tcW w:w="0" w:type="auto"/>
            <w:shd w:val="clear" w:color="000000" w:fill="D9D9D9"/>
            <w:noWrap/>
            <w:vAlign w:val="center"/>
            <w:hideMark/>
          </w:tcPr>
          <w:p w14:paraId="11184624" w14:textId="77777777" w:rsidR="000D4B59" w:rsidRPr="001D2160" w:rsidRDefault="000D4B59" w:rsidP="00B54CC5">
            <w:pPr>
              <w:pStyle w:val="NoSpacing"/>
              <w:jc w:val="center"/>
              <w:rPr>
                <w:sz w:val="18"/>
                <w:szCs w:val="18"/>
              </w:rPr>
            </w:pPr>
            <w:r w:rsidRPr="001D2160">
              <w:rPr>
                <w:sz w:val="18"/>
                <w:szCs w:val="18"/>
              </w:rPr>
              <w:t>0</w:t>
            </w:r>
          </w:p>
        </w:tc>
        <w:tc>
          <w:tcPr>
            <w:tcW w:w="0" w:type="auto"/>
            <w:shd w:val="clear" w:color="auto" w:fill="auto"/>
            <w:noWrap/>
            <w:vAlign w:val="center"/>
            <w:hideMark/>
          </w:tcPr>
          <w:p w14:paraId="6B479862" w14:textId="77777777" w:rsidR="000D4B59" w:rsidRPr="001D2160" w:rsidRDefault="000D4B59" w:rsidP="00B54CC5">
            <w:pPr>
              <w:pStyle w:val="NoSpacing"/>
              <w:jc w:val="center"/>
              <w:rPr>
                <w:sz w:val="18"/>
                <w:szCs w:val="18"/>
              </w:rPr>
            </w:pPr>
            <w:r w:rsidRPr="001D2160">
              <w:rPr>
                <w:sz w:val="18"/>
                <w:szCs w:val="18"/>
              </w:rPr>
              <w:t>2 (-1)</w:t>
            </w:r>
          </w:p>
        </w:tc>
      </w:tr>
      <w:tr w:rsidR="000D4B59" w:rsidRPr="00F8621C" w14:paraId="358248AE" w14:textId="77777777" w:rsidTr="00771774">
        <w:trPr>
          <w:trHeight w:val="161"/>
          <w:jc w:val="center"/>
        </w:trPr>
        <w:tc>
          <w:tcPr>
            <w:tcW w:w="0" w:type="auto"/>
            <w:shd w:val="clear" w:color="auto" w:fill="auto"/>
            <w:noWrap/>
            <w:vAlign w:val="center"/>
            <w:hideMark/>
          </w:tcPr>
          <w:p w14:paraId="0EBC7A59" w14:textId="77777777" w:rsidR="000D4B59" w:rsidRPr="001D2160" w:rsidRDefault="000D4B59" w:rsidP="00B54CC5">
            <w:pPr>
              <w:pStyle w:val="NoSpacing"/>
              <w:rPr>
                <w:b/>
                <w:bCs/>
                <w:i/>
                <w:iCs/>
                <w:sz w:val="18"/>
                <w:szCs w:val="18"/>
              </w:rPr>
            </w:pPr>
            <w:r w:rsidRPr="001D2160">
              <w:rPr>
                <w:b/>
                <w:bCs/>
                <w:i/>
                <w:iCs/>
                <w:sz w:val="18"/>
                <w:szCs w:val="18"/>
              </w:rPr>
              <w:t>United States</w:t>
            </w:r>
          </w:p>
        </w:tc>
        <w:tc>
          <w:tcPr>
            <w:tcW w:w="0" w:type="auto"/>
            <w:shd w:val="clear" w:color="auto" w:fill="auto"/>
            <w:noWrap/>
            <w:vAlign w:val="center"/>
            <w:hideMark/>
          </w:tcPr>
          <w:p w14:paraId="6FAE5CA1" w14:textId="77777777" w:rsidR="000D4B59" w:rsidRPr="001D2160" w:rsidRDefault="000D4B59" w:rsidP="00B54CC5">
            <w:pPr>
              <w:pStyle w:val="NoSpacing"/>
              <w:jc w:val="center"/>
              <w:rPr>
                <w:b/>
                <w:bCs/>
                <w:sz w:val="18"/>
                <w:szCs w:val="18"/>
              </w:rPr>
            </w:pPr>
            <w:r w:rsidRPr="001D2160">
              <w:rPr>
                <w:b/>
                <w:bCs/>
                <w:sz w:val="18"/>
                <w:szCs w:val="18"/>
              </w:rPr>
              <w:t>435</w:t>
            </w:r>
          </w:p>
        </w:tc>
        <w:tc>
          <w:tcPr>
            <w:tcW w:w="0" w:type="auto"/>
            <w:shd w:val="clear" w:color="000000" w:fill="D9D9D9"/>
            <w:noWrap/>
            <w:vAlign w:val="center"/>
            <w:hideMark/>
          </w:tcPr>
          <w:p w14:paraId="0F248474" w14:textId="77777777" w:rsidR="000D4B59" w:rsidRPr="001D2160" w:rsidRDefault="000D4B59" w:rsidP="00B54CC5">
            <w:pPr>
              <w:pStyle w:val="NoSpacing"/>
              <w:jc w:val="center"/>
              <w:rPr>
                <w:b/>
                <w:bCs/>
                <w:sz w:val="18"/>
                <w:szCs w:val="18"/>
              </w:rPr>
            </w:pPr>
            <w:r w:rsidRPr="001D2160">
              <w:rPr>
                <w:b/>
                <w:bCs/>
                <w:sz w:val="18"/>
                <w:szCs w:val="18"/>
              </w:rPr>
              <w:t>225</w:t>
            </w:r>
          </w:p>
        </w:tc>
        <w:tc>
          <w:tcPr>
            <w:tcW w:w="0" w:type="auto"/>
            <w:tcBorders>
              <w:right w:val="single" w:sz="36" w:space="0" w:color="auto"/>
            </w:tcBorders>
            <w:shd w:val="clear" w:color="auto" w:fill="auto"/>
            <w:noWrap/>
            <w:vAlign w:val="center"/>
            <w:hideMark/>
          </w:tcPr>
          <w:p w14:paraId="06FA0247" w14:textId="77777777" w:rsidR="000D4B59" w:rsidRPr="001D2160" w:rsidRDefault="000D4B59" w:rsidP="00B54CC5">
            <w:pPr>
              <w:pStyle w:val="NoSpacing"/>
              <w:jc w:val="center"/>
              <w:rPr>
                <w:b/>
                <w:bCs/>
                <w:sz w:val="18"/>
                <w:szCs w:val="18"/>
              </w:rPr>
            </w:pPr>
            <w:r w:rsidRPr="001D2160">
              <w:rPr>
                <w:b/>
                <w:bCs/>
                <w:sz w:val="18"/>
                <w:szCs w:val="18"/>
              </w:rPr>
              <w:t>210</w:t>
            </w:r>
          </w:p>
        </w:tc>
        <w:tc>
          <w:tcPr>
            <w:tcW w:w="0" w:type="auto"/>
            <w:tcBorders>
              <w:left w:val="single" w:sz="36" w:space="0" w:color="auto"/>
            </w:tcBorders>
            <w:shd w:val="clear" w:color="auto" w:fill="auto"/>
            <w:noWrap/>
            <w:vAlign w:val="center"/>
            <w:hideMark/>
          </w:tcPr>
          <w:p w14:paraId="403610BF" w14:textId="77777777" w:rsidR="000D4B59" w:rsidRPr="001D2160" w:rsidRDefault="000D4B59" w:rsidP="00B54CC5">
            <w:pPr>
              <w:pStyle w:val="NoSpacing"/>
              <w:jc w:val="center"/>
              <w:rPr>
                <w:b/>
                <w:bCs/>
                <w:sz w:val="18"/>
                <w:szCs w:val="18"/>
              </w:rPr>
            </w:pPr>
            <w:r w:rsidRPr="001D2160">
              <w:rPr>
                <w:b/>
                <w:bCs/>
                <w:sz w:val="18"/>
                <w:szCs w:val="18"/>
              </w:rPr>
              <w:t>435</w:t>
            </w:r>
          </w:p>
        </w:tc>
        <w:tc>
          <w:tcPr>
            <w:tcW w:w="0" w:type="auto"/>
            <w:shd w:val="clear" w:color="000000" w:fill="D9D9D9"/>
            <w:noWrap/>
            <w:vAlign w:val="center"/>
            <w:hideMark/>
          </w:tcPr>
          <w:p w14:paraId="752D36A4" w14:textId="77777777" w:rsidR="000D4B59" w:rsidRPr="001D2160" w:rsidRDefault="000D4B59" w:rsidP="00B54CC5">
            <w:pPr>
              <w:pStyle w:val="NoSpacing"/>
              <w:jc w:val="center"/>
              <w:rPr>
                <w:b/>
                <w:bCs/>
                <w:sz w:val="18"/>
                <w:szCs w:val="18"/>
              </w:rPr>
            </w:pPr>
            <w:r w:rsidRPr="001D2160">
              <w:rPr>
                <w:b/>
                <w:bCs/>
                <w:sz w:val="18"/>
                <w:szCs w:val="18"/>
              </w:rPr>
              <w:t>226 (+1)</w:t>
            </w:r>
          </w:p>
        </w:tc>
        <w:tc>
          <w:tcPr>
            <w:tcW w:w="0" w:type="auto"/>
            <w:shd w:val="clear" w:color="auto" w:fill="auto"/>
            <w:noWrap/>
            <w:vAlign w:val="center"/>
            <w:hideMark/>
          </w:tcPr>
          <w:p w14:paraId="629627D0" w14:textId="77777777" w:rsidR="000D4B59" w:rsidRPr="001D2160" w:rsidRDefault="000D4B59" w:rsidP="00B54CC5">
            <w:pPr>
              <w:pStyle w:val="NoSpacing"/>
              <w:jc w:val="center"/>
              <w:rPr>
                <w:b/>
                <w:bCs/>
                <w:sz w:val="18"/>
                <w:szCs w:val="18"/>
              </w:rPr>
            </w:pPr>
            <w:r w:rsidRPr="001D2160">
              <w:rPr>
                <w:b/>
                <w:bCs/>
                <w:sz w:val="18"/>
                <w:szCs w:val="18"/>
              </w:rPr>
              <w:t>209 (-1)</w:t>
            </w:r>
          </w:p>
        </w:tc>
      </w:tr>
    </w:tbl>
    <w:p w14:paraId="622B0730" w14:textId="77777777" w:rsidR="000D4B59" w:rsidRPr="00374393" w:rsidRDefault="000D4B59" w:rsidP="00374393">
      <w:pPr>
        <w:pStyle w:val="Caption"/>
        <w:ind w:left="-90" w:right="-30"/>
        <w:jc w:val="both"/>
        <w:rPr>
          <w:sz w:val="19"/>
          <w:szCs w:val="19"/>
        </w:rPr>
      </w:pPr>
      <w:r w:rsidRPr="00374393">
        <w:rPr>
          <w:sz w:val="19"/>
          <w:szCs w:val="19"/>
        </w:rPr>
        <w:t xml:space="preserve"> </w:t>
      </w:r>
      <w:r w:rsidRPr="00374393">
        <w:rPr>
          <w:color w:val="auto"/>
          <w:sz w:val="19"/>
          <w:szCs w:val="19"/>
        </w:rPr>
        <w:t>Note: Data compiled as downloaded from Dave’s Redistricting App.  The states shown are those that had effects from redistricting or apportionment.  The remaining states all had the same number of Trump or Biden districts in 2020 as they did after redistricting.</w:t>
      </w:r>
    </w:p>
    <w:p w14:paraId="326A5EEA" w14:textId="1C4D8E79" w:rsidR="00B50363" w:rsidRDefault="00B50363">
      <w:pPr>
        <w:pStyle w:val="Heading2"/>
        <w:rPr>
          <w:ins w:id="350" w:author="Jonathan Cervas" w:date="2023-06-22T15:57:00Z"/>
        </w:rPr>
        <w:pPrChange w:id="351" w:author="Jonathan Cervas" w:date="2023-06-22T15:57:00Z">
          <w:pPr>
            <w:pStyle w:val="BodyText"/>
          </w:pPr>
        </w:pPrChange>
      </w:pPr>
      <w:bookmarkStart w:id="352" w:name="_Toc138947181"/>
      <w:ins w:id="353" w:author="Jonathan Cervas" w:date="2023-06-22T15:57:00Z">
        <w:r>
          <w:t>Identifying Potential Gerrymanders</w:t>
        </w:r>
        <w:bookmarkEnd w:id="352"/>
      </w:ins>
    </w:p>
    <w:p w14:paraId="496E9D47" w14:textId="001EA346" w:rsidR="00F377A8" w:rsidRPr="00ED7499" w:rsidRDefault="00F377A8" w:rsidP="00212B79">
      <w:pPr>
        <w:pStyle w:val="BodyText"/>
      </w:pPr>
      <w:bookmarkStart w:id="354" w:name="claim_gerrymandering"/>
      <w:r w:rsidRPr="0080356A">
        <w:t xml:space="preserve">As of the </w:t>
      </w:r>
      <w:r w:rsidRPr="00094440">
        <w:t xml:space="preserve">completion of the 2020 round of mapmaking (ca. November 2022), we have identified </w:t>
      </w:r>
      <w:r>
        <w:t xml:space="preserve">twenty-three </w:t>
      </w:r>
      <w:r w:rsidRPr="00094440">
        <w:t>states where some claim was made that the congressional map was a partisan gerrymander</w:t>
      </w:r>
      <w:bookmarkStart w:id="355" w:name="Virginia"/>
      <w:r w:rsidRPr="00094440">
        <w:t>:</w:t>
      </w:r>
      <w:bookmarkEnd w:id="355"/>
      <w:r w:rsidRPr="0078695B">
        <w:rPr>
          <w:rStyle w:val="FootnoteReference"/>
        </w:rPr>
        <w:footnoteReference w:id="150"/>
      </w:r>
      <w:r>
        <w:t xml:space="preserve">  </w:t>
      </w:r>
      <w:r w:rsidRPr="00094440">
        <w:t>Alabama,</w:t>
      </w:r>
      <w:r w:rsidRPr="0078695B">
        <w:rPr>
          <w:rStyle w:val="FootnoteReference"/>
        </w:rPr>
        <w:footnoteReference w:id="151"/>
      </w:r>
      <w:r w:rsidRPr="00094440">
        <w:t xml:space="preserve"> Arizona, Arkansas, Florida, Georgia, Illinois, Iowa, Kansas, Kentucky, Louisiana, Maryland, Missouri, </w:t>
      </w:r>
      <w:r w:rsidRPr="00ED7499">
        <w:t>Nebraska, Nevada, New Jersey</w:t>
      </w:r>
      <w:r>
        <w:t xml:space="preserve">, New </w:t>
      </w:r>
      <w:r>
        <w:lastRenderedPageBreak/>
        <w:t>Mexico</w:t>
      </w:r>
      <w:r w:rsidRPr="00ED7499">
        <w:t>, New York, North Carolina, Ohio, Oregon,</w:t>
      </w:r>
      <w:r>
        <w:t xml:space="preserve"> South Carolina,</w:t>
      </w:r>
      <w:r w:rsidRPr="00ED7499">
        <w:t xml:space="preserve"> Tennessee, Texas, Utah, and Wisconsin</w:t>
      </w:r>
      <w:bookmarkEnd w:id="354"/>
      <w:r w:rsidRPr="00ED7499">
        <w:t xml:space="preserve">. </w:t>
      </w:r>
      <w:r>
        <w:t xml:space="preserve"> </w:t>
      </w:r>
      <w:r w:rsidRPr="00ED7499">
        <w:t>Only some of these claims resulted in litigation</w:t>
      </w:r>
      <w:r w:rsidRPr="0078695B">
        <w:rPr>
          <w:rStyle w:val="FootnoteReference"/>
        </w:rPr>
        <w:footnoteReference w:id="152"/>
      </w:r>
      <w:r w:rsidRPr="00ED7499">
        <w:t xml:space="preserve"> and even where litigation based on partisan gerrymandering was brought (or in Alabama, Georgia</w:t>
      </w:r>
      <w:r>
        <w:t xml:space="preserve">, </w:t>
      </w:r>
      <w:r w:rsidRPr="00ED7499">
        <w:t>Louisiana</w:t>
      </w:r>
      <w:r>
        <w:t xml:space="preserve">, and </w:t>
      </w:r>
      <w:r w:rsidRPr="00ED7499">
        <w:t>Georgia,</w:t>
      </w:r>
      <w:r>
        <w:t xml:space="preserve"> South Carolina)</w:t>
      </w:r>
      <w:r w:rsidRPr="00ED7499">
        <w:t xml:space="preserve">, where a claim about a racial gerrymander that clearly had partisan consequences was brought in federal court), maps in many of those states survived challenge or thanks to the </w:t>
      </w:r>
      <w:r w:rsidRPr="00ED7499">
        <w:rPr>
          <w:i/>
          <w:iCs/>
        </w:rPr>
        <w:t xml:space="preserve">Purcell </w:t>
      </w:r>
      <w:r w:rsidRPr="00ED7499">
        <w:t>principle had plans that were allowed only for one election.</w:t>
      </w:r>
      <w:r w:rsidRPr="0078695B">
        <w:rPr>
          <w:rStyle w:val="FootnoteReference"/>
        </w:rPr>
        <w:footnoteReference w:id="153"/>
      </w:r>
      <w:r w:rsidRPr="00ED7499">
        <w:t xml:space="preserve"> </w:t>
      </w:r>
    </w:p>
    <w:p w14:paraId="33949A6A" w14:textId="77777777" w:rsidR="00F377A8" w:rsidRDefault="00F377A8" w:rsidP="00212B79">
      <w:pPr>
        <w:pStyle w:val="BodyText"/>
      </w:pPr>
      <w:r w:rsidRPr="00ED7499">
        <w:t>The last two column</w:t>
      </w:r>
      <w:r>
        <w:t>s</w:t>
      </w:r>
      <w:r w:rsidRPr="00ED7499">
        <w:t xml:space="preserve"> of </w:t>
      </w:r>
      <w:r w:rsidRPr="00FB61B1">
        <w:fldChar w:fldCharType="begin"/>
      </w:r>
      <w:r w:rsidRPr="00F912CF">
        <w:instrText xml:space="preserve"> REF _Ref123137422 \h  \* MERGEFORMAT </w:instrText>
      </w:r>
      <w:r w:rsidRPr="00FB61B1">
        <w:fldChar w:fldCharType="separate"/>
      </w:r>
      <w:r>
        <w:t xml:space="preserve">Table </w:t>
      </w:r>
      <w:r>
        <w:rPr>
          <w:noProof/>
        </w:rPr>
        <w:t>1</w:t>
      </w:r>
      <w:r w:rsidRPr="00FB61B1">
        <w:fldChar w:fldCharType="end"/>
      </w:r>
      <w:r>
        <w:t xml:space="preserve"> identify</w:t>
      </w:r>
      <w:r w:rsidRPr="00ED7499">
        <w:t xml:space="preserve"> whether there is direct or indirect language in state law that prohibits partisan gerrymandering.</w:t>
      </w:r>
      <w:r>
        <w:t xml:space="preserve">  </w:t>
      </w:r>
      <w:r w:rsidRPr="00ED7499">
        <w:t>We now look at the intersection of those states where gerrymandering might be found and those where there is direct or indirect language in state law prohibiting partisan gerrymandering.</w:t>
      </w:r>
      <w:r>
        <w:t xml:space="preserve">  </w:t>
      </w:r>
      <w:r w:rsidRPr="00ED7499">
        <w:t xml:space="preserve">Combining the information </w:t>
      </w:r>
      <w:r>
        <w:t xml:space="preserve">highlighted </w:t>
      </w:r>
      <w:r w:rsidRPr="00ED7499">
        <w:t>in</w:t>
      </w:r>
      <w:r>
        <w:t xml:space="preserve"> </w:t>
      </w:r>
      <w:r w:rsidRPr="00FB61B1">
        <w:fldChar w:fldCharType="begin"/>
      </w:r>
      <w:r w:rsidRPr="00F912CF">
        <w:instrText xml:space="preserve"> REF _Ref123137422 \h  \* MERGEFORMAT </w:instrText>
      </w:r>
      <w:r w:rsidRPr="00FB61B1">
        <w:fldChar w:fldCharType="separate"/>
      </w:r>
      <w:r>
        <w:t xml:space="preserve">Table </w:t>
      </w:r>
      <w:r>
        <w:rPr>
          <w:noProof/>
        </w:rPr>
        <w:t>1</w:t>
      </w:r>
      <w:r w:rsidRPr="00FB61B1">
        <w:fldChar w:fldCharType="end"/>
      </w:r>
      <w:r w:rsidRPr="00ED7499">
        <w:t xml:space="preserve"> with the list of states where there is an accusation of a partisan gerrymandering</w:t>
      </w:r>
      <w:r>
        <w:t>,</w:t>
      </w:r>
      <w:r w:rsidRPr="00ED7499">
        <w:t xml:space="preserve"> </w:t>
      </w:r>
      <w:r>
        <w:t>w</w:t>
      </w:r>
      <w:r w:rsidRPr="00ED7499">
        <w:t xml:space="preserve">e find that Florida, Iowa, Nebraska, New York, Ohio, Oregon, and Utah all </w:t>
      </w:r>
      <w:r>
        <w:t>prohibit partisan gerrymandering with direct language in state law.</w:t>
      </w:r>
      <w:r w:rsidRPr="0078695B">
        <w:rPr>
          <w:rStyle w:val="FootnoteReference"/>
        </w:rPr>
        <w:footnoteReference w:id="154"/>
      </w:r>
      <w:r>
        <w:t xml:space="preserve">  States that have indirect language like that used in Pennsylvania and North Carolina in the 2010 cycle to strike down plans as partisan gerrymanders are Arkansas, Illinois, Indiana, Kentucky, Maryland, Massachusetts, Missouri, Nebraska, New Hampshire, New Mexico, North Carolina, Oklahoma, Oregon, South Carolina, Tennessee, and Utah.</w:t>
      </w:r>
      <w:r w:rsidRPr="0078695B">
        <w:rPr>
          <w:rStyle w:val="FootnoteReference"/>
        </w:rPr>
        <w:footnoteReference w:id="155"/>
      </w:r>
      <w:r>
        <w:t xml:space="preserve"> </w:t>
      </w:r>
    </w:p>
    <w:p w14:paraId="66F4A461" w14:textId="77777777" w:rsidR="00F377A8" w:rsidRPr="00077FB0" w:rsidRDefault="00F377A8" w:rsidP="00212B79">
      <w:pPr>
        <w:pStyle w:val="BodyText"/>
      </w:pPr>
      <w:r>
        <w:t xml:space="preserve">We find that all states on our list of states where an accusation of partisan gerrymandering was made except Alabama, Arizona, Georgia, Kansas, Louisiana, Nevada, New Jersey, Texas, and Wisconsin have the potential for state courts to resolve a partisan gerrymander </w:t>
      </w:r>
      <w:r w:rsidRPr="00077FB0">
        <w:t>using existing state constitutional language.</w:t>
      </w:r>
      <w:r>
        <w:t xml:space="preserve">  </w:t>
      </w:r>
      <w:r w:rsidRPr="00077FB0">
        <w:t>But there are other routes to court action, both federal and state, that have implications for partisan gerrymandering.</w:t>
      </w:r>
      <w:r>
        <w:t xml:space="preserve">  </w:t>
      </w:r>
      <w:r>
        <w:lastRenderedPageBreak/>
        <w:t>We also note that new innovative use of state constitutions could potentially find prohibitions on partisan gerrymandering in other provisions, particularly provisions that are direct corollaries to the federal F</w:t>
      </w:r>
      <w:r w:rsidRPr="00F912CF">
        <w:t xml:space="preserve">irst </w:t>
      </w:r>
      <w:r>
        <w:t>Amendment and E</w:t>
      </w:r>
      <w:r w:rsidRPr="00F912CF">
        <w:t xml:space="preserve">qual </w:t>
      </w:r>
      <w:r>
        <w:t>P</w:t>
      </w:r>
      <w:r w:rsidRPr="00F912CF">
        <w:t xml:space="preserve">rotection </w:t>
      </w:r>
      <w:r>
        <w:t>Clause of the Fourteenth</w:t>
      </w:r>
      <w:r w:rsidRPr="00F912CF">
        <w:t xml:space="preserve"> </w:t>
      </w:r>
      <w:r>
        <w:t>Amendment.</w:t>
      </w:r>
    </w:p>
    <w:p w14:paraId="52530F34" w14:textId="77777777" w:rsidR="00F377A8" w:rsidRDefault="00F377A8" w:rsidP="00212B79">
      <w:pPr>
        <w:pStyle w:val="BodyText"/>
      </w:pPr>
      <w:r w:rsidRPr="009203B6">
        <w:rPr>
          <w:bCs/>
        </w:rPr>
        <w:t>First, all redistricting is bound by the federal</w:t>
      </w:r>
      <w:r>
        <w:t xml:space="preserve"> Constitution and federal law.  Federal courts have determined that Louisiana violated the Voting Rights Act.</w:t>
      </w:r>
      <w:commentRangeStart w:id="359"/>
      <w:r w:rsidRPr="0078695B">
        <w:rPr>
          <w:rStyle w:val="FootnoteReference"/>
        </w:rPr>
        <w:footnoteReference w:id="156"/>
      </w:r>
      <w:commentRangeEnd w:id="359"/>
      <w:r>
        <w:rPr>
          <w:rStyle w:val="CommentReference"/>
        </w:rPr>
        <w:commentReference w:id="359"/>
      </w:r>
      <w:r>
        <w:t xml:space="preserve">  In Georgia, a federal trial court concluded that </w:t>
      </w:r>
      <w:r w:rsidRPr="00D74508">
        <w:t xml:space="preserve">“the plaintiffs have shown that they are likely to ultimately prove that certain aspects of the State’s redistricting plans are unlawful” </w:t>
      </w:r>
      <w:r>
        <w:t>based on evidence that the state violated the Voting Rights Act.</w:t>
      </w:r>
      <w:r w:rsidRPr="00676982">
        <w:rPr>
          <w:rStyle w:val="FootnoteReference"/>
        </w:rPr>
        <w:t xml:space="preserve"> </w:t>
      </w:r>
      <w:r w:rsidRPr="0078695B">
        <w:rPr>
          <w:rStyle w:val="FootnoteReference"/>
        </w:rPr>
        <w:footnoteReference w:id="157"/>
      </w:r>
      <w:r>
        <w:t xml:space="preserve"> The court, however, declined to enjoin the congressional map.</w:t>
      </w:r>
      <w:r w:rsidRPr="0078695B">
        <w:rPr>
          <w:rStyle w:val="FootnoteReference"/>
        </w:rPr>
        <w:footnoteReference w:id="158"/>
      </w:r>
      <w:r>
        <w:t xml:space="preserve">  The ruling came after the U.S. Supreme Court, using the </w:t>
      </w:r>
      <w:r>
        <w:rPr>
          <w:i/>
          <w:iCs/>
        </w:rPr>
        <w:t>Purcell Principle</w:t>
      </w:r>
      <w:r>
        <w:t>, stayed the court ruling of a violation of the VRA in Alabama and Louisiana.</w:t>
      </w:r>
      <w:r w:rsidRPr="0078695B">
        <w:rPr>
          <w:rStyle w:val="FootnoteReference"/>
        </w:rPr>
        <w:footnoteReference w:id="159"/>
      </w:r>
      <w:r>
        <w:t xml:space="preserve"> </w:t>
      </w:r>
    </w:p>
    <w:p w14:paraId="577B224B" w14:textId="77777777" w:rsidR="00F377A8" w:rsidRDefault="00F377A8" w:rsidP="00212B79">
      <w:pPr>
        <w:pStyle w:val="BodyText"/>
      </w:pPr>
      <w:r>
        <w:t>Second, in Arizona and New Jersey, congressional redistricting was not done by the legislatures of those states but instead by an independent commission and a political commission with a neutral chair, respectively.</w:t>
      </w:r>
      <w:r w:rsidRPr="0078695B">
        <w:rPr>
          <w:rStyle w:val="FootnoteReference"/>
        </w:rPr>
        <w:footnoteReference w:id="160"/>
      </w:r>
      <w:r>
        <w:t xml:space="preserve">  We do not deny that a redistricting </w:t>
      </w:r>
      <w:r w:rsidRPr="00C76C7E">
        <w:t>commission, regardless of whether some or all its members are elected officials,</w:t>
      </w:r>
      <w:r>
        <w:t xml:space="preserve"> can craft a plan that is discriminatory.  But these commissions are excluded from the analysis since there is no alternative plan produced by a court.</w:t>
      </w:r>
    </w:p>
    <w:p w14:paraId="24D2C9BA" w14:textId="0EC4355B" w:rsidR="00D625DD" w:rsidRDefault="00F377A8" w:rsidP="00212B79">
      <w:pPr>
        <w:pStyle w:val="BodyText"/>
      </w:pPr>
      <w:r>
        <w:t xml:space="preserve">Finally, Kansas and Wisconsin were under divided control at the time of redistricting, though circumstances in both states led to the legislature’s </w:t>
      </w:r>
      <w:r>
        <w:lastRenderedPageBreak/>
        <w:t>preferred maps being enacted for use.</w:t>
      </w:r>
      <w:commentRangeStart w:id="378"/>
      <w:commentRangeStart w:id="379"/>
      <w:r w:rsidRPr="0078695B">
        <w:rPr>
          <w:rStyle w:val="FootnoteReference"/>
        </w:rPr>
        <w:footnoteReference w:id="161"/>
      </w:r>
      <w:r>
        <w:t xml:space="preserve"> </w:t>
      </w:r>
      <w:commentRangeEnd w:id="378"/>
      <w:r>
        <w:rPr>
          <w:rStyle w:val="CommentReference"/>
        </w:rPr>
        <w:commentReference w:id="378"/>
      </w:r>
      <w:commentRangeEnd w:id="379"/>
      <w:r w:rsidR="008B4EBD">
        <w:rPr>
          <w:rStyle w:val="CommentReference"/>
          <w:szCs w:val="20"/>
        </w:rPr>
        <w:commentReference w:id="379"/>
      </w:r>
      <w:r>
        <w:t xml:space="preserve"> We consider both states to be important because</w:t>
      </w:r>
      <w:r w:rsidRPr="00F912CF">
        <w:t>,</w:t>
      </w:r>
      <w:r>
        <w:t xml:space="preserve"> in both cases, a governor vetoed the legislature’s preferred plan.  Both also led to litigation in state court.</w:t>
      </w:r>
      <w:r w:rsidRPr="0078695B">
        <w:rPr>
          <w:rStyle w:val="FootnoteReference"/>
        </w:rPr>
        <w:footnoteReference w:id="162"/>
      </w:r>
      <w:r>
        <w:t xml:space="preserve">  That leaves Nevada and Texas as the only two states in our </w:t>
      </w:r>
      <w:r w:rsidRPr="00C35920">
        <w:t>list of potential gerrymanders drawn by a legislature with clear party control over redistricting that do not have provisions in state law of the sort that have been used by a st</w:t>
      </w:r>
      <w:r>
        <w:t>ate court to regulate partisan gerrymandering.</w:t>
      </w:r>
      <w:r w:rsidRPr="0078695B">
        <w:rPr>
          <w:rStyle w:val="FootnoteReference"/>
        </w:rPr>
        <w:footnoteReference w:id="163"/>
      </w:r>
    </w:p>
    <w:p w14:paraId="763E9D22" w14:textId="28426462" w:rsidR="008D703D" w:rsidRDefault="008D703D" w:rsidP="00D625DD">
      <w:pPr>
        <w:pStyle w:val="Heading1"/>
      </w:pPr>
      <w:bookmarkStart w:id="380" w:name="_Toc138947182"/>
      <w:r>
        <w:t>The Role and effects of state courts</w:t>
      </w:r>
      <w:bookmarkEnd w:id="380"/>
    </w:p>
    <w:p w14:paraId="677104B9" w14:textId="40C1B547" w:rsidR="008D703D" w:rsidRDefault="008D703D" w:rsidP="00212B79">
      <w:pPr>
        <w:pStyle w:val="Heading2"/>
        <w:numPr>
          <w:ilvl w:val="1"/>
          <w:numId w:val="6"/>
        </w:numPr>
      </w:pPr>
      <w:bookmarkStart w:id="381" w:name="_Toc138947183"/>
      <w:r>
        <w:t>Potential Partisan Gerrymanders and State Law</w:t>
      </w:r>
      <w:bookmarkEnd w:id="381"/>
    </w:p>
    <w:p w14:paraId="24CEFC50" w14:textId="12B49E4F" w:rsidR="00240ED7" w:rsidRDefault="00240ED7" w:rsidP="00212B79">
      <w:pPr>
        <w:pStyle w:val="BodyText"/>
        <w:rPr>
          <w:bCs/>
        </w:rPr>
      </w:pPr>
      <w:r w:rsidRPr="005F51A4">
        <w:fldChar w:fldCharType="begin"/>
      </w:r>
      <w:r w:rsidRPr="009E6B1A">
        <w:instrText xml:space="preserve"> REF _Ref123166113 \h </w:instrText>
      </w:r>
      <w:r>
        <w:instrText xml:space="preserve"> \* MERGEFORMAT </w:instrText>
      </w:r>
      <w:r w:rsidRPr="005F51A4">
        <w:fldChar w:fldCharType="separate"/>
      </w:r>
      <w:r w:rsidRPr="004C773C">
        <w:t xml:space="preserve">Table </w:t>
      </w:r>
      <w:r w:rsidRPr="004C773C">
        <w:rPr>
          <w:noProof/>
        </w:rPr>
        <w:t>4</w:t>
      </w:r>
      <w:r w:rsidRPr="005F51A4">
        <w:fldChar w:fldCharType="end"/>
      </w:r>
      <w:r>
        <w:t xml:space="preserve"> is a subset of  </w:t>
      </w:r>
      <w:r w:rsidRPr="005F51A4">
        <w:fldChar w:fldCharType="begin"/>
      </w:r>
      <w:r w:rsidRPr="009E6B1A">
        <w:instrText xml:space="preserve"> REF _Ref123137422 \h </w:instrText>
      </w:r>
      <w:r>
        <w:instrText xml:space="preserve"> \* MERGEFORMAT </w:instrText>
      </w:r>
      <w:r w:rsidRPr="005F51A4">
        <w:fldChar w:fldCharType="separate"/>
      </w:r>
      <w:r w:rsidRPr="004C773C">
        <w:t xml:space="preserve">Table </w:t>
      </w:r>
      <w:r w:rsidRPr="004C773C">
        <w:rPr>
          <w:noProof/>
        </w:rPr>
        <w:t>1</w:t>
      </w:r>
      <w:r w:rsidRPr="005F51A4">
        <w:fldChar w:fldCharType="end"/>
      </w:r>
      <w:r>
        <w:t xml:space="preserve">.  It includes the </w:t>
      </w:r>
      <w:r w:rsidRPr="00AE0FED">
        <w:t>states where accusations of partisan</w:t>
      </w:r>
      <w:r>
        <w:t xml:space="preserve"> or racial</w:t>
      </w:r>
      <w:r w:rsidRPr="00AE0FED">
        <w:t xml:space="preserve"> gerrymandering had been brought.</w:t>
      </w:r>
      <w:r w:rsidRPr="0078695B">
        <w:rPr>
          <w:rStyle w:val="FootnoteReference"/>
        </w:rPr>
        <w:footnoteReference w:id="164"/>
      </w:r>
      <w:r>
        <w:t xml:space="preserve">  </w:t>
      </w:r>
      <w:r w:rsidRPr="00AE0FED">
        <w:t>In</w:t>
      </w:r>
      <w:r>
        <w:t xml:space="preserve"> addition to indicating if there is direct or indirect language in the state constitution prohibiting partisan gerrymandering (also shown in </w:t>
      </w:r>
      <w:r>
        <w:fldChar w:fldCharType="begin"/>
      </w:r>
      <w:r>
        <w:instrText xml:space="preserve"> REF _Ref123137422 \h  \* MERGEFORMAT </w:instrText>
      </w:r>
      <w:r>
        <w:fldChar w:fldCharType="separate"/>
      </w:r>
      <w:r>
        <w:t xml:space="preserve">Table </w:t>
      </w:r>
      <w:r>
        <w:rPr>
          <w:noProof/>
        </w:rPr>
        <w:t>1</w:t>
      </w:r>
      <w:r>
        <w:fldChar w:fldCharType="end"/>
      </w:r>
      <w:r w:rsidRPr="00F912CF">
        <w:t>)</w:t>
      </w:r>
      <w:r>
        <w:t>, we show whether a challenge was brought in state or federal court prior to the 2022 midterm election regarding the plan’s partisan or racial effects.</w:t>
      </w:r>
      <w:r w:rsidRPr="0078695B">
        <w:rPr>
          <w:rStyle w:val="FootnoteReference"/>
        </w:rPr>
        <w:footnoteReference w:id="165"/>
      </w:r>
      <w:r>
        <w:t xml:space="preserve">  </w:t>
      </w:r>
      <w:r w:rsidRPr="0031424C">
        <w:rPr>
          <w:bCs/>
        </w:rPr>
        <w:t>And we show what entity actually drew/adopted the plan that was put in place for 2022.</w:t>
      </w:r>
    </w:p>
    <w:p w14:paraId="4959DDFC" w14:textId="4993DD52" w:rsidR="00751018" w:rsidRDefault="00751018">
      <w:pPr>
        <w:rPr>
          <w:i/>
          <w:iCs/>
          <w:color w:val="44546A" w:themeColor="text2"/>
          <w:sz w:val="18"/>
          <w:szCs w:val="18"/>
        </w:rPr>
      </w:pPr>
      <w:bookmarkStart w:id="386" w:name="_Ref123166113"/>
    </w:p>
    <w:p w14:paraId="2567FF35" w14:textId="77777777" w:rsidR="00A431D6" w:rsidRDefault="00A431D6">
      <w:pPr>
        <w:rPr>
          <w:b/>
          <w:bCs/>
          <w:i/>
          <w:iCs/>
        </w:rPr>
      </w:pPr>
      <w:r>
        <w:rPr>
          <w:b/>
          <w:bCs/>
          <w:i/>
          <w:iCs/>
        </w:rPr>
        <w:br w:type="page"/>
      </w:r>
    </w:p>
    <w:p w14:paraId="10EE12E5" w14:textId="5637B6D5" w:rsidR="00751018" w:rsidRPr="00631818" w:rsidRDefault="00751018" w:rsidP="001D2160">
      <w:pPr>
        <w:pStyle w:val="BodyText"/>
        <w:ind w:left="-900" w:firstLine="0"/>
        <w:rPr>
          <w:b/>
          <w:bCs/>
          <w:color w:val="FF0000"/>
          <w:sz w:val="32"/>
          <w:szCs w:val="32"/>
        </w:rPr>
      </w:pPr>
      <w:r w:rsidRPr="001D2160">
        <w:rPr>
          <w:b/>
          <w:bCs/>
          <w:i/>
          <w:iCs/>
        </w:rPr>
        <w:lastRenderedPageBreak/>
        <w:t xml:space="preserve">Table </w:t>
      </w:r>
      <w:r w:rsidRPr="001D2160">
        <w:rPr>
          <w:b/>
          <w:bCs/>
          <w:i/>
          <w:iCs/>
        </w:rPr>
        <w:fldChar w:fldCharType="begin"/>
      </w:r>
      <w:r w:rsidRPr="001D2160">
        <w:rPr>
          <w:b/>
          <w:bCs/>
          <w:i/>
          <w:iCs/>
        </w:rPr>
        <w:instrText xml:space="preserve"> SEQ Table \* ARABIC </w:instrText>
      </w:r>
      <w:r w:rsidRPr="001D2160">
        <w:rPr>
          <w:b/>
          <w:bCs/>
          <w:i/>
          <w:iCs/>
        </w:rPr>
        <w:fldChar w:fldCharType="separate"/>
      </w:r>
      <w:r w:rsidRPr="001D2160">
        <w:rPr>
          <w:b/>
          <w:bCs/>
          <w:i/>
          <w:iCs/>
          <w:noProof/>
        </w:rPr>
        <w:t>4</w:t>
      </w:r>
      <w:r w:rsidRPr="001D2160">
        <w:rPr>
          <w:b/>
          <w:bCs/>
          <w:i/>
          <w:iCs/>
          <w:noProof/>
        </w:rPr>
        <w:fldChar w:fldCharType="end"/>
      </w:r>
      <w:bookmarkEnd w:id="386"/>
      <w:r w:rsidRPr="001D2160">
        <w:rPr>
          <w:b/>
          <w:bCs/>
          <w:i/>
          <w:iCs/>
          <w:noProof/>
        </w:rPr>
        <w:t>.</w:t>
      </w:r>
      <w:r w:rsidRPr="001D2160">
        <w:rPr>
          <w:b/>
          <w:bCs/>
        </w:rPr>
        <w:t xml:space="preserve"> Potential </w:t>
      </w:r>
      <w:r w:rsidR="004851A6">
        <w:rPr>
          <w:b/>
          <w:bCs/>
        </w:rPr>
        <w:t>P</w:t>
      </w:r>
      <w:r w:rsidRPr="008B4EBD">
        <w:rPr>
          <w:b/>
          <w:bCs/>
        </w:rPr>
        <w:t xml:space="preserve">artisan </w:t>
      </w:r>
      <w:r w:rsidR="004851A6">
        <w:rPr>
          <w:b/>
          <w:bCs/>
        </w:rPr>
        <w:t>G</w:t>
      </w:r>
      <w:r w:rsidRPr="008B4EBD">
        <w:rPr>
          <w:b/>
          <w:bCs/>
        </w:rPr>
        <w:t xml:space="preserve">errymanders and </w:t>
      </w:r>
      <w:r w:rsidR="004851A6">
        <w:rPr>
          <w:b/>
          <w:bCs/>
        </w:rPr>
        <w:t>S</w:t>
      </w:r>
      <w:r w:rsidRPr="008B4EBD">
        <w:rPr>
          <w:b/>
          <w:bCs/>
        </w:rPr>
        <w:t xml:space="preserve">tate </w:t>
      </w:r>
      <w:r w:rsidR="004851A6">
        <w:rPr>
          <w:b/>
          <w:bCs/>
        </w:rPr>
        <w:t>L</w:t>
      </w:r>
      <w:r w:rsidRPr="008B4EBD">
        <w:rPr>
          <w:b/>
          <w:bCs/>
        </w:rPr>
        <w:t>aw</w:t>
      </w:r>
    </w:p>
    <w:tbl>
      <w:tblPr>
        <w:tblStyle w:val="TableGrid"/>
        <w:tblW w:w="6238"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012"/>
        <w:gridCol w:w="1102"/>
        <w:gridCol w:w="671"/>
        <w:gridCol w:w="864"/>
        <w:gridCol w:w="1344"/>
        <w:gridCol w:w="1152"/>
        <w:gridCol w:w="1344"/>
        <w:gridCol w:w="1332"/>
      </w:tblGrid>
      <w:tr w:rsidR="004E2D8F" w:rsidRPr="0080356A" w14:paraId="35FF1B78" w14:textId="77777777" w:rsidTr="006C2F44">
        <w:trPr>
          <w:trHeight w:val="1385"/>
          <w:jc w:val="center"/>
        </w:trPr>
        <w:tc>
          <w:tcPr>
            <w:tcW w:w="573" w:type="pct"/>
            <w:vAlign w:val="center"/>
          </w:tcPr>
          <w:p w14:paraId="18579B7C" w14:textId="77777777" w:rsidR="00751018" w:rsidRPr="006C2F44" w:rsidRDefault="00751018" w:rsidP="006C2F44">
            <w:pPr>
              <w:pStyle w:val="NoSpacing"/>
              <w:rPr>
                <w:b/>
                <w:bCs/>
                <w:sz w:val="19"/>
                <w:szCs w:val="19"/>
              </w:rPr>
            </w:pPr>
            <w:r w:rsidRPr="006C2F44">
              <w:rPr>
                <w:b/>
                <w:bCs/>
                <w:sz w:val="19"/>
                <w:szCs w:val="19"/>
              </w:rPr>
              <w:t>State</w:t>
            </w:r>
          </w:p>
        </w:tc>
        <w:tc>
          <w:tcPr>
            <w:tcW w:w="624" w:type="pct"/>
            <w:vAlign w:val="center"/>
          </w:tcPr>
          <w:p w14:paraId="73F491AD" w14:textId="77777777" w:rsidR="00751018" w:rsidRPr="006C2F44" w:rsidRDefault="00751018" w:rsidP="006C2F44">
            <w:pPr>
              <w:pStyle w:val="NoSpacing"/>
              <w:jc w:val="center"/>
              <w:rPr>
                <w:b/>
                <w:bCs/>
                <w:sz w:val="19"/>
                <w:szCs w:val="19"/>
              </w:rPr>
            </w:pPr>
            <w:r w:rsidRPr="006C2F44">
              <w:rPr>
                <w:b/>
                <w:bCs/>
                <w:sz w:val="19"/>
                <w:szCs w:val="19"/>
              </w:rPr>
              <w:t>Direct Language</w:t>
            </w:r>
          </w:p>
        </w:tc>
        <w:tc>
          <w:tcPr>
            <w:tcW w:w="380" w:type="pct"/>
            <w:vAlign w:val="center"/>
          </w:tcPr>
          <w:p w14:paraId="08858B71" w14:textId="402F4BA4" w:rsidR="00751018" w:rsidRPr="006C2F44" w:rsidRDefault="00751018" w:rsidP="006C2F44">
            <w:pPr>
              <w:pStyle w:val="NoSpacing"/>
              <w:jc w:val="center"/>
              <w:rPr>
                <w:b/>
                <w:bCs/>
                <w:sz w:val="19"/>
                <w:szCs w:val="19"/>
              </w:rPr>
            </w:pPr>
            <w:r w:rsidRPr="006C2F44">
              <w:rPr>
                <w:b/>
                <w:bCs/>
                <w:sz w:val="19"/>
                <w:szCs w:val="19"/>
              </w:rPr>
              <w:t>Free and Equal/</w:t>
            </w:r>
            <w:r w:rsidR="009936E5">
              <w:rPr>
                <w:b/>
                <w:bCs/>
                <w:sz w:val="19"/>
                <w:szCs w:val="19"/>
              </w:rPr>
              <w:t xml:space="preserve"> </w:t>
            </w:r>
            <w:r w:rsidRPr="006C2F44">
              <w:rPr>
                <w:b/>
                <w:bCs/>
                <w:sz w:val="19"/>
                <w:szCs w:val="19"/>
              </w:rPr>
              <w:t>Open</w:t>
            </w:r>
          </w:p>
        </w:tc>
        <w:tc>
          <w:tcPr>
            <w:tcW w:w="490" w:type="pct"/>
            <w:vAlign w:val="center"/>
          </w:tcPr>
          <w:p w14:paraId="06432F9E" w14:textId="77777777" w:rsidR="00751018" w:rsidRPr="006C2F44" w:rsidRDefault="00751018" w:rsidP="006C2F44">
            <w:pPr>
              <w:pStyle w:val="NoSpacing"/>
              <w:jc w:val="center"/>
              <w:rPr>
                <w:b/>
                <w:bCs/>
                <w:sz w:val="19"/>
                <w:szCs w:val="19"/>
              </w:rPr>
            </w:pPr>
            <w:r w:rsidRPr="006C2F44">
              <w:rPr>
                <w:b/>
                <w:bCs/>
                <w:sz w:val="19"/>
                <w:szCs w:val="19"/>
              </w:rPr>
              <w:t>Who Drew the Map</w:t>
            </w:r>
          </w:p>
        </w:tc>
        <w:tc>
          <w:tcPr>
            <w:tcW w:w="762" w:type="pct"/>
            <w:vAlign w:val="center"/>
          </w:tcPr>
          <w:p w14:paraId="5A867166" w14:textId="77777777" w:rsidR="00751018" w:rsidRPr="006C2F44" w:rsidRDefault="00751018" w:rsidP="006C2F44">
            <w:pPr>
              <w:pStyle w:val="NoSpacing"/>
              <w:jc w:val="center"/>
              <w:rPr>
                <w:b/>
                <w:bCs/>
                <w:sz w:val="19"/>
                <w:szCs w:val="19"/>
              </w:rPr>
            </w:pPr>
            <w:r w:rsidRPr="006C2F44">
              <w:rPr>
                <w:b/>
                <w:bCs/>
                <w:sz w:val="19"/>
                <w:szCs w:val="19"/>
              </w:rPr>
              <w:t>Challenged based on racial classifications (</w:t>
            </w:r>
            <w:r w:rsidRPr="006C2F44">
              <w:rPr>
                <w:b/>
                <w:bCs/>
                <w:i/>
                <w:sz w:val="19"/>
                <w:szCs w:val="19"/>
              </w:rPr>
              <w:t>Shaw</w:t>
            </w:r>
            <w:r w:rsidRPr="006C2F44">
              <w:rPr>
                <w:b/>
                <w:bCs/>
                <w:sz w:val="19"/>
                <w:szCs w:val="19"/>
              </w:rPr>
              <w:t xml:space="preserve"> or Section Two)</w:t>
            </w:r>
          </w:p>
        </w:tc>
        <w:tc>
          <w:tcPr>
            <w:tcW w:w="653" w:type="pct"/>
            <w:vAlign w:val="center"/>
          </w:tcPr>
          <w:p w14:paraId="72B94E50" w14:textId="77777777" w:rsidR="00751018" w:rsidRPr="006C2F44" w:rsidRDefault="00751018" w:rsidP="006C2F44">
            <w:pPr>
              <w:pStyle w:val="NoSpacing"/>
              <w:jc w:val="center"/>
              <w:rPr>
                <w:b/>
                <w:bCs/>
                <w:sz w:val="19"/>
                <w:szCs w:val="19"/>
              </w:rPr>
            </w:pPr>
            <w:r w:rsidRPr="006C2F44">
              <w:rPr>
                <w:b/>
                <w:bCs/>
                <w:sz w:val="19"/>
                <w:szCs w:val="19"/>
              </w:rPr>
              <w:t>Not Challenged in State Court</w:t>
            </w:r>
          </w:p>
        </w:tc>
        <w:tc>
          <w:tcPr>
            <w:tcW w:w="762" w:type="pct"/>
            <w:vAlign w:val="center"/>
          </w:tcPr>
          <w:p w14:paraId="49FE415B" w14:textId="77777777" w:rsidR="00751018" w:rsidRPr="006C2F44" w:rsidRDefault="00751018" w:rsidP="006C2F44">
            <w:pPr>
              <w:pStyle w:val="NoSpacing"/>
              <w:jc w:val="center"/>
              <w:rPr>
                <w:b/>
                <w:bCs/>
                <w:sz w:val="19"/>
                <w:szCs w:val="19"/>
              </w:rPr>
            </w:pPr>
            <w:r w:rsidRPr="006C2F44">
              <w:rPr>
                <w:b/>
                <w:bCs/>
                <w:sz w:val="19"/>
                <w:szCs w:val="19"/>
              </w:rPr>
              <w:t>Unsuccessful</w:t>
            </w:r>
          </w:p>
          <w:p w14:paraId="3A1E2849" w14:textId="77777777" w:rsidR="00751018" w:rsidRPr="006C2F44" w:rsidRDefault="00751018" w:rsidP="006C2F44">
            <w:pPr>
              <w:pStyle w:val="NoSpacing"/>
              <w:jc w:val="center"/>
              <w:rPr>
                <w:b/>
                <w:bCs/>
                <w:sz w:val="19"/>
                <w:szCs w:val="19"/>
              </w:rPr>
            </w:pPr>
            <w:r w:rsidRPr="006C2F44">
              <w:rPr>
                <w:b/>
                <w:bCs/>
                <w:sz w:val="19"/>
                <w:szCs w:val="19"/>
              </w:rPr>
              <w:t>Or Pending</w:t>
            </w:r>
            <w:r w:rsidRPr="006C2F44">
              <w:rPr>
                <w:rStyle w:val="FootnoteReference"/>
                <w:b/>
                <w:bCs/>
                <w:sz w:val="19"/>
                <w:szCs w:val="19"/>
              </w:rPr>
              <w:footnoteReference w:id="166"/>
            </w:r>
            <w:r w:rsidRPr="006C2F44">
              <w:rPr>
                <w:b/>
                <w:bCs/>
                <w:sz w:val="19"/>
                <w:szCs w:val="19"/>
              </w:rPr>
              <w:t xml:space="preserve"> Challenge</w:t>
            </w:r>
            <w:r w:rsidRPr="006C2F44">
              <w:rPr>
                <w:rStyle w:val="FootnoteReference"/>
                <w:b/>
                <w:bCs/>
                <w:sz w:val="19"/>
                <w:szCs w:val="19"/>
              </w:rPr>
              <w:footnoteReference w:id="167"/>
            </w:r>
          </w:p>
        </w:tc>
        <w:tc>
          <w:tcPr>
            <w:tcW w:w="755" w:type="pct"/>
            <w:vAlign w:val="center"/>
          </w:tcPr>
          <w:p w14:paraId="31FC4566" w14:textId="77777777" w:rsidR="00751018" w:rsidRPr="006C2F44" w:rsidRDefault="00751018" w:rsidP="006C2F44">
            <w:pPr>
              <w:pStyle w:val="NoSpacing"/>
              <w:jc w:val="center"/>
              <w:rPr>
                <w:b/>
                <w:bCs/>
                <w:sz w:val="19"/>
                <w:szCs w:val="19"/>
              </w:rPr>
            </w:pPr>
            <w:r w:rsidRPr="006C2F44">
              <w:rPr>
                <w:b/>
                <w:bCs/>
                <w:sz w:val="19"/>
                <w:szCs w:val="19"/>
              </w:rPr>
              <w:t>Successful Challenge</w:t>
            </w:r>
            <w:r w:rsidRPr="006C2F44">
              <w:rPr>
                <w:rStyle w:val="FootnoteReference"/>
                <w:b/>
                <w:bCs/>
                <w:sz w:val="19"/>
                <w:szCs w:val="19"/>
              </w:rPr>
              <w:footnoteReference w:id="168"/>
            </w:r>
          </w:p>
        </w:tc>
      </w:tr>
      <w:tr w:rsidR="004E2D8F" w:rsidRPr="0080356A" w14:paraId="7A81B5E6" w14:textId="77777777" w:rsidTr="006C2F44">
        <w:trPr>
          <w:trHeight w:val="268"/>
          <w:jc w:val="center"/>
        </w:trPr>
        <w:tc>
          <w:tcPr>
            <w:tcW w:w="573" w:type="pct"/>
            <w:shd w:val="clear" w:color="auto" w:fill="D9D9D9" w:themeFill="background1" w:themeFillShade="D9"/>
            <w:vAlign w:val="center"/>
          </w:tcPr>
          <w:p w14:paraId="16CD9407" w14:textId="77777777" w:rsidR="00751018" w:rsidRPr="008B4EBD" w:rsidRDefault="00751018" w:rsidP="006C2F44">
            <w:pPr>
              <w:pStyle w:val="NoSpacing"/>
              <w:rPr>
                <w:i/>
                <w:iCs/>
                <w:sz w:val="18"/>
                <w:szCs w:val="18"/>
              </w:rPr>
            </w:pPr>
            <w:r w:rsidRPr="008B4EBD">
              <w:rPr>
                <w:i/>
                <w:iCs/>
                <w:sz w:val="18"/>
                <w:szCs w:val="18"/>
              </w:rPr>
              <w:t>Alabama</w:t>
            </w:r>
          </w:p>
        </w:tc>
        <w:tc>
          <w:tcPr>
            <w:tcW w:w="624" w:type="pct"/>
            <w:shd w:val="clear" w:color="auto" w:fill="D9D9D9" w:themeFill="background1" w:themeFillShade="D9"/>
            <w:vAlign w:val="center"/>
          </w:tcPr>
          <w:p w14:paraId="67B48451" w14:textId="77777777" w:rsidR="00751018" w:rsidRPr="008B4EBD" w:rsidRDefault="00751018" w:rsidP="006C2F44">
            <w:pPr>
              <w:pStyle w:val="NoSpacing"/>
              <w:jc w:val="center"/>
              <w:rPr>
                <w:sz w:val="18"/>
                <w:szCs w:val="18"/>
              </w:rPr>
            </w:pPr>
          </w:p>
        </w:tc>
        <w:tc>
          <w:tcPr>
            <w:tcW w:w="380" w:type="pct"/>
            <w:shd w:val="clear" w:color="auto" w:fill="D9D9D9" w:themeFill="background1" w:themeFillShade="D9"/>
            <w:vAlign w:val="center"/>
          </w:tcPr>
          <w:p w14:paraId="134504F9" w14:textId="77777777" w:rsidR="00751018" w:rsidRPr="008B4EBD" w:rsidRDefault="00751018" w:rsidP="006C2F44">
            <w:pPr>
              <w:pStyle w:val="NoSpacing"/>
              <w:jc w:val="center"/>
              <w:rPr>
                <w:sz w:val="18"/>
                <w:szCs w:val="18"/>
              </w:rPr>
            </w:pPr>
          </w:p>
        </w:tc>
        <w:tc>
          <w:tcPr>
            <w:tcW w:w="490" w:type="pct"/>
            <w:shd w:val="clear" w:color="auto" w:fill="D9D9D9" w:themeFill="background1" w:themeFillShade="D9"/>
            <w:vAlign w:val="center"/>
          </w:tcPr>
          <w:p w14:paraId="59DC8D5C" w14:textId="77777777" w:rsidR="00751018" w:rsidRPr="008B4EBD" w:rsidRDefault="00751018" w:rsidP="006C2F44">
            <w:pPr>
              <w:pStyle w:val="NoSpacing"/>
              <w:jc w:val="center"/>
              <w:rPr>
                <w:sz w:val="18"/>
                <w:szCs w:val="18"/>
              </w:rPr>
            </w:pPr>
            <w:r w:rsidRPr="008B4EBD">
              <w:rPr>
                <w:sz w:val="18"/>
                <w:szCs w:val="18"/>
              </w:rPr>
              <w:t>Leg.</w:t>
            </w:r>
          </w:p>
        </w:tc>
        <w:tc>
          <w:tcPr>
            <w:tcW w:w="762" w:type="pct"/>
            <w:shd w:val="clear" w:color="auto" w:fill="D9D9D9" w:themeFill="background1" w:themeFillShade="D9"/>
            <w:vAlign w:val="center"/>
          </w:tcPr>
          <w:p w14:paraId="7D27F881" w14:textId="77777777" w:rsidR="00751018" w:rsidRPr="008B4EBD" w:rsidRDefault="00751018" w:rsidP="006C2F44">
            <w:pPr>
              <w:pStyle w:val="NoSpacing"/>
              <w:jc w:val="center"/>
              <w:rPr>
                <w:sz w:val="18"/>
                <w:szCs w:val="18"/>
              </w:rPr>
            </w:pPr>
            <w:r w:rsidRPr="008B4EBD">
              <w:rPr>
                <w:sz w:val="18"/>
                <w:szCs w:val="18"/>
              </w:rPr>
              <w:t>x</w:t>
            </w:r>
          </w:p>
        </w:tc>
        <w:tc>
          <w:tcPr>
            <w:tcW w:w="653" w:type="pct"/>
            <w:shd w:val="clear" w:color="auto" w:fill="D9D9D9" w:themeFill="background1" w:themeFillShade="D9"/>
            <w:vAlign w:val="center"/>
          </w:tcPr>
          <w:p w14:paraId="01757743" w14:textId="77777777" w:rsidR="00751018" w:rsidRPr="008B4EBD" w:rsidRDefault="00751018" w:rsidP="006C2F44">
            <w:pPr>
              <w:pStyle w:val="NoSpacing"/>
              <w:jc w:val="center"/>
              <w:rPr>
                <w:sz w:val="18"/>
                <w:szCs w:val="18"/>
              </w:rPr>
            </w:pPr>
            <w:r w:rsidRPr="008B4EBD">
              <w:rPr>
                <w:sz w:val="18"/>
                <w:szCs w:val="18"/>
              </w:rPr>
              <w:t>ø</w:t>
            </w:r>
          </w:p>
        </w:tc>
        <w:tc>
          <w:tcPr>
            <w:tcW w:w="762" w:type="pct"/>
            <w:shd w:val="clear" w:color="auto" w:fill="D9D9D9" w:themeFill="background1" w:themeFillShade="D9"/>
            <w:vAlign w:val="center"/>
          </w:tcPr>
          <w:p w14:paraId="126CE556" w14:textId="77777777" w:rsidR="00751018" w:rsidRPr="008B4EBD" w:rsidRDefault="00751018" w:rsidP="006C2F44">
            <w:pPr>
              <w:pStyle w:val="NoSpacing"/>
              <w:jc w:val="center"/>
              <w:rPr>
                <w:sz w:val="18"/>
                <w:szCs w:val="18"/>
              </w:rPr>
            </w:pPr>
          </w:p>
        </w:tc>
        <w:tc>
          <w:tcPr>
            <w:tcW w:w="755" w:type="pct"/>
            <w:shd w:val="clear" w:color="auto" w:fill="D9D9D9" w:themeFill="background1" w:themeFillShade="D9"/>
            <w:vAlign w:val="center"/>
          </w:tcPr>
          <w:p w14:paraId="76A6DD38" w14:textId="77777777" w:rsidR="00751018" w:rsidRPr="008B4EBD" w:rsidRDefault="00751018" w:rsidP="006C2F44">
            <w:pPr>
              <w:pStyle w:val="NoSpacing"/>
              <w:jc w:val="center"/>
              <w:rPr>
                <w:sz w:val="18"/>
                <w:szCs w:val="18"/>
              </w:rPr>
            </w:pPr>
            <w:r w:rsidRPr="008B4EBD">
              <w:rPr>
                <w:sz w:val="18"/>
                <w:szCs w:val="18"/>
              </w:rPr>
              <w:t>F</w:t>
            </w:r>
          </w:p>
        </w:tc>
      </w:tr>
      <w:tr w:rsidR="004E2D8F" w:rsidRPr="0080356A" w14:paraId="0C845D27" w14:textId="77777777" w:rsidTr="006C2F44">
        <w:trPr>
          <w:trHeight w:val="773"/>
          <w:jc w:val="center"/>
        </w:trPr>
        <w:tc>
          <w:tcPr>
            <w:tcW w:w="573" w:type="pct"/>
            <w:vAlign w:val="center"/>
          </w:tcPr>
          <w:p w14:paraId="5D2C2739" w14:textId="77777777" w:rsidR="00751018" w:rsidRPr="008B4EBD" w:rsidRDefault="00751018" w:rsidP="006C2F44">
            <w:pPr>
              <w:pStyle w:val="NoSpacing"/>
              <w:rPr>
                <w:i/>
                <w:iCs/>
                <w:sz w:val="18"/>
                <w:szCs w:val="18"/>
              </w:rPr>
            </w:pPr>
            <w:r w:rsidRPr="008B4EBD">
              <w:rPr>
                <w:i/>
                <w:iCs/>
                <w:sz w:val="18"/>
                <w:szCs w:val="18"/>
              </w:rPr>
              <w:t>Arizona</w:t>
            </w:r>
          </w:p>
        </w:tc>
        <w:tc>
          <w:tcPr>
            <w:tcW w:w="624" w:type="pct"/>
            <w:vAlign w:val="center"/>
          </w:tcPr>
          <w:p w14:paraId="01E99A7D" w14:textId="3E3DEFBE" w:rsidR="00751018" w:rsidRPr="008B4EBD" w:rsidRDefault="00751018" w:rsidP="006C2F44">
            <w:pPr>
              <w:pStyle w:val="NoSpacing"/>
              <w:jc w:val="center"/>
              <w:rPr>
                <w:sz w:val="18"/>
                <w:szCs w:val="18"/>
              </w:rPr>
            </w:pPr>
            <w:del w:id="387" w:author="Jonathan Cervas" w:date="2023-06-23T11:32:00Z">
              <w:r w:rsidRPr="008B4EBD" w:rsidDel="0075230D">
                <w:rPr>
                  <w:sz w:val="18"/>
                  <w:szCs w:val="18"/>
                </w:rPr>
                <w:delText>•</w:delText>
              </w:r>
            </w:del>
            <w:ins w:id="388" w:author="Jonathan Cervas" w:date="2023-06-23T11:32:00Z">
              <w:r w:rsidR="0075230D">
                <w:rPr>
                  <w:sz w:val="18"/>
                  <w:szCs w:val="18"/>
                </w:rPr>
                <w:t>x</w:t>
              </w:r>
            </w:ins>
          </w:p>
        </w:tc>
        <w:tc>
          <w:tcPr>
            <w:tcW w:w="380" w:type="pct"/>
            <w:vAlign w:val="center"/>
          </w:tcPr>
          <w:p w14:paraId="79D86CA5" w14:textId="69232590" w:rsidR="00751018" w:rsidRPr="008B4EBD" w:rsidRDefault="00751018" w:rsidP="006C2F44">
            <w:pPr>
              <w:pStyle w:val="NoSpacing"/>
              <w:jc w:val="center"/>
              <w:rPr>
                <w:sz w:val="18"/>
                <w:szCs w:val="18"/>
              </w:rPr>
            </w:pPr>
            <w:del w:id="389" w:author="Jonathan Cervas" w:date="2023-06-23T11:32:00Z">
              <w:r w:rsidRPr="008B4EBD" w:rsidDel="0075230D">
                <w:rPr>
                  <w:sz w:val="18"/>
                  <w:szCs w:val="18"/>
                </w:rPr>
                <w:delText>•</w:delText>
              </w:r>
            </w:del>
            <w:ins w:id="390" w:author="Jonathan Cervas" w:date="2023-06-23T11:32:00Z">
              <w:r w:rsidR="0075230D">
                <w:rPr>
                  <w:sz w:val="18"/>
                  <w:szCs w:val="18"/>
                </w:rPr>
                <w:t>x</w:t>
              </w:r>
            </w:ins>
          </w:p>
        </w:tc>
        <w:tc>
          <w:tcPr>
            <w:tcW w:w="490" w:type="pct"/>
            <w:vAlign w:val="center"/>
          </w:tcPr>
          <w:p w14:paraId="7ECD01D5" w14:textId="77777777" w:rsidR="00751018" w:rsidRPr="008B4EBD" w:rsidRDefault="00751018" w:rsidP="006C2F44">
            <w:pPr>
              <w:pStyle w:val="NoSpacing"/>
              <w:jc w:val="center"/>
              <w:rPr>
                <w:sz w:val="18"/>
                <w:szCs w:val="18"/>
              </w:rPr>
            </w:pPr>
            <w:proofErr w:type="spellStart"/>
            <w:r w:rsidRPr="008B4EBD">
              <w:rPr>
                <w:sz w:val="18"/>
                <w:szCs w:val="18"/>
              </w:rPr>
              <w:t>Indep</w:t>
            </w:r>
            <w:proofErr w:type="spellEnd"/>
            <w:r w:rsidRPr="008B4EBD">
              <w:rPr>
                <w:sz w:val="18"/>
                <w:szCs w:val="18"/>
              </w:rPr>
              <w:t>. Comm.</w:t>
            </w:r>
          </w:p>
        </w:tc>
        <w:tc>
          <w:tcPr>
            <w:tcW w:w="762" w:type="pct"/>
            <w:vAlign w:val="center"/>
          </w:tcPr>
          <w:p w14:paraId="19CC3DF2" w14:textId="77777777" w:rsidR="00751018" w:rsidRPr="008B4EBD" w:rsidRDefault="00751018" w:rsidP="006C2F44">
            <w:pPr>
              <w:pStyle w:val="NoSpacing"/>
              <w:jc w:val="center"/>
              <w:rPr>
                <w:sz w:val="18"/>
                <w:szCs w:val="18"/>
              </w:rPr>
            </w:pPr>
          </w:p>
        </w:tc>
        <w:tc>
          <w:tcPr>
            <w:tcW w:w="653" w:type="pct"/>
            <w:vAlign w:val="center"/>
          </w:tcPr>
          <w:p w14:paraId="4B71203D" w14:textId="77777777" w:rsidR="00751018" w:rsidRPr="008B4EBD" w:rsidRDefault="00751018" w:rsidP="006C2F44">
            <w:pPr>
              <w:pStyle w:val="NoSpacing"/>
              <w:jc w:val="center"/>
              <w:rPr>
                <w:sz w:val="18"/>
                <w:szCs w:val="18"/>
              </w:rPr>
            </w:pPr>
            <w:r w:rsidRPr="008B4EBD">
              <w:rPr>
                <w:sz w:val="18"/>
                <w:szCs w:val="18"/>
              </w:rPr>
              <w:t>ø</w:t>
            </w:r>
          </w:p>
        </w:tc>
        <w:tc>
          <w:tcPr>
            <w:tcW w:w="762" w:type="pct"/>
            <w:vAlign w:val="center"/>
          </w:tcPr>
          <w:p w14:paraId="4DEEAE42" w14:textId="77777777" w:rsidR="00751018" w:rsidRPr="008B4EBD" w:rsidRDefault="00751018" w:rsidP="006C2F44">
            <w:pPr>
              <w:pStyle w:val="NoSpacing"/>
              <w:jc w:val="center"/>
              <w:rPr>
                <w:sz w:val="18"/>
                <w:szCs w:val="18"/>
              </w:rPr>
            </w:pPr>
          </w:p>
        </w:tc>
        <w:tc>
          <w:tcPr>
            <w:tcW w:w="755" w:type="pct"/>
            <w:vAlign w:val="center"/>
          </w:tcPr>
          <w:p w14:paraId="589FFB9B" w14:textId="77777777" w:rsidR="00751018" w:rsidRPr="008B4EBD" w:rsidRDefault="00751018" w:rsidP="006C2F44">
            <w:pPr>
              <w:pStyle w:val="NoSpacing"/>
              <w:jc w:val="center"/>
              <w:rPr>
                <w:sz w:val="18"/>
                <w:szCs w:val="18"/>
              </w:rPr>
            </w:pPr>
          </w:p>
        </w:tc>
      </w:tr>
      <w:tr w:rsidR="004E2D8F" w:rsidRPr="0080356A" w14:paraId="18DDD1AA" w14:textId="77777777" w:rsidTr="006C2F44">
        <w:trPr>
          <w:trHeight w:val="257"/>
          <w:jc w:val="center"/>
        </w:trPr>
        <w:tc>
          <w:tcPr>
            <w:tcW w:w="573" w:type="pct"/>
            <w:vAlign w:val="center"/>
          </w:tcPr>
          <w:p w14:paraId="4CF64D9A" w14:textId="77777777" w:rsidR="00751018" w:rsidRPr="008B4EBD" w:rsidRDefault="00751018" w:rsidP="00F8234C">
            <w:pPr>
              <w:pStyle w:val="NoSpacing"/>
              <w:rPr>
                <w:i/>
                <w:iCs/>
                <w:sz w:val="18"/>
                <w:szCs w:val="18"/>
              </w:rPr>
            </w:pPr>
            <w:r w:rsidRPr="008B4EBD">
              <w:rPr>
                <w:i/>
                <w:iCs/>
                <w:sz w:val="18"/>
                <w:szCs w:val="18"/>
              </w:rPr>
              <w:t>Arkansas</w:t>
            </w:r>
          </w:p>
        </w:tc>
        <w:tc>
          <w:tcPr>
            <w:tcW w:w="624" w:type="pct"/>
            <w:vAlign w:val="center"/>
          </w:tcPr>
          <w:p w14:paraId="200BDBC6" w14:textId="77777777" w:rsidR="00751018" w:rsidRPr="008B4EBD" w:rsidRDefault="00751018" w:rsidP="00F8234C">
            <w:pPr>
              <w:pStyle w:val="NoSpacing"/>
              <w:jc w:val="center"/>
              <w:rPr>
                <w:sz w:val="18"/>
                <w:szCs w:val="18"/>
              </w:rPr>
            </w:pPr>
          </w:p>
        </w:tc>
        <w:tc>
          <w:tcPr>
            <w:tcW w:w="380" w:type="pct"/>
            <w:vAlign w:val="center"/>
          </w:tcPr>
          <w:p w14:paraId="01FAF1B5" w14:textId="0464E17A" w:rsidR="00751018" w:rsidRPr="008B4EBD" w:rsidRDefault="00751018" w:rsidP="00F8234C">
            <w:pPr>
              <w:pStyle w:val="NoSpacing"/>
              <w:jc w:val="center"/>
              <w:rPr>
                <w:sz w:val="18"/>
                <w:szCs w:val="18"/>
              </w:rPr>
            </w:pPr>
            <w:del w:id="391" w:author="Jonathan Cervas" w:date="2023-06-23T11:32:00Z">
              <w:r w:rsidRPr="008B4EBD" w:rsidDel="0075230D">
                <w:rPr>
                  <w:sz w:val="18"/>
                  <w:szCs w:val="18"/>
                </w:rPr>
                <w:delText>•</w:delText>
              </w:r>
            </w:del>
            <w:ins w:id="392" w:author="Jonathan Cervas" w:date="2023-06-23T11:32:00Z">
              <w:r w:rsidR="0075230D">
                <w:rPr>
                  <w:sz w:val="18"/>
                  <w:szCs w:val="18"/>
                </w:rPr>
                <w:t>x</w:t>
              </w:r>
            </w:ins>
          </w:p>
        </w:tc>
        <w:tc>
          <w:tcPr>
            <w:tcW w:w="490" w:type="pct"/>
            <w:vAlign w:val="center"/>
          </w:tcPr>
          <w:p w14:paraId="131757C4" w14:textId="77777777" w:rsidR="00751018" w:rsidRPr="008B4EBD" w:rsidRDefault="00751018" w:rsidP="00F8234C">
            <w:pPr>
              <w:pStyle w:val="NoSpacing"/>
              <w:jc w:val="center"/>
              <w:rPr>
                <w:sz w:val="18"/>
                <w:szCs w:val="18"/>
              </w:rPr>
            </w:pPr>
            <w:r w:rsidRPr="008B4EBD">
              <w:rPr>
                <w:sz w:val="18"/>
                <w:szCs w:val="18"/>
              </w:rPr>
              <w:t>Leg.</w:t>
            </w:r>
          </w:p>
        </w:tc>
        <w:tc>
          <w:tcPr>
            <w:tcW w:w="762" w:type="pct"/>
            <w:vAlign w:val="center"/>
          </w:tcPr>
          <w:p w14:paraId="018EB7BA" w14:textId="77777777" w:rsidR="00751018" w:rsidRPr="008B4EBD" w:rsidRDefault="00751018" w:rsidP="00F8234C">
            <w:pPr>
              <w:pStyle w:val="NoSpacing"/>
              <w:jc w:val="center"/>
              <w:rPr>
                <w:sz w:val="18"/>
                <w:szCs w:val="18"/>
              </w:rPr>
            </w:pPr>
            <w:r w:rsidRPr="008B4EBD">
              <w:rPr>
                <w:sz w:val="18"/>
                <w:szCs w:val="18"/>
              </w:rPr>
              <w:t>x</w:t>
            </w:r>
          </w:p>
        </w:tc>
        <w:tc>
          <w:tcPr>
            <w:tcW w:w="653" w:type="pct"/>
            <w:vAlign w:val="center"/>
          </w:tcPr>
          <w:p w14:paraId="5B2B038E" w14:textId="77777777" w:rsidR="00751018" w:rsidRPr="008B4EBD" w:rsidRDefault="00751018" w:rsidP="00F8234C">
            <w:pPr>
              <w:pStyle w:val="NoSpacing"/>
              <w:jc w:val="center"/>
              <w:rPr>
                <w:sz w:val="18"/>
                <w:szCs w:val="18"/>
              </w:rPr>
            </w:pPr>
          </w:p>
        </w:tc>
        <w:tc>
          <w:tcPr>
            <w:tcW w:w="762" w:type="pct"/>
            <w:vAlign w:val="center"/>
          </w:tcPr>
          <w:p w14:paraId="1C344624" w14:textId="77777777" w:rsidR="00751018" w:rsidRPr="008B4EBD" w:rsidRDefault="00751018" w:rsidP="00F8234C">
            <w:pPr>
              <w:pStyle w:val="NoSpacing"/>
              <w:jc w:val="center"/>
              <w:rPr>
                <w:sz w:val="18"/>
                <w:szCs w:val="18"/>
              </w:rPr>
            </w:pPr>
            <w:r w:rsidRPr="008B4EBD">
              <w:rPr>
                <w:sz w:val="18"/>
                <w:szCs w:val="18"/>
              </w:rPr>
              <w:t>p</w:t>
            </w:r>
          </w:p>
        </w:tc>
        <w:tc>
          <w:tcPr>
            <w:tcW w:w="755" w:type="pct"/>
            <w:vAlign w:val="center"/>
          </w:tcPr>
          <w:p w14:paraId="1C739312" w14:textId="77777777" w:rsidR="00751018" w:rsidRPr="008B4EBD" w:rsidRDefault="00751018" w:rsidP="00F8234C">
            <w:pPr>
              <w:pStyle w:val="NoSpacing"/>
              <w:jc w:val="center"/>
              <w:rPr>
                <w:sz w:val="18"/>
                <w:szCs w:val="18"/>
              </w:rPr>
            </w:pPr>
          </w:p>
        </w:tc>
      </w:tr>
      <w:tr w:rsidR="004E2D8F" w:rsidRPr="0080356A" w14:paraId="298D551B" w14:textId="77777777" w:rsidTr="006C2F44">
        <w:trPr>
          <w:trHeight w:val="257"/>
          <w:jc w:val="center"/>
        </w:trPr>
        <w:tc>
          <w:tcPr>
            <w:tcW w:w="573" w:type="pct"/>
            <w:vAlign w:val="center"/>
          </w:tcPr>
          <w:p w14:paraId="10C11C1C" w14:textId="77777777" w:rsidR="00751018" w:rsidRPr="008B4EBD" w:rsidRDefault="00751018" w:rsidP="00F8234C">
            <w:pPr>
              <w:pStyle w:val="NoSpacing"/>
              <w:rPr>
                <w:i/>
                <w:iCs/>
                <w:sz w:val="18"/>
                <w:szCs w:val="18"/>
              </w:rPr>
            </w:pPr>
            <w:r w:rsidRPr="008B4EBD">
              <w:rPr>
                <w:i/>
                <w:iCs/>
                <w:sz w:val="18"/>
                <w:szCs w:val="18"/>
              </w:rPr>
              <w:t>Florida</w:t>
            </w:r>
          </w:p>
        </w:tc>
        <w:tc>
          <w:tcPr>
            <w:tcW w:w="624" w:type="pct"/>
            <w:vAlign w:val="center"/>
          </w:tcPr>
          <w:p w14:paraId="5B601E3C" w14:textId="2D2AC8D5" w:rsidR="00751018" w:rsidRPr="008B4EBD" w:rsidRDefault="00751018" w:rsidP="00F8234C">
            <w:pPr>
              <w:pStyle w:val="NoSpacing"/>
              <w:jc w:val="center"/>
              <w:rPr>
                <w:sz w:val="18"/>
                <w:szCs w:val="18"/>
              </w:rPr>
            </w:pPr>
            <w:del w:id="393" w:author="Jonathan Cervas" w:date="2023-06-23T11:32:00Z">
              <w:r w:rsidRPr="008B4EBD" w:rsidDel="0075230D">
                <w:rPr>
                  <w:sz w:val="18"/>
                  <w:szCs w:val="18"/>
                </w:rPr>
                <w:delText>•</w:delText>
              </w:r>
            </w:del>
            <w:ins w:id="394" w:author="Jonathan Cervas" w:date="2023-06-23T11:32:00Z">
              <w:r w:rsidR="0075230D">
                <w:rPr>
                  <w:sz w:val="18"/>
                  <w:szCs w:val="18"/>
                </w:rPr>
                <w:t>x</w:t>
              </w:r>
            </w:ins>
          </w:p>
        </w:tc>
        <w:tc>
          <w:tcPr>
            <w:tcW w:w="380" w:type="pct"/>
            <w:vAlign w:val="center"/>
          </w:tcPr>
          <w:p w14:paraId="1174C941" w14:textId="77777777" w:rsidR="00751018" w:rsidRPr="008B4EBD" w:rsidRDefault="00751018" w:rsidP="00F8234C">
            <w:pPr>
              <w:pStyle w:val="NoSpacing"/>
              <w:jc w:val="center"/>
              <w:rPr>
                <w:sz w:val="18"/>
                <w:szCs w:val="18"/>
              </w:rPr>
            </w:pPr>
          </w:p>
        </w:tc>
        <w:tc>
          <w:tcPr>
            <w:tcW w:w="490" w:type="pct"/>
            <w:vAlign w:val="center"/>
          </w:tcPr>
          <w:p w14:paraId="485973D7" w14:textId="77777777" w:rsidR="00751018" w:rsidRPr="008B4EBD" w:rsidRDefault="00751018" w:rsidP="00F8234C">
            <w:pPr>
              <w:pStyle w:val="NoSpacing"/>
              <w:jc w:val="center"/>
              <w:rPr>
                <w:sz w:val="18"/>
                <w:szCs w:val="18"/>
              </w:rPr>
            </w:pPr>
            <w:r w:rsidRPr="008B4EBD">
              <w:rPr>
                <w:sz w:val="18"/>
                <w:szCs w:val="18"/>
              </w:rPr>
              <w:t>Leg.</w:t>
            </w:r>
          </w:p>
        </w:tc>
        <w:tc>
          <w:tcPr>
            <w:tcW w:w="762" w:type="pct"/>
            <w:vAlign w:val="center"/>
          </w:tcPr>
          <w:p w14:paraId="2ABDE5E9" w14:textId="77777777" w:rsidR="00751018" w:rsidRPr="008B4EBD" w:rsidRDefault="00751018" w:rsidP="00F8234C">
            <w:pPr>
              <w:pStyle w:val="NoSpacing"/>
              <w:jc w:val="center"/>
              <w:rPr>
                <w:sz w:val="18"/>
                <w:szCs w:val="18"/>
              </w:rPr>
            </w:pPr>
          </w:p>
        </w:tc>
        <w:tc>
          <w:tcPr>
            <w:tcW w:w="653" w:type="pct"/>
            <w:vAlign w:val="center"/>
          </w:tcPr>
          <w:p w14:paraId="5229D736" w14:textId="77777777" w:rsidR="00751018" w:rsidRPr="008B4EBD" w:rsidRDefault="00751018" w:rsidP="00F8234C">
            <w:pPr>
              <w:pStyle w:val="NoSpacing"/>
              <w:jc w:val="center"/>
              <w:rPr>
                <w:sz w:val="18"/>
                <w:szCs w:val="18"/>
              </w:rPr>
            </w:pPr>
          </w:p>
        </w:tc>
        <w:tc>
          <w:tcPr>
            <w:tcW w:w="762" w:type="pct"/>
            <w:vAlign w:val="center"/>
          </w:tcPr>
          <w:p w14:paraId="2A321BF8" w14:textId="77777777" w:rsidR="00751018" w:rsidRPr="008B4EBD" w:rsidRDefault="00751018" w:rsidP="00F8234C">
            <w:pPr>
              <w:pStyle w:val="NoSpacing"/>
              <w:jc w:val="center"/>
              <w:rPr>
                <w:sz w:val="18"/>
                <w:szCs w:val="18"/>
              </w:rPr>
            </w:pPr>
            <w:r w:rsidRPr="008B4EBD">
              <w:rPr>
                <w:sz w:val="18"/>
                <w:szCs w:val="18"/>
              </w:rPr>
              <w:t>p</w:t>
            </w:r>
          </w:p>
        </w:tc>
        <w:tc>
          <w:tcPr>
            <w:tcW w:w="755" w:type="pct"/>
            <w:vAlign w:val="center"/>
          </w:tcPr>
          <w:p w14:paraId="5F67BB67" w14:textId="77777777" w:rsidR="00751018" w:rsidRPr="008B4EBD" w:rsidRDefault="00751018" w:rsidP="00F8234C">
            <w:pPr>
              <w:pStyle w:val="NoSpacing"/>
              <w:jc w:val="center"/>
              <w:rPr>
                <w:sz w:val="18"/>
                <w:szCs w:val="18"/>
              </w:rPr>
            </w:pPr>
          </w:p>
        </w:tc>
      </w:tr>
      <w:tr w:rsidR="004E2D8F" w:rsidRPr="0080356A" w14:paraId="69EB53DD" w14:textId="77777777" w:rsidTr="006C2F44">
        <w:trPr>
          <w:trHeight w:val="257"/>
          <w:jc w:val="center"/>
        </w:trPr>
        <w:tc>
          <w:tcPr>
            <w:tcW w:w="573" w:type="pct"/>
            <w:shd w:val="clear" w:color="auto" w:fill="D9D9D9" w:themeFill="background1" w:themeFillShade="D9"/>
            <w:vAlign w:val="center"/>
          </w:tcPr>
          <w:p w14:paraId="2E06BBDC" w14:textId="77777777" w:rsidR="00751018" w:rsidRPr="008B4EBD" w:rsidRDefault="00751018" w:rsidP="00F8234C">
            <w:pPr>
              <w:pStyle w:val="NoSpacing"/>
              <w:rPr>
                <w:i/>
                <w:iCs/>
                <w:sz w:val="18"/>
                <w:szCs w:val="18"/>
              </w:rPr>
            </w:pPr>
            <w:r w:rsidRPr="008B4EBD">
              <w:rPr>
                <w:i/>
                <w:iCs/>
                <w:sz w:val="18"/>
                <w:szCs w:val="18"/>
              </w:rPr>
              <w:t>Georgia</w:t>
            </w:r>
          </w:p>
        </w:tc>
        <w:tc>
          <w:tcPr>
            <w:tcW w:w="624" w:type="pct"/>
            <w:shd w:val="clear" w:color="auto" w:fill="D9D9D9" w:themeFill="background1" w:themeFillShade="D9"/>
            <w:vAlign w:val="center"/>
          </w:tcPr>
          <w:p w14:paraId="5361B299" w14:textId="77777777" w:rsidR="00751018" w:rsidRPr="008B4EBD" w:rsidRDefault="00751018" w:rsidP="00F8234C">
            <w:pPr>
              <w:pStyle w:val="NoSpacing"/>
              <w:jc w:val="center"/>
              <w:rPr>
                <w:sz w:val="18"/>
                <w:szCs w:val="18"/>
              </w:rPr>
            </w:pPr>
          </w:p>
        </w:tc>
        <w:tc>
          <w:tcPr>
            <w:tcW w:w="380" w:type="pct"/>
            <w:shd w:val="clear" w:color="auto" w:fill="D9D9D9" w:themeFill="background1" w:themeFillShade="D9"/>
            <w:vAlign w:val="center"/>
          </w:tcPr>
          <w:p w14:paraId="660D82F4" w14:textId="77777777" w:rsidR="00751018" w:rsidRPr="008B4EBD" w:rsidRDefault="00751018" w:rsidP="00F8234C">
            <w:pPr>
              <w:pStyle w:val="NoSpacing"/>
              <w:jc w:val="center"/>
              <w:rPr>
                <w:sz w:val="18"/>
                <w:szCs w:val="18"/>
              </w:rPr>
            </w:pPr>
          </w:p>
        </w:tc>
        <w:tc>
          <w:tcPr>
            <w:tcW w:w="490" w:type="pct"/>
            <w:shd w:val="clear" w:color="auto" w:fill="D9D9D9" w:themeFill="background1" w:themeFillShade="D9"/>
            <w:vAlign w:val="center"/>
          </w:tcPr>
          <w:p w14:paraId="2F65AFA5" w14:textId="77777777" w:rsidR="00751018" w:rsidRPr="008B4EBD" w:rsidRDefault="00751018" w:rsidP="00F8234C">
            <w:pPr>
              <w:pStyle w:val="NoSpacing"/>
              <w:jc w:val="center"/>
              <w:rPr>
                <w:sz w:val="18"/>
                <w:szCs w:val="18"/>
              </w:rPr>
            </w:pPr>
            <w:r w:rsidRPr="008B4EBD">
              <w:rPr>
                <w:sz w:val="18"/>
                <w:szCs w:val="18"/>
              </w:rPr>
              <w:t>Leg.</w:t>
            </w:r>
          </w:p>
        </w:tc>
        <w:tc>
          <w:tcPr>
            <w:tcW w:w="762" w:type="pct"/>
            <w:shd w:val="clear" w:color="auto" w:fill="D9D9D9" w:themeFill="background1" w:themeFillShade="D9"/>
            <w:vAlign w:val="center"/>
          </w:tcPr>
          <w:p w14:paraId="6B102115" w14:textId="77777777" w:rsidR="00751018" w:rsidRPr="008B4EBD" w:rsidRDefault="00751018" w:rsidP="00F8234C">
            <w:pPr>
              <w:pStyle w:val="NoSpacing"/>
              <w:jc w:val="center"/>
              <w:rPr>
                <w:sz w:val="18"/>
                <w:szCs w:val="18"/>
              </w:rPr>
            </w:pPr>
            <w:r w:rsidRPr="008B4EBD">
              <w:rPr>
                <w:sz w:val="18"/>
                <w:szCs w:val="18"/>
              </w:rPr>
              <w:t>x</w:t>
            </w:r>
          </w:p>
        </w:tc>
        <w:tc>
          <w:tcPr>
            <w:tcW w:w="653" w:type="pct"/>
            <w:shd w:val="clear" w:color="auto" w:fill="D9D9D9" w:themeFill="background1" w:themeFillShade="D9"/>
            <w:vAlign w:val="center"/>
          </w:tcPr>
          <w:p w14:paraId="64D22228" w14:textId="77777777" w:rsidR="00751018" w:rsidRPr="008B4EBD" w:rsidRDefault="00751018" w:rsidP="00F8234C">
            <w:pPr>
              <w:pStyle w:val="NoSpacing"/>
              <w:jc w:val="center"/>
              <w:rPr>
                <w:sz w:val="18"/>
                <w:szCs w:val="18"/>
              </w:rPr>
            </w:pPr>
            <w:r w:rsidRPr="008B4EBD">
              <w:rPr>
                <w:sz w:val="18"/>
                <w:szCs w:val="18"/>
              </w:rPr>
              <w:t>ø</w:t>
            </w:r>
          </w:p>
        </w:tc>
        <w:tc>
          <w:tcPr>
            <w:tcW w:w="762" w:type="pct"/>
            <w:shd w:val="clear" w:color="auto" w:fill="D9D9D9" w:themeFill="background1" w:themeFillShade="D9"/>
            <w:vAlign w:val="center"/>
          </w:tcPr>
          <w:p w14:paraId="6C75385D" w14:textId="77777777" w:rsidR="00751018" w:rsidRPr="008B4EBD" w:rsidRDefault="00751018" w:rsidP="00F8234C">
            <w:pPr>
              <w:pStyle w:val="NoSpacing"/>
              <w:jc w:val="center"/>
              <w:rPr>
                <w:sz w:val="18"/>
                <w:szCs w:val="18"/>
              </w:rPr>
            </w:pPr>
          </w:p>
        </w:tc>
        <w:tc>
          <w:tcPr>
            <w:tcW w:w="755" w:type="pct"/>
            <w:shd w:val="clear" w:color="auto" w:fill="D9D9D9" w:themeFill="background1" w:themeFillShade="D9"/>
            <w:vAlign w:val="center"/>
          </w:tcPr>
          <w:p w14:paraId="68002DD6" w14:textId="77777777" w:rsidR="00751018" w:rsidRPr="008B4EBD" w:rsidRDefault="00751018" w:rsidP="00F8234C">
            <w:pPr>
              <w:pStyle w:val="NoSpacing"/>
              <w:jc w:val="center"/>
              <w:rPr>
                <w:sz w:val="18"/>
                <w:szCs w:val="18"/>
              </w:rPr>
            </w:pPr>
            <w:r w:rsidRPr="008B4EBD">
              <w:rPr>
                <w:sz w:val="18"/>
                <w:szCs w:val="18"/>
              </w:rPr>
              <w:t>F</w:t>
            </w:r>
          </w:p>
        </w:tc>
      </w:tr>
      <w:tr w:rsidR="004E2D8F" w:rsidRPr="0080356A" w14:paraId="39053A6A" w14:textId="77777777" w:rsidTr="006C2F44">
        <w:trPr>
          <w:trHeight w:val="268"/>
          <w:jc w:val="center"/>
        </w:trPr>
        <w:tc>
          <w:tcPr>
            <w:tcW w:w="573" w:type="pct"/>
            <w:vAlign w:val="center"/>
          </w:tcPr>
          <w:p w14:paraId="03FD3F6C" w14:textId="77777777" w:rsidR="00751018" w:rsidRPr="008B4EBD" w:rsidRDefault="00751018" w:rsidP="00F8234C">
            <w:pPr>
              <w:pStyle w:val="NoSpacing"/>
              <w:rPr>
                <w:i/>
                <w:iCs/>
                <w:sz w:val="18"/>
                <w:szCs w:val="18"/>
              </w:rPr>
            </w:pPr>
            <w:r w:rsidRPr="008B4EBD">
              <w:rPr>
                <w:i/>
                <w:iCs/>
                <w:sz w:val="18"/>
                <w:szCs w:val="18"/>
              </w:rPr>
              <w:t>Illinois</w:t>
            </w:r>
          </w:p>
        </w:tc>
        <w:tc>
          <w:tcPr>
            <w:tcW w:w="624" w:type="pct"/>
            <w:vAlign w:val="center"/>
          </w:tcPr>
          <w:p w14:paraId="2576C88F" w14:textId="77777777" w:rsidR="00751018" w:rsidRPr="008B4EBD" w:rsidRDefault="00751018" w:rsidP="00F8234C">
            <w:pPr>
              <w:pStyle w:val="NoSpacing"/>
              <w:jc w:val="center"/>
              <w:rPr>
                <w:sz w:val="18"/>
                <w:szCs w:val="18"/>
              </w:rPr>
            </w:pPr>
          </w:p>
        </w:tc>
        <w:tc>
          <w:tcPr>
            <w:tcW w:w="380" w:type="pct"/>
            <w:vAlign w:val="center"/>
          </w:tcPr>
          <w:p w14:paraId="58F8E3E0" w14:textId="5D67601B" w:rsidR="00751018" w:rsidRPr="008B4EBD" w:rsidRDefault="00751018" w:rsidP="00F8234C">
            <w:pPr>
              <w:pStyle w:val="NoSpacing"/>
              <w:jc w:val="center"/>
              <w:rPr>
                <w:sz w:val="18"/>
                <w:szCs w:val="18"/>
              </w:rPr>
            </w:pPr>
            <w:del w:id="395" w:author="Jonathan Cervas" w:date="2023-06-23T11:32:00Z">
              <w:r w:rsidRPr="008B4EBD" w:rsidDel="0075230D">
                <w:rPr>
                  <w:sz w:val="18"/>
                  <w:szCs w:val="18"/>
                </w:rPr>
                <w:delText>•</w:delText>
              </w:r>
            </w:del>
            <w:ins w:id="396" w:author="Jonathan Cervas" w:date="2023-06-23T11:32:00Z">
              <w:r w:rsidR="0075230D">
                <w:rPr>
                  <w:sz w:val="18"/>
                  <w:szCs w:val="18"/>
                </w:rPr>
                <w:t>x</w:t>
              </w:r>
            </w:ins>
          </w:p>
        </w:tc>
        <w:tc>
          <w:tcPr>
            <w:tcW w:w="490" w:type="pct"/>
            <w:vAlign w:val="center"/>
          </w:tcPr>
          <w:p w14:paraId="5F4ADE9E" w14:textId="77777777" w:rsidR="00751018" w:rsidRPr="008B4EBD" w:rsidRDefault="00751018" w:rsidP="00F8234C">
            <w:pPr>
              <w:pStyle w:val="NoSpacing"/>
              <w:jc w:val="center"/>
              <w:rPr>
                <w:sz w:val="18"/>
                <w:szCs w:val="18"/>
              </w:rPr>
            </w:pPr>
            <w:r w:rsidRPr="008B4EBD">
              <w:rPr>
                <w:sz w:val="18"/>
                <w:szCs w:val="18"/>
              </w:rPr>
              <w:t>Leg.</w:t>
            </w:r>
          </w:p>
        </w:tc>
        <w:tc>
          <w:tcPr>
            <w:tcW w:w="762" w:type="pct"/>
            <w:vAlign w:val="center"/>
          </w:tcPr>
          <w:p w14:paraId="564B2FDC" w14:textId="77777777" w:rsidR="00751018" w:rsidRPr="008B4EBD" w:rsidRDefault="00751018" w:rsidP="00F8234C">
            <w:pPr>
              <w:pStyle w:val="NoSpacing"/>
              <w:jc w:val="center"/>
              <w:rPr>
                <w:sz w:val="18"/>
                <w:szCs w:val="18"/>
              </w:rPr>
            </w:pPr>
            <w:r w:rsidRPr="008B4EBD">
              <w:rPr>
                <w:sz w:val="18"/>
                <w:szCs w:val="18"/>
              </w:rPr>
              <w:t>x</w:t>
            </w:r>
          </w:p>
        </w:tc>
        <w:tc>
          <w:tcPr>
            <w:tcW w:w="653" w:type="pct"/>
            <w:vAlign w:val="center"/>
          </w:tcPr>
          <w:p w14:paraId="1D77EA4F" w14:textId="77777777" w:rsidR="00751018" w:rsidRPr="008B4EBD" w:rsidRDefault="00751018" w:rsidP="00F8234C">
            <w:pPr>
              <w:pStyle w:val="NoSpacing"/>
              <w:jc w:val="center"/>
              <w:rPr>
                <w:sz w:val="18"/>
                <w:szCs w:val="18"/>
              </w:rPr>
            </w:pPr>
            <w:r w:rsidRPr="008B4EBD">
              <w:rPr>
                <w:sz w:val="18"/>
                <w:szCs w:val="18"/>
              </w:rPr>
              <w:t>ø</w:t>
            </w:r>
          </w:p>
        </w:tc>
        <w:tc>
          <w:tcPr>
            <w:tcW w:w="762" w:type="pct"/>
            <w:vAlign w:val="center"/>
          </w:tcPr>
          <w:p w14:paraId="1C6494F2" w14:textId="77777777" w:rsidR="00751018" w:rsidRPr="008B4EBD" w:rsidRDefault="00751018" w:rsidP="00F8234C">
            <w:pPr>
              <w:pStyle w:val="NoSpacing"/>
              <w:jc w:val="center"/>
              <w:rPr>
                <w:sz w:val="18"/>
                <w:szCs w:val="18"/>
              </w:rPr>
            </w:pPr>
          </w:p>
        </w:tc>
        <w:tc>
          <w:tcPr>
            <w:tcW w:w="755" w:type="pct"/>
            <w:vAlign w:val="center"/>
          </w:tcPr>
          <w:p w14:paraId="59B2BCE3" w14:textId="77777777" w:rsidR="00751018" w:rsidRPr="008B4EBD" w:rsidRDefault="00751018" w:rsidP="00F8234C">
            <w:pPr>
              <w:pStyle w:val="NoSpacing"/>
              <w:jc w:val="center"/>
              <w:rPr>
                <w:sz w:val="18"/>
                <w:szCs w:val="18"/>
              </w:rPr>
            </w:pPr>
          </w:p>
        </w:tc>
      </w:tr>
      <w:tr w:rsidR="004E2D8F" w:rsidRPr="0080356A" w14:paraId="1E37E6D9" w14:textId="77777777" w:rsidTr="006C2F44">
        <w:trPr>
          <w:trHeight w:val="257"/>
          <w:jc w:val="center"/>
        </w:trPr>
        <w:tc>
          <w:tcPr>
            <w:tcW w:w="573" w:type="pct"/>
            <w:vAlign w:val="center"/>
          </w:tcPr>
          <w:p w14:paraId="189EC835" w14:textId="77777777" w:rsidR="00751018" w:rsidRPr="008B4EBD" w:rsidRDefault="00751018" w:rsidP="00F8234C">
            <w:pPr>
              <w:pStyle w:val="NoSpacing"/>
              <w:rPr>
                <w:i/>
                <w:iCs/>
                <w:sz w:val="18"/>
                <w:szCs w:val="18"/>
              </w:rPr>
            </w:pPr>
            <w:r w:rsidRPr="008B4EBD">
              <w:rPr>
                <w:i/>
                <w:iCs/>
                <w:sz w:val="18"/>
                <w:szCs w:val="18"/>
              </w:rPr>
              <w:t>Iowa</w:t>
            </w:r>
          </w:p>
        </w:tc>
        <w:tc>
          <w:tcPr>
            <w:tcW w:w="624" w:type="pct"/>
            <w:vAlign w:val="center"/>
          </w:tcPr>
          <w:p w14:paraId="1E73489C" w14:textId="61DEC5A5" w:rsidR="00751018" w:rsidRPr="008B4EBD" w:rsidRDefault="00751018" w:rsidP="00F8234C">
            <w:pPr>
              <w:pStyle w:val="NoSpacing"/>
              <w:jc w:val="center"/>
              <w:rPr>
                <w:sz w:val="18"/>
                <w:szCs w:val="18"/>
              </w:rPr>
            </w:pPr>
            <w:del w:id="397" w:author="Jonathan Cervas" w:date="2023-06-23T11:32:00Z">
              <w:r w:rsidRPr="008B4EBD" w:rsidDel="0075230D">
                <w:rPr>
                  <w:sz w:val="18"/>
                  <w:szCs w:val="18"/>
                </w:rPr>
                <w:delText>•</w:delText>
              </w:r>
            </w:del>
            <w:ins w:id="398" w:author="Jonathan Cervas" w:date="2023-06-23T11:32:00Z">
              <w:r w:rsidR="0075230D">
                <w:rPr>
                  <w:sz w:val="18"/>
                  <w:szCs w:val="18"/>
                </w:rPr>
                <w:t>x</w:t>
              </w:r>
            </w:ins>
          </w:p>
        </w:tc>
        <w:tc>
          <w:tcPr>
            <w:tcW w:w="380" w:type="pct"/>
            <w:vAlign w:val="center"/>
          </w:tcPr>
          <w:p w14:paraId="47B55AB8" w14:textId="77777777" w:rsidR="00751018" w:rsidRPr="008B4EBD" w:rsidRDefault="00751018" w:rsidP="00F8234C">
            <w:pPr>
              <w:pStyle w:val="NoSpacing"/>
              <w:jc w:val="center"/>
              <w:rPr>
                <w:sz w:val="18"/>
                <w:szCs w:val="18"/>
              </w:rPr>
            </w:pPr>
          </w:p>
        </w:tc>
        <w:tc>
          <w:tcPr>
            <w:tcW w:w="490" w:type="pct"/>
            <w:vAlign w:val="center"/>
          </w:tcPr>
          <w:p w14:paraId="13661AB7" w14:textId="77777777" w:rsidR="00751018" w:rsidRPr="008B4EBD" w:rsidRDefault="00751018" w:rsidP="00F8234C">
            <w:pPr>
              <w:pStyle w:val="NoSpacing"/>
              <w:jc w:val="center"/>
              <w:rPr>
                <w:sz w:val="18"/>
                <w:szCs w:val="18"/>
              </w:rPr>
            </w:pPr>
            <w:r w:rsidRPr="008B4EBD">
              <w:rPr>
                <w:sz w:val="18"/>
                <w:szCs w:val="18"/>
              </w:rPr>
              <w:t>Leg.</w:t>
            </w:r>
          </w:p>
        </w:tc>
        <w:tc>
          <w:tcPr>
            <w:tcW w:w="762" w:type="pct"/>
            <w:vAlign w:val="center"/>
          </w:tcPr>
          <w:p w14:paraId="4F1B981A" w14:textId="77777777" w:rsidR="00751018" w:rsidRPr="008B4EBD" w:rsidRDefault="00751018" w:rsidP="00F8234C">
            <w:pPr>
              <w:pStyle w:val="NoSpacing"/>
              <w:jc w:val="center"/>
              <w:rPr>
                <w:sz w:val="18"/>
                <w:szCs w:val="18"/>
              </w:rPr>
            </w:pPr>
          </w:p>
        </w:tc>
        <w:tc>
          <w:tcPr>
            <w:tcW w:w="653" w:type="pct"/>
            <w:vAlign w:val="center"/>
          </w:tcPr>
          <w:p w14:paraId="70A6EB12" w14:textId="77777777" w:rsidR="00751018" w:rsidRPr="008B4EBD" w:rsidRDefault="00751018" w:rsidP="00F8234C">
            <w:pPr>
              <w:pStyle w:val="NoSpacing"/>
              <w:jc w:val="center"/>
              <w:rPr>
                <w:sz w:val="18"/>
                <w:szCs w:val="18"/>
              </w:rPr>
            </w:pPr>
            <w:r w:rsidRPr="008B4EBD">
              <w:rPr>
                <w:sz w:val="18"/>
                <w:szCs w:val="18"/>
              </w:rPr>
              <w:t>ø</w:t>
            </w:r>
          </w:p>
        </w:tc>
        <w:tc>
          <w:tcPr>
            <w:tcW w:w="762" w:type="pct"/>
            <w:vAlign w:val="center"/>
          </w:tcPr>
          <w:p w14:paraId="4E94F245" w14:textId="77777777" w:rsidR="00751018" w:rsidRPr="008B4EBD" w:rsidRDefault="00751018" w:rsidP="00F8234C">
            <w:pPr>
              <w:pStyle w:val="NoSpacing"/>
              <w:jc w:val="center"/>
              <w:rPr>
                <w:sz w:val="18"/>
                <w:szCs w:val="18"/>
              </w:rPr>
            </w:pPr>
          </w:p>
        </w:tc>
        <w:tc>
          <w:tcPr>
            <w:tcW w:w="755" w:type="pct"/>
            <w:vAlign w:val="center"/>
          </w:tcPr>
          <w:p w14:paraId="431F2E16" w14:textId="77777777" w:rsidR="00751018" w:rsidRPr="008B4EBD" w:rsidRDefault="00751018" w:rsidP="00F8234C">
            <w:pPr>
              <w:pStyle w:val="NoSpacing"/>
              <w:jc w:val="center"/>
              <w:rPr>
                <w:sz w:val="18"/>
                <w:szCs w:val="18"/>
              </w:rPr>
            </w:pPr>
          </w:p>
        </w:tc>
      </w:tr>
      <w:tr w:rsidR="004E2D8F" w:rsidRPr="0080356A" w14:paraId="619B47A8" w14:textId="77777777" w:rsidTr="006C2F44">
        <w:trPr>
          <w:trHeight w:val="257"/>
          <w:jc w:val="center"/>
        </w:trPr>
        <w:tc>
          <w:tcPr>
            <w:tcW w:w="573" w:type="pct"/>
            <w:vAlign w:val="center"/>
          </w:tcPr>
          <w:p w14:paraId="619FD90A" w14:textId="77777777" w:rsidR="00751018" w:rsidRPr="008B4EBD" w:rsidRDefault="00751018" w:rsidP="00F8234C">
            <w:pPr>
              <w:pStyle w:val="NoSpacing"/>
              <w:rPr>
                <w:i/>
                <w:iCs/>
                <w:sz w:val="18"/>
                <w:szCs w:val="18"/>
              </w:rPr>
            </w:pPr>
            <w:r w:rsidRPr="008B4EBD">
              <w:rPr>
                <w:i/>
                <w:iCs/>
                <w:sz w:val="18"/>
                <w:szCs w:val="18"/>
              </w:rPr>
              <w:t>Kansas</w:t>
            </w:r>
          </w:p>
        </w:tc>
        <w:tc>
          <w:tcPr>
            <w:tcW w:w="624" w:type="pct"/>
            <w:vAlign w:val="center"/>
          </w:tcPr>
          <w:p w14:paraId="4C56360A" w14:textId="77777777" w:rsidR="00751018" w:rsidRPr="008B4EBD" w:rsidRDefault="00751018" w:rsidP="00F8234C">
            <w:pPr>
              <w:pStyle w:val="NoSpacing"/>
              <w:jc w:val="center"/>
              <w:rPr>
                <w:sz w:val="18"/>
                <w:szCs w:val="18"/>
              </w:rPr>
            </w:pPr>
          </w:p>
        </w:tc>
        <w:tc>
          <w:tcPr>
            <w:tcW w:w="380" w:type="pct"/>
            <w:vAlign w:val="center"/>
          </w:tcPr>
          <w:p w14:paraId="2263FC92" w14:textId="77777777" w:rsidR="00751018" w:rsidRPr="008B4EBD" w:rsidRDefault="00751018" w:rsidP="00F8234C">
            <w:pPr>
              <w:pStyle w:val="NoSpacing"/>
              <w:jc w:val="center"/>
              <w:rPr>
                <w:sz w:val="18"/>
                <w:szCs w:val="18"/>
              </w:rPr>
            </w:pPr>
          </w:p>
        </w:tc>
        <w:tc>
          <w:tcPr>
            <w:tcW w:w="490" w:type="pct"/>
            <w:vAlign w:val="center"/>
          </w:tcPr>
          <w:p w14:paraId="70DD25D5" w14:textId="77777777" w:rsidR="00751018" w:rsidRPr="008B4EBD" w:rsidRDefault="00751018" w:rsidP="00F8234C">
            <w:pPr>
              <w:pStyle w:val="NoSpacing"/>
              <w:jc w:val="center"/>
              <w:rPr>
                <w:sz w:val="18"/>
                <w:szCs w:val="18"/>
              </w:rPr>
            </w:pPr>
            <w:r w:rsidRPr="008B4EBD">
              <w:rPr>
                <w:sz w:val="18"/>
                <w:szCs w:val="18"/>
              </w:rPr>
              <w:t>Leg.</w:t>
            </w:r>
          </w:p>
        </w:tc>
        <w:tc>
          <w:tcPr>
            <w:tcW w:w="762" w:type="pct"/>
            <w:vAlign w:val="center"/>
          </w:tcPr>
          <w:p w14:paraId="6F015071" w14:textId="77777777" w:rsidR="00751018" w:rsidRPr="008B4EBD" w:rsidRDefault="00751018" w:rsidP="00F8234C">
            <w:pPr>
              <w:pStyle w:val="NoSpacing"/>
              <w:jc w:val="center"/>
              <w:rPr>
                <w:sz w:val="18"/>
                <w:szCs w:val="18"/>
              </w:rPr>
            </w:pPr>
          </w:p>
        </w:tc>
        <w:tc>
          <w:tcPr>
            <w:tcW w:w="653" w:type="pct"/>
            <w:vAlign w:val="center"/>
          </w:tcPr>
          <w:p w14:paraId="2077E6D4" w14:textId="77777777" w:rsidR="00751018" w:rsidRPr="008B4EBD" w:rsidRDefault="00751018" w:rsidP="00F8234C">
            <w:pPr>
              <w:pStyle w:val="NoSpacing"/>
              <w:jc w:val="center"/>
              <w:rPr>
                <w:sz w:val="18"/>
                <w:szCs w:val="18"/>
              </w:rPr>
            </w:pPr>
          </w:p>
        </w:tc>
        <w:tc>
          <w:tcPr>
            <w:tcW w:w="762" w:type="pct"/>
            <w:vAlign w:val="center"/>
          </w:tcPr>
          <w:p w14:paraId="32DF1C85" w14:textId="77777777" w:rsidR="00751018" w:rsidRPr="008B4EBD" w:rsidRDefault="00751018" w:rsidP="00F8234C">
            <w:pPr>
              <w:pStyle w:val="NoSpacing"/>
              <w:jc w:val="center"/>
              <w:rPr>
                <w:sz w:val="18"/>
                <w:szCs w:val="18"/>
              </w:rPr>
            </w:pPr>
            <w:r w:rsidRPr="008B4EBD">
              <w:rPr>
                <w:sz w:val="18"/>
                <w:szCs w:val="18"/>
              </w:rPr>
              <w:t>u</w:t>
            </w:r>
          </w:p>
        </w:tc>
        <w:tc>
          <w:tcPr>
            <w:tcW w:w="755" w:type="pct"/>
            <w:vAlign w:val="center"/>
          </w:tcPr>
          <w:p w14:paraId="3455FB6D" w14:textId="77777777" w:rsidR="00751018" w:rsidRPr="008B4EBD" w:rsidRDefault="00751018" w:rsidP="00F8234C">
            <w:pPr>
              <w:pStyle w:val="NoSpacing"/>
              <w:jc w:val="center"/>
              <w:rPr>
                <w:sz w:val="18"/>
                <w:szCs w:val="18"/>
              </w:rPr>
            </w:pPr>
          </w:p>
        </w:tc>
      </w:tr>
      <w:tr w:rsidR="004E2D8F" w:rsidRPr="0080356A" w14:paraId="49BA2B22" w14:textId="77777777" w:rsidTr="006C2F44">
        <w:trPr>
          <w:trHeight w:val="257"/>
          <w:jc w:val="center"/>
        </w:trPr>
        <w:tc>
          <w:tcPr>
            <w:tcW w:w="573" w:type="pct"/>
            <w:vAlign w:val="center"/>
          </w:tcPr>
          <w:p w14:paraId="1D18E7AD" w14:textId="77777777" w:rsidR="00751018" w:rsidRPr="008B4EBD" w:rsidRDefault="00751018" w:rsidP="00F8234C">
            <w:pPr>
              <w:pStyle w:val="NoSpacing"/>
              <w:rPr>
                <w:i/>
                <w:iCs/>
                <w:sz w:val="18"/>
                <w:szCs w:val="18"/>
              </w:rPr>
            </w:pPr>
            <w:r w:rsidRPr="008B4EBD">
              <w:rPr>
                <w:i/>
                <w:iCs/>
                <w:sz w:val="18"/>
                <w:szCs w:val="18"/>
              </w:rPr>
              <w:t>Kentucky</w:t>
            </w:r>
          </w:p>
        </w:tc>
        <w:tc>
          <w:tcPr>
            <w:tcW w:w="624" w:type="pct"/>
            <w:vAlign w:val="center"/>
          </w:tcPr>
          <w:p w14:paraId="5F7CA40C" w14:textId="77777777" w:rsidR="00751018" w:rsidRPr="008B4EBD" w:rsidRDefault="00751018" w:rsidP="00F8234C">
            <w:pPr>
              <w:pStyle w:val="NoSpacing"/>
              <w:jc w:val="center"/>
              <w:rPr>
                <w:sz w:val="18"/>
                <w:szCs w:val="18"/>
              </w:rPr>
            </w:pPr>
          </w:p>
        </w:tc>
        <w:tc>
          <w:tcPr>
            <w:tcW w:w="380" w:type="pct"/>
            <w:vAlign w:val="center"/>
          </w:tcPr>
          <w:p w14:paraId="4BAE5625" w14:textId="3A5142FA" w:rsidR="00751018" w:rsidRPr="008B4EBD" w:rsidRDefault="00751018" w:rsidP="00F8234C">
            <w:pPr>
              <w:pStyle w:val="NoSpacing"/>
              <w:jc w:val="center"/>
              <w:rPr>
                <w:sz w:val="18"/>
                <w:szCs w:val="18"/>
              </w:rPr>
            </w:pPr>
            <w:del w:id="399" w:author="Jonathan Cervas" w:date="2023-06-23T11:32:00Z">
              <w:r w:rsidRPr="008B4EBD" w:rsidDel="0075230D">
                <w:rPr>
                  <w:sz w:val="18"/>
                  <w:szCs w:val="18"/>
                </w:rPr>
                <w:delText>•</w:delText>
              </w:r>
            </w:del>
            <w:ins w:id="400" w:author="Jonathan Cervas" w:date="2023-06-23T11:32:00Z">
              <w:r w:rsidR="0075230D">
                <w:rPr>
                  <w:sz w:val="18"/>
                  <w:szCs w:val="18"/>
                </w:rPr>
                <w:t>x</w:t>
              </w:r>
            </w:ins>
          </w:p>
        </w:tc>
        <w:tc>
          <w:tcPr>
            <w:tcW w:w="490" w:type="pct"/>
            <w:vAlign w:val="center"/>
          </w:tcPr>
          <w:p w14:paraId="7A2BB7F5" w14:textId="77777777" w:rsidR="00751018" w:rsidRPr="008B4EBD" w:rsidRDefault="00751018" w:rsidP="00F8234C">
            <w:pPr>
              <w:pStyle w:val="NoSpacing"/>
              <w:jc w:val="center"/>
              <w:rPr>
                <w:sz w:val="18"/>
                <w:szCs w:val="18"/>
              </w:rPr>
            </w:pPr>
            <w:r w:rsidRPr="008B4EBD">
              <w:rPr>
                <w:sz w:val="18"/>
                <w:szCs w:val="18"/>
              </w:rPr>
              <w:t>Leg.</w:t>
            </w:r>
          </w:p>
        </w:tc>
        <w:tc>
          <w:tcPr>
            <w:tcW w:w="762" w:type="pct"/>
            <w:vAlign w:val="center"/>
          </w:tcPr>
          <w:p w14:paraId="7A3D2F22" w14:textId="77777777" w:rsidR="00751018" w:rsidRPr="008B4EBD" w:rsidRDefault="00751018" w:rsidP="00F8234C">
            <w:pPr>
              <w:pStyle w:val="NoSpacing"/>
              <w:jc w:val="center"/>
              <w:rPr>
                <w:sz w:val="18"/>
                <w:szCs w:val="18"/>
              </w:rPr>
            </w:pPr>
          </w:p>
        </w:tc>
        <w:tc>
          <w:tcPr>
            <w:tcW w:w="653" w:type="pct"/>
            <w:vAlign w:val="center"/>
          </w:tcPr>
          <w:p w14:paraId="18461261" w14:textId="77777777" w:rsidR="00751018" w:rsidRPr="008B4EBD" w:rsidRDefault="00751018" w:rsidP="00F8234C">
            <w:pPr>
              <w:pStyle w:val="NoSpacing"/>
              <w:jc w:val="center"/>
              <w:rPr>
                <w:sz w:val="18"/>
                <w:szCs w:val="18"/>
              </w:rPr>
            </w:pPr>
          </w:p>
        </w:tc>
        <w:tc>
          <w:tcPr>
            <w:tcW w:w="762" w:type="pct"/>
            <w:vAlign w:val="center"/>
          </w:tcPr>
          <w:p w14:paraId="533BE3C9" w14:textId="77777777" w:rsidR="00751018" w:rsidRPr="008B4EBD" w:rsidRDefault="00751018" w:rsidP="00F8234C">
            <w:pPr>
              <w:pStyle w:val="NoSpacing"/>
              <w:jc w:val="center"/>
              <w:rPr>
                <w:sz w:val="18"/>
                <w:szCs w:val="18"/>
              </w:rPr>
            </w:pPr>
            <w:r w:rsidRPr="008B4EBD">
              <w:rPr>
                <w:sz w:val="18"/>
                <w:szCs w:val="18"/>
              </w:rPr>
              <w:t>p</w:t>
            </w:r>
          </w:p>
        </w:tc>
        <w:tc>
          <w:tcPr>
            <w:tcW w:w="755" w:type="pct"/>
            <w:vAlign w:val="center"/>
          </w:tcPr>
          <w:p w14:paraId="3B9E79F9" w14:textId="77777777" w:rsidR="00751018" w:rsidRPr="008B4EBD" w:rsidRDefault="00751018" w:rsidP="00F8234C">
            <w:pPr>
              <w:pStyle w:val="NoSpacing"/>
              <w:jc w:val="center"/>
              <w:rPr>
                <w:sz w:val="18"/>
                <w:szCs w:val="18"/>
              </w:rPr>
            </w:pPr>
          </w:p>
        </w:tc>
      </w:tr>
      <w:tr w:rsidR="004E2D8F" w:rsidRPr="0080356A" w14:paraId="0F80EFFA" w14:textId="77777777" w:rsidTr="006C2F44">
        <w:trPr>
          <w:trHeight w:val="268"/>
          <w:jc w:val="center"/>
        </w:trPr>
        <w:tc>
          <w:tcPr>
            <w:tcW w:w="573" w:type="pct"/>
            <w:shd w:val="clear" w:color="auto" w:fill="D9D9D9" w:themeFill="background1" w:themeFillShade="D9"/>
            <w:vAlign w:val="center"/>
          </w:tcPr>
          <w:p w14:paraId="0615A3DA" w14:textId="77777777" w:rsidR="00751018" w:rsidRPr="008B4EBD" w:rsidRDefault="00751018" w:rsidP="00F8234C">
            <w:pPr>
              <w:pStyle w:val="NoSpacing"/>
              <w:rPr>
                <w:i/>
                <w:iCs/>
                <w:sz w:val="18"/>
                <w:szCs w:val="18"/>
              </w:rPr>
            </w:pPr>
            <w:r w:rsidRPr="008B4EBD">
              <w:rPr>
                <w:i/>
                <w:iCs/>
                <w:sz w:val="18"/>
                <w:szCs w:val="18"/>
              </w:rPr>
              <w:t>Louisiana</w:t>
            </w:r>
          </w:p>
        </w:tc>
        <w:tc>
          <w:tcPr>
            <w:tcW w:w="624" w:type="pct"/>
            <w:shd w:val="clear" w:color="auto" w:fill="D9D9D9" w:themeFill="background1" w:themeFillShade="D9"/>
            <w:vAlign w:val="center"/>
          </w:tcPr>
          <w:p w14:paraId="073B9646" w14:textId="77777777" w:rsidR="00751018" w:rsidRPr="008B4EBD" w:rsidRDefault="00751018" w:rsidP="00F8234C">
            <w:pPr>
              <w:pStyle w:val="NoSpacing"/>
              <w:jc w:val="center"/>
              <w:rPr>
                <w:sz w:val="18"/>
                <w:szCs w:val="18"/>
              </w:rPr>
            </w:pPr>
          </w:p>
        </w:tc>
        <w:tc>
          <w:tcPr>
            <w:tcW w:w="380" w:type="pct"/>
            <w:shd w:val="clear" w:color="auto" w:fill="D9D9D9" w:themeFill="background1" w:themeFillShade="D9"/>
            <w:vAlign w:val="center"/>
          </w:tcPr>
          <w:p w14:paraId="1400B820" w14:textId="77777777" w:rsidR="00751018" w:rsidRPr="008B4EBD" w:rsidRDefault="00751018" w:rsidP="00F8234C">
            <w:pPr>
              <w:pStyle w:val="NoSpacing"/>
              <w:jc w:val="center"/>
              <w:rPr>
                <w:sz w:val="18"/>
                <w:szCs w:val="18"/>
              </w:rPr>
            </w:pPr>
          </w:p>
        </w:tc>
        <w:tc>
          <w:tcPr>
            <w:tcW w:w="490" w:type="pct"/>
            <w:shd w:val="clear" w:color="auto" w:fill="D9D9D9" w:themeFill="background1" w:themeFillShade="D9"/>
            <w:vAlign w:val="center"/>
          </w:tcPr>
          <w:p w14:paraId="7AA45C0B" w14:textId="77777777" w:rsidR="00751018" w:rsidRPr="008B4EBD" w:rsidRDefault="00751018" w:rsidP="00F8234C">
            <w:pPr>
              <w:pStyle w:val="NoSpacing"/>
              <w:jc w:val="center"/>
              <w:rPr>
                <w:sz w:val="18"/>
                <w:szCs w:val="18"/>
              </w:rPr>
            </w:pPr>
            <w:r w:rsidRPr="008B4EBD">
              <w:rPr>
                <w:sz w:val="18"/>
                <w:szCs w:val="18"/>
              </w:rPr>
              <w:t>Leg.</w:t>
            </w:r>
          </w:p>
        </w:tc>
        <w:tc>
          <w:tcPr>
            <w:tcW w:w="762" w:type="pct"/>
            <w:shd w:val="clear" w:color="auto" w:fill="D9D9D9" w:themeFill="background1" w:themeFillShade="D9"/>
            <w:vAlign w:val="center"/>
          </w:tcPr>
          <w:p w14:paraId="0E6C0996" w14:textId="77777777" w:rsidR="00751018" w:rsidRPr="008B4EBD" w:rsidRDefault="00751018" w:rsidP="00F8234C">
            <w:pPr>
              <w:pStyle w:val="NoSpacing"/>
              <w:jc w:val="center"/>
              <w:rPr>
                <w:sz w:val="18"/>
                <w:szCs w:val="18"/>
              </w:rPr>
            </w:pPr>
            <w:r w:rsidRPr="008B4EBD">
              <w:rPr>
                <w:sz w:val="18"/>
                <w:szCs w:val="18"/>
              </w:rPr>
              <w:t>x</w:t>
            </w:r>
          </w:p>
        </w:tc>
        <w:tc>
          <w:tcPr>
            <w:tcW w:w="653" w:type="pct"/>
            <w:shd w:val="clear" w:color="auto" w:fill="D9D9D9" w:themeFill="background1" w:themeFillShade="D9"/>
            <w:vAlign w:val="center"/>
          </w:tcPr>
          <w:p w14:paraId="61B86F12" w14:textId="77777777" w:rsidR="00751018" w:rsidRPr="008B4EBD" w:rsidRDefault="00751018" w:rsidP="00F8234C">
            <w:pPr>
              <w:pStyle w:val="NoSpacing"/>
              <w:jc w:val="center"/>
              <w:rPr>
                <w:sz w:val="18"/>
                <w:szCs w:val="18"/>
              </w:rPr>
            </w:pPr>
            <w:r w:rsidRPr="008B4EBD">
              <w:rPr>
                <w:sz w:val="18"/>
                <w:szCs w:val="18"/>
              </w:rPr>
              <w:t>ø</w:t>
            </w:r>
          </w:p>
        </w:tc>
        <w:tc>
          <w:tcPr>
            <w:tcW w:w="762" w:type="pct"/>
            <w:shd w:val="clear" w:color="auto" w:fill="D9D9D9" w:themeFill="background1" w:themeFillShade="D9"/>
            <w:vAlign w:val="center"/>
          </w:tcPr>
          <w:p w14:paraId="7B89EC7D" w14:textId="77777777" w:rsidR="00751018" w:rsidRPr="008B4EBD" w:rsidRDefault="00751018" w:rsidP="00F8234C">
            <w:pPr>
              <w:pStyle w:val="NoSpacing"/>
              <w:jc w:val="center"/>
              <w:rPr>
                <w:sz w:val="18"/>
                <w:szCs w:val="18"/>
              </w:rPr>
            </w:pPr>
          </w:p>
        </w:tc>
        <w:tc>
          <w:tcPr>
            <w:tcW w:w="755" w:type="pct"/>
            <w:shd w:val="clear" w:color="auto" w:fill="D9D9D9" w:themeFill="background1" w:themeFillShade="D9"/>
            <w:vAlign w:val="center"/>
          </w:tcPr>
          <w:p w14:paraId="75426746" w14:textId="77777777" w:rsidR="00751018" w:rsidRPr="008B4EBD" w:rsidRDefault="00751018" w:rsidP="00F8234C">
            <w:pPr>
              <w:pStyle w:val="NoSpacing"/>
              <w:jc w:val="center"/>
              <w:rPr>
                <w:sz w:val="18"/>
                <w:szCs w:val="18"/>
              </w:rPr>
            </w:pPr>
            <w:r w:rsidRPr="008B4EBD">
              <w:rPr>
                <w:sz w:val="18"/>
                <w:szCs w:val="18"/>
              </w:rPr>
              <w:t>F</w:t>
            </w:r>
          </w:p>
        </w:tc>
      </w:tr>
      <w:tr w:rsidR="004E2D8F" w:rsidRPr="0080356A" w14:paraId="2727482B" w14:textId="77777777" w:rsidTr="006C2F44">
        <w:trPr>
          <w:trHeight w:val="762"/>
          <w:jc w:val="center"/>
        </w:trPr>
        <w:tc>
          <w:tcPr>
            <w:tcW w:w="573" w:type="pct"/>
            <w:shd w:val="clear" w:color="auto" w:fill="D9D9D9" w:themeFill="background1" w:themeFillShade="D9"/>
            <w:vAlign w:val="center"/>
          </w:tcPr>
          <w:p w14:paraId="608313EC" w14:textId="77777777" w:rsidR="00751018" w:rsidRPr="008B4EBD" w:rsidRDefault="00751018" w:rsidP="00F8234C">
            <w:pPr>
              <w:pStyle w:val="NoSpacing"/>
              <w:rPr>
                <w:i/>
                <w:iCs/>
                <w:sz w:val="18"/>
                <w:szCs w:val="18"/>
              </w:rPr>
            </w:pPr>
            <w:r w:rsidRPr="008B4EBD">
              <w:rPr>
                <w:i/>
                <w:iCs/>
                <w:sz w:val="18"/>
                <w:szCs w:val="18"/>
              </w:rPr>
              <w:t>Maryland</w:t>
            </w:r>
          </w:p>
        </w:tc>
        <w:tc>
          <w:tcPr>
            <w:tcW w:w="624" w:type="pct"/>
            <w:shd w:val="clear" w:color="auto" w:fill="D9D9D9" w:themeFill="background1" w:themeFillShade="D9"/>
            <w:vAlign w:val="center"/>
          </w:tcPr>
          <w:p w14:paraId="1FA0373A" w14:textId="77777777" w:rsidR="00751018" w:rsidRPr="008B4EBD" w:rsidRDefault="00751018" w:rsidP="00F8234C">
            <w:pPr>
              <w:pStyle w:val="NoSpacing"/>
              <w:jc w:val="center"/>
              <w:rPr>
                <w:sz w:val="18"/>
                <w:szCs w:val="18"/>
              </w:rPr>
            </w:pPr>
          </w:p>
        </w:tc>
        <w:tc>
          <w:tcPr>
            <w:tcW w:w="380" w:type="pct"/>
            <w:shd w:val="clear" w:color="auto" w:fill="D9D9D9" w:themeFill="background1" w:themeFillShade="D9"/>
            <w:vAlign w:val="center"/>
          </w:tcPr>
          <w:p w14:paraId="60737486" w14:textId="5A834A35" w:rsidR="00751018" w:rsidRPr="008B4EBD" w:rsidRDefault="00751018" w:rsidP="00F8234C">
            <w:pPr>
              <w:pStyle w:val="NoSpacing"/>
              <w:jc w:val="center"/>
              <w:rPr>
                <w:sz w:val="18"/>
                <w:szCs w:val="18"/>
              </w:rPr>
            </w:pPr>
            <w:del w:id="401" w:author="Jonathan Cervas" w:date="2023-06-23T11:32:00Z">
              <w:r w:rsidRPr="008B4EBD" w:rsidDel="0075230D">
                <w:rPr>
                  <w:sz w:val="18"/>
                  <w:szCs w:val="18"/>
                </w:rPr>
                <w:delText>•</w:delText>
              </w:r>
            </w:del>
            <w:ins w:id="402" w:author="Jonathan Cervas" w:date="2023-06-23T11:32:00Z">
              <w:r w:rsidR="0075230D">
                <w:rPr>
                  <w:sz w:val="18"/>
                  <w:szCs w:val="18"/>
                </w:rPr>
                <w:t>x</w:t>
              </w:r>
            </w:ins>
          </w:p>
        </w:tc>
        <w:tc>
          <w:tcPr>
            <w:tcW w:w="490" w:type="pct"/>
            <w:shd w:val="clear" w:color="auto" w:fill="D9D9D9" w:themeFill="background1" w:themeFillShade="D9"/>
            <w:vAlign w:val="center"/>
          </w:tcPr>
          <w:p w14:paraId="484A2B52" w14:textId="77777777" w:rsidR="00751018" w:rsidRPr="008B4EBD" w:rsidRDefault="00751018" w:rsidP="00F8234C">
            <w:pPr>
              <w:pStyle w:val="NoSpacing"/>
              <w:jc w:val="center"/>
              <w:rPr>
                <w:sz w:val="18"/>
                <w:szCs w:val="18"/>
              </w:rPr>
            </w:pPr>
            <w:r w:rsidRPr="008B4EBD">
              <w:rPr>
                <w:sz w:val="18"/>
                <w:szCs w:val="18"/>
              </w:rPr>
              <w:t>Leg. (Court)</w:t>
            </w:r>
          </w:p>
        </w:tc>
        <w:tc>
          <w:tcPr>
            <w:tcW w:w="762" w:type="pct"/>
            <w:shd w:val="clear" w:color="auto" w:fill="D9D9D9" w:themeFill="background1" w:themeFillShade="D9"/>
            <w:vAlign w:val="center"/>
          </w:tcPr>
          <w:p w14:paraId="606CBF2E" w14:textId="77777777" w:rsidR="00751018" w:rsidRPr="008B4EBD" w:rsidRDefault="00751018" w:rsidP="00F8234C">
            <w:pPr>
              <w:pStyle w:val="NoSpacing"/>
              <w:jc w:val="center"/>
              <w:rPr>
                <w:sz w:val="18"/>
                <w:szCs w:val="18"/>
              </w:rPr>
            </w:pPr>
          </w:p>
        </w:tc>
        <w:tc>
          <w:tcPr>
            <w:tcW w:w="653" w:type="pct"/>
            <w:shd w:val="clear" w:color="auto" w:fill="D9D9D9" w:themeFill="background1" w:themeFillShade="D9"/>
            <w:vAlign w:val="center"/>
          </w:tcPr>
          <w:p w14:paraId="46EF321C" w14:textId="77777777" w:rsidR="00751018" w:rsidRPr="008B4EBD" w:rsidRDefault="00751018" w:rsidP="00F8234C">
            <w:pPr>
              <w:pStyle w:val="NoSpacing"/>
              <w:jc w:val="center"/>
              <w:rPr>
                <w:sz w:val="18"/>
                <w:szCs w:val="18"/>
              </w:rPr>
            </w:pPr>
          </w:p>
        </w:tc>
        <w:tc>
          <w:tcPr>
            <w:tcW w:w="762" w:type="pct"/>
            <w:shd w:val="clear" w:color="auto" w:fill="D9D9D9" w:themeFill="background1" w:themeFillShade="D9"/>
            <w:vAlign w:val="center"/>
          </w:tcPr>
          <w:p w14:paraId="61623350" w14:textId="77777777" w:rsidR="00751018" w:rsidRPr="008B4EBD" w:rsidRDefault="00751018" w:rsidP="00F8234C">
            <w:pPr>
              <w:pStyle w:val="NoSpacing"/>
              <w:jc w:val="center"/>
              <w:rPr>
                <w:sz w:val="18"/>
                <w:szCs w:val="18"/>
              </w:rPr>
            </w:pPr>
          </w:p>
        </w:tc>
        <w:tc>
          <w:tcPr>
            <w:tcW w:w="755" w:type="pct"/>
            <w:shd w:val="clear" w:color="auto" w:fill="D9D9D9" w:themeFill="background1" w:themeFillShade="D9"/>
            <w:vAlign w:val="center"/>
          </w:tcPr>
          <w:p w14:paraId="0F57676C" w14:textId="77777777" w:rsidR="00751018" w:rsidRPr="008B4EBD" w:rsidRDefault="00751018" w:rsidP="00F8234C">
            <w:pPr>
              <w:pStyle w:val="NoSpacing"/>
              <w:jc w:val="center"/>
              <w:rPr>
                <w:sz w:val="18"/>
                <w:szCs w:val="18"/>
              </w:rPr>
            </w:pPr>
            <w:r w:rsidRPr="008B4EBD">
              <w:rPr>
                <w:sz w:val="18"/>
                <w:szCs w:val="18"/>
              </w:rPr>
              <w:t>S</w:t>
            </w:r>
          </w:p>
        </w:tc>
      </w:tr>
      <w:tr w:rsidR="004E2D8F" w:rsidRPr="0080356A" w14:paraId="70DD12E1" w14:textId="77777777" w:rsidTr="006C2F44">
        <w:trPr>
          <w:trHeight w:val="268"/>
          <w:jc w:val="center"/>
        </w:trPr>
        <w:tc>
          <w:tcPr>
            <w:tcW w:w="573" w:type="pct"/>
            <w:vAlign w:val="center"/>
          </w:tcPr>
          <w:p w14:paraId="29085A5C" w14:textId="77777777" w:rsidR="00751018" w:rsidRPr="008B4EBD" w:rsidRDefault="00751018" w:rsidP="00F8234C">
            <w:pPr>
              <w:pStyle w:val="NoSpacing"/>
              <w:rPr>
                <w:i/>
                <w:iCs/>
                <w:sz w:val="18"/>
                <w:szCs w:val="18"/>
              </w:rPr>
            </w:pPr>
            <w:r w:rsidRPr="008B4EBD">
              <w:rPr>
                <w:i/>
                <w:iCs/>
                <w:sz w:val="18"/>
                <w:szCs w:val="18"/>
              </w:rPr>
              <w:t>Missouri</w:t>
            </w:r>
          </w:p>
        </w:tc>
        <w:tc>
          <w:tcPr>
            <w:tcW w:w="624" w:type="pct"/>
            <w:vAlign w:val="center"/>
          </w:tcPr>
          <w:p w14:paraId="407F52DD" w14:textId="77777777" w:rsidR="00751018" w:rsidRPr="008B4EBD" w:rsidRDefault="00751018" w:rsidP="00F8234C">
            <w:pPr>
              <w:pStyle w:val="NoSpacing"/>
              <w:jc w:val="center"/>
              <w:rPr>
                <w:sz w:val="18"/>
                <w:szCs w:val="18"/>
              </w:rPr>
            </w:pPr>
          </w:p>
        </w:tc>
        <w:tc>
          <w:tcPr>
            <w:tcW w:w="380" w:type="pct"/>
            <w:vAlign w:val="center"/>
          </w:tcPr>
          <w:p w14:paraId="6F9AC126" w14:textId="79C2C7D7" w:rsidR="00751018" w:rsidRPr="008B4EBD" w:rsidRDefault="00751018" w:rsidP="00F8234C">
            <w:pPr>
              <w:pStyle w:val="NoSpacing"/>
              <w:jc w:val="center"/>
              <w:rPr>
                <w:sz w:val="18"/>
                <w:szCs w:val="18"/>
              </w:rPr>
            </w:pPr>
            <w:del w:id="403" w:author="Jonathan Cervas" w:date="2023-06-23T11:32:00Z">
              <w:r w:rsidRPr="008B4EBD" w:rsidDel="0075230D">
                <w:rPr>
                  <w:sz w:val="18"/>
                  <w:szCs w:val="18"/>
                </w:rPr>
                <w:delText>•</w:delText>
              </w:r>
            </w:del>
            <w:ins w:id="404" w:author="Jonathan Cervas" w:date="2023-06-23T11:32:00Z">
              <w:r w:rsidR="0075230D">
                <w:rPr>
                  <w:sz w:val="18"/>
                  <w:szCs w:val="18"/>
                </w:rPr>
                <w:t>x</w:t>
              </w:r>
            </w:ins>
          </w:p>
        </w:tc>
        <w:tc>
          <w:tcPr>
            <w:tcW w:w="490" w:type="pct"/>
            <w:vAlign w:val="center"/>
          </w:tcPr>
          <w:p w14:paraId="1EF0B8FB" w14:textId="77777777" w:rsidR="00751018" w:rsidRPr="008B4EBD" w:rsidRDefault="00751018" w:rsidP="00F8234C">
            <w:pPr>
              <w:pStyle w:val="NoSpacing"/>
              <w:jc w:val="center"/>
              <w:rPr>
                <w:sz w:val="18"/>
                <w:szCs w:val="18"/>
              </w:rPr>
            </w:pPr>
            <w:r w:rsidRPr="008B4EBD">
              <w:rPr>
                <w:sz w:val="18"/>
                <w:szCs w:val="18"/>
              </w:rPr>
              <w:t>Leg.</w:t>
            </w:r>
          </w:p>
        </w:tc>
        <w:tc>
          <w:tcPr>
            <w:tcW w:w="762" w:type="pct"/>
            <w:vAlign w:val="center"/>
          </w:tcPr>
          <w:p w14:paraId="13F53780" w14:textId="77777777" w:rsidR="00751018" w:rsidRPr="008B4EBD" w:rsidRDefault="00751018" w:rsidP="00F8234C">
            <w:pPr>
              <w:pStyle w:val="NoSpacing"/>
              <w:jc w:val="center"/>
              <w:rPr>
                <w:sz w:val="18"/>
                <w:szCs w:val="18"/>
              </w:rPr>
            </w:pPr>
            <w:r w:rsidRPr="008B4EBD">
              <w:rPr>
                <w:sz w:val="18"/>
                <w:szCs w:val="18"/>
              </w:rPr>
              <w:t>x</w:t>
            </w:r>
          </w:p>
        </w:tc>
        <w:tc>
          <w:tcPr>
            <w:tcW w:w="653" w:type="pct"/>
            <w:vAlign w:val="center"/>
          </w:tcPr>
          <w:p w14:paraId="415ED376" w14:textId="77777777" w:rsidR="00751018" w:rsidRPr="008B4EBD" w:rsidRDefault="00751018" w:rsidP="00F8234C">
            <w:pPr>
              <w:pStyle w:val="NoSpacing"/>
              <w:jc w:val="center"/>
              <w:rPr>
                <w:sz w:val="18"/>
                <w:szCs w:val="18"/>
              </w:rPr>
            </w:pPr>
            <w:r w:rsidRPr="008B4EBD">
              <w:rPr>
                <w:sz w:val="18"/>
                <w:szCs w:val="18"/>
              </w:rPr>
              <w:t>ø</w:t>
            </w:r>
          </w:p>
        </w:tc>
        <w:tc>
          <w:tcPr>
            <w:tcW w:w="762" w:type="pct"/>
            <w:vAlign w:val="center"/>
          </w:tcPr>
          <w:p w14:paraId="6DE324EA" w14:textId="77777777" w:rsidR="00751018" w:rsidRPr="008B4EBD" w:rsidRDefault="00751018" w:rsidP="00F8234C">
            <w:pPr>
              <w:pStyle w:val="NoSpacing"/>
              <w:jc w:val="center"/>
              <w:rPr>
                <w:sz w:val="18"/>
                <w:szCs w:val="18"/>
              </w:rPr>
            </w:pPr>
          </w:p>
        </w:tc>
        <w:tc>
          <w:tcPr>
            <w:tcW w:w="755" w:type="pct"/>
            <w:vAlign w:val="center"/>
          </w:tcPr>
          <w:p w14:paraId="3E0C170D" w14:textId="77777777" w:rsidR="00751018" w:rsidRPr="008B4EBD" w:rsidRDefault="00751018" w:rsidP="00F8234C">
            <w:pPr>
              <w:pStyle w:val="NoSpacing"/>
              <w:jc w:val="center"/>
              <w:rPr>
                <w:sz w:val="18"/>
                <w:szCs w:val="18"/>
              </w:rPr>
            </w:pPr>
          </w:p>
        </w:tc>
      </w:tr>
      <w:tr w:rsidR="004E2D8F" w:rsidRPr="0080356A" w14:paraId="7103CCC6" w14:textId="77777777" w:rsidTr="006C2F44">
        <w:trPr>
          <w:trHeight w:val="257"/>
          <w:jc w:val="center"/>
        </w:trPr>
        <w:tc>
          <w:tcPr>
            <w:tcW w:w="573" w:type="pct"/>
            <w:vAlign w:val="center"/>
          </w:tcPr>
          <w:p w14:paraId="6C2A34AD" w14:textId="77777777" w:rsidR="00751018" w:rsidRPr="008B4EBD" w:rsidRDefault="00751018" w:rsidP="00F8234C">
            <w:pPr>
              <w:pStyle w:val="NoSpacing"/>
              <w:rPr>
                <w:i/>
                <w:iCs/>
                <w:sz w:val="18"/>
                <w:szCs w:val="18"/>
              </w:rPr>
            </w:pPr>
            <w:r w:rsidRPr="008B4EBD">
              <w:rPr>
                <w:i/>
                <w:iCs/>
                <w:sz w:val="18"/>
                <w:szCs w:val="18"/>
              </w:rPr>
              <w:t>Nebraska</w:t>
            </w:r>
          </w:p>
        </w:tc>
        <w:tc>
          <w:tcPr>
            <w:tcW w:w="624" w:type="pct"/>
            <w:vAlign w:val="center"/>
          </w:tcPr>
          <w:p w14:paraId="2A33C344" w14:textId="40797539" w:rsidR="00751018" w:rsidRPr="008B4EBD" w:rsidRDefault="00751018" w:rsidP="00F8234C">
            <w:pPr>
              <w:pStyle w:val="NoSpacing"/>
              <w:jc w:val="center"/>
              <w:rPr>
                <w:sz w:val="18"/>
                <w:szCs w:val="18"/>
              </w:rPr>
            </w:pPr>
            <w:del w:id="405" w:author="Jonathan Cervas" w:date="2023-06-23T11:32:00Z">
              <w:r w:rsidRPr="008B4EBD" w:rsidDel="0075230D">
                <w:rPr>
                  <w:sz w:val="18"/>
                  <w:szCs w:val="18"/>
                </w:rPr>
                <w:delText>•</w:delText>
              </w:r>
            </w:del>
            <w:ins w:id="406" w:author="Jonathan Cervas" w:date="2023-06-23T11:32:00Z">
              <w:r w:rsidR="0075230D">
                <w:rPr>
                  <w:sz w:val="18"/>
                  <w:szCs w:val="18"/>
                </w:rPr>
                <w:t>x</w:t>
              </w:r>
            </w:ins>
          </w:p>
        </w:tc>
        <w:tc>
          <w:tcPr>
            <w:tcW w:w="380" w:type="pct"/>
            <w:vAlign w:val="center"/>
          </w:tcPr>
          <w:p w14:paraId="1ED6C945" w14:textId="0E92D7C3" w:rsidR="00751018" w:rsidRPr="008B4EBD" w:rsidRDefault="00751018" w:rsidP="00F8234C">
            <w:pPr>
              <w:pStyle w:val="NoSpacing"/>
              <w:jc w:val="center"/>
              <w:rPr>
                <w:sz w:val="18"/>
                <w:szCs w:val="18"/>
              </w:rPr>
            </w:pPr>
            <w:del w:id="407" w:author="Jonathan Cervas" w:date="2023-06-23T11:32:00Z">
              <w:r w:rsidRPr="008B4EBD" w:rsidDel="0075230D">
                <w:rPr>
                  <w:sz w:val="18"/>
                  <w:szCs w:val="18"/>
                </w:rPr>
                <w:delText>•</w:delText>
              </w:r>
            </w:del>
            <w:ins w:id="408" w:author="Jonathan Cervas" w:date="2023-06-23T11:32:00Z">
              <w:r w:rsidR="0075230D">
                <w:rPr>
                  <w:sz w:val="18"/>
                  <w:szCs w:val="18"/>
                </w:rPr>
                <w:t>x</w:t>
              </w:r>
            </w:ins>
          </w:p>
        </w:tc>
        <w:tc>
          <w:tcPr>
            <w:tcW w:w="490" w:type="pct"/>
            <w:vAlign w:val="center"/>
          </w:tcPr>
          <w:p w14:paraId="30F40D12" w14:textId="77777777" w:rsidR="00751018" w:rsidRPr="008B4EBD" w:rsidRDefault="00751018" w:rsidP="00F8234C">
            <w:pPr>
              <w:pStyle w:val="NoSpacing"/>
              <w:jc w:val="center"/>
              <w:rPr>
                <w:sz w:val="18"/>
                <w:szCs w:val="18"/>
              </w:rPr>
            </w:pPr>
            <w:r w:rsidRPr="008B4EBD">
              <w:rPr>
                <w:sz w:val="18"/>
                <w:szCs w:val="18"/>
              </w:rPr>
              <w:t>Leg.</w:t>
            </w:r>
          </w:p>
        </w:tc>
        <w:tc>
          <w:tcPr>
            <w:tcW w:w="762" w:type="pct"/>
            <w:vAlign w:val="center"/>
          </w:tcPr>
          <w:p w14:paraId="1DA63D70" w14:textId="77777777" w:rsidR="00751018" w:rsidRPr="008B4EBD" w:rsidRDefault="00751018" w:rsidP="00F8234C">
            <w:pPr>
              <w:pStyle w:val="NoSpacing"/>
              <w:jc w:val="center"/>
              <w:rPr>
                <w:sz w:val="18"/>
                <w:szCs w:val="18"/>
              </w:rPr>
            </w:pPr>
          </w:p>
        </w:tc>
        <w:tc>
          <w:tcPr>
            <w:tcW w:w="653" w:type="pct"/>
            <w:vAlign w:val="center"/>
          </w:tcPr>
          <w:p w14:paraId="0D8FB99F" w14:textId="77777777" w:rsidR="00751018" w:rsidRPr="008B4EBD" w:rsidRDefault="00751018" w:rsidP="00F8234C">
            <w:pPr>
              <w:pStyle w:val="NoSpacing"/>
              <w:jc w:val="center"/>
              <w:rPr>
                <w:sz w:val="18"/>
                <w:szCs w:val="18"/>
              </w:rPr>
            </w:pPr>
            <w:r w:rsidRPr="008B4EBD">
              <w:rPr>
                <w:sz w:val="18"/>
                <w:szCs w:val="18"/>
              </w:rPr>
              <w:t>ø</w:t>
            </w:r>
          </w:p>
        </w:tc>
        <w:tc>
          <w:tcPr>
            <w:tcW w:w="762" w:type="pct"/>
            <w:vAlign w:val="center"/>
          </w:tcPr>
          <w:p w14:paraId="5DD0CA9F" w14:textId="77777777" w:rsidR="00751018" w:rsidRPr="008B4EBD" w:rsidRDefault="00751018" w:rsidP="00F8234C">
            <w:pPr>
              <w:pStyle w:val="NoSpacing"/>
              <w:jc w:val="center"/>
              <w:rPr>
                <w:sz w:val="18"/>
                <w:szCs w:val="18"/>
              </w:rPr>
            </w:pPr>
          </w:p>
        </w:tc>
        <w:tc>
          <w:tcPr>
            <w:tcW w:w="755" w:type="pct"/>
            <w:vAlign w:val="center"/>
          </w:tcPr>
          <w:p w14:paraId="2DFA2901" w14:textId="77777777" w:rsidR="00751018" w:rsidRPr="008B4EBD" w:rsidRDefault="00751018" w:rsidP="00F8234C">
            <w:pPr>
              <w:pStyle w:val="NoSpacing"/>
              <w:jc w:val="center"/>
              <w:rPr>
                <w:sz w:val="18"/>
                <w:szCs w:val="18"/>
              </w:rPr>
            </w:pPr>
          </w:p>
        </w:tc>
      </w:tr>
    </w:tbl>
    <w:p w14:paraId="4C4A1764" w14:textId="0E0E5506" w:rsidR="00240ED7" w:rsidRPr="008B4EBD" w:rsidRDefault="003C5671" w:rsidP="001D2160">
      <w:pPr>
        <w:ind w:left="-900" w:right="-840"/>
        <w:jc w:val="both"/>
        <w:rPr>
          <w:i/>
          <w:iCs/>
          <w:sz w:val="19"/>
          <w:szCs w:val="19"/>
        </w:rPr>
      </w:pPr>
      <w:r w:rsidRPr="008B4EBD">
        <w:rPr>
          <w:i/>
          <w:iCs/>
          <w:sz w:val="19"/>
          <w:szCs w:val="19"/>
        </w:rPr>
        <w:t xml:space="preserve">Note: </w:t>
      </w:r>
      <w:r w:rsidR="00256AE2" w:rsidRPr="008B4EBD">
        <w:rPr>
          <w:i/>
          <w:iCs/>
          <w:sz w:val="19"/>
          <w:szCs w:val="19"/>
        </w:rPr>
        <w:t xml:space="preserve">States listed are those who’s legislatively drawn map could reasonably be called a gerrymander by one or more measure or that have generated significant press coverage asserting them to be biased towards one party. </w:t>
      </w:r>
      <w:r w:rsidR="002A4A48" w:rsidRPr="008B4EBD">
        <w:rPr>
          <w:i/>
          <w:iCs/>
          <w:sz w:val="19"/>
          <w:szCs w:val="19"/>
        </w:rPr>
        <w:t xml:space="preserve"> </w:t>
      </w:r>
      <w:r w:rsidR="00256AE2" w:rsidRPr="008B4EBD">
        <w:rPr>
          <w:i/>
          <w:iCs/>
          <w:sz w:val="19"/>
          <w:szCs w:val="19"/>
        </w:rPr>
        <w:t>Highlighted are the states in which a challenge to the initially approved plans were successful either in federal or state court.</w:t>
      </w:r>
    </w:p>
    <w:p w14:paraId="47F019E4" w14:textId="77777777" w:rsidR="002A4A48" w:rsidRDefault="002A4A48" w:rsidP="00256AE2">
      <w:pPr>
        <w:pStyle w:val="BodyText"/>
        <w:ind w:firstLine="0"/>
        <w:rPr>
          <w:i/>
          <w:iCs/>
          <w:sz w:val="18"/>
          <w:szCs w:val="15"/>
        </w:rPr>
      </w:pPr>
    </w:p>
    <w:p w14:paraId="1595B754" w14:textId="3BA5DA70" w:rsidR="000111B5" w:rsidRPr="00B9776E" w:rsidRDefault="000111B5" w:rsidP="000111B5">
      <w:pPr>
        <w:pStyle w:val="BodyText"/>
      </w:pPr>
      <w:r>
        <w:lastRenderedPageBreak/>
        <w:t>For now, we continue to leave aside states where</w:t>
      </w:r>
      <w:r w:rsidRPr="00B9776E">
        <w:t xml:space="preserve"> state court</w:t>
      </w:r>
      <w:r>
        <w:t>s interceded</w:t>
      </w:r>
      <w:r w:rsidRPr="00B9776E">
        <w:t xml:space="preserve"> without a partisan gerrymandering challenge.</w:t>
      </w:r>
      <w:r>
        <w:t xml:space="preserve">  These states are Connecticut, Minnesota, New Hampshire, </w:t>
      </w:r>
      <w:r w:rsidRPr="00B9776E">
        <w:t>Pennsylvania</w:t>
      </w:r>
      <w:r>
        <w:t>,</w:t>
      </w:r>
      <w:r w:rsidRPr="00B9776E">
        <w:t xml:space="preserve"> </w:t>
      </w:r>
      <w:r>
        <w:t xml:space="preserve">and </w:t>
      </w:r>
      <w:r w:rsidRPr="00B9776E">
        <w:t>Virginia</w:t>
      </w:r>
      <w:r>
        <w:t>.  These</w:t>
      </w:r>
      <w:r w:rsidRPr="00B9776E">
        <w:t xml:space="preserve"> state courts had to mediate because of the failure for a legal plan to be enacted by the governing bodies.</w:t>
      </w:r>
      <w:bookmarkStart w:id="409" w:name="_Ref123764448"/>
      <w:commentRangeStart w:id="410"/>
      <w:r w:rsidRPr="0078695B">
        <w:rPr>
          <w:rStyle w:val="FootnoteReference"/>
        </w:rPr>
        <w:footnoteReference w:id="169"/>
      </w:r>
      <w:bookmarkEnd w:id="409"/>
      <w:r>
        <w:t xml:space="preserve"> </w:t>
      </w:r>
      <w:commentRangeEnd w:id="410"/>
      <w:r>
        <w:rPr>
          <w:rStyle w:val="CommentReference"/>
        </w:rPr>
        <w:commentReference w:id="410"/>
      </w:r>
      <w:r>
        <w:t xml:space="preserve"> They are excluded from </w:t>
      </w:r>
      <w:r>
        <w:fldChar w:fldCharType="begin"/>
      </w:r>
      <w:r>
        <w:instrText xml:space="preserve"> REF _Ref123166113 \h  \* MERGEFORMAT </w:instrText>
      </w:r>
      <w:r>
        <w:fldChar w:fldCharType="separate"/>
      </w:r>
      <w:r w:rsidRPr="0080356A">
        <w:t xml:space="preserve">Table </w:t>
      </w:r>
      <w:r>
        <w:rPr>
          <w:noProof/>
        </w:rPr>
        <w:t>4</w:t>
      </w:r>
      <w:r>
        <w:fldChar w:fldCharType="end"/>
      </w:r>
      <w:r>
        <w:t xml:space="preserve"> because serious claims that the court enacted a partisan gerrymander have not been made to our knowledge. Wisconsin is listed in </w:t>
      </w:r>
      <w:r>
        <w:fldChar w:fldCharType="begin"/>
      </w:r>
      <w:r>
        <w:instrText xml:space="preserve"> REF _Ref123166113 \h  \* MERGEFORMAT </w:instrText>
      </w:r>
      <w:r>
        <w:fldChar w:fldCharType="separate"/>
      </w:r>
      <w:r w:rsidRPr="0080356A">
        <w:t xml:space="preserve">Table </w:t>
      </w:r>
      <w:r>
        <w:rPr>
          <w:noProof/>
        </w:rPr>
        <w:t>4</w:t>
      </w:r>
      <w:r>
        <w:fldChar w:fldCharType="end"/>
      </w:r>
      <w:r>
        <w:t xml:space="preserve"> because the map the state court</w:t>
      </w:r>
      <w:r w:rsidRPr="0078695B">
        <w:rPr>
          <w:rStyle w:val="FootnoteReference"/>
        </w:rPr>
        <w:footnoteReference w:id="170"/>
      </w:r>
      <w:r>
        <w:t xml:space="preserve"> put into place is considered one of the most gerrymandered in the country.</w:t>
      </w:r>
      <w:bookmarkStart w:id="414" w:name="_Ref138943706"/>
      <w:r w:rsidRPr="0078695B">
        <w:rPr>
          <w:rStyle w:val="FootnoteReference"/>
        </w:rPr>
        <w:footnoteReference w:id="171"/>
      </w:r>
      <w:bookmarkEnd w:id="414"/>
      <w:r>
        <w:t xml:space="preserve"> The normal procedures failed in Wisconsin, and the state court chose a map that it considered to most resemble the plan used in the previous decade.</w:t>
      </w:r>
      <w:commentRangeStart w:id="415"/>
      <w:r w:rsidRPr="0078695B">
        <w:rPr>
          <w:rStyle w:val="FootnoteReference"/>
        </w:rPr>
        <w:footnoteReference w:id="172"/>
      </w:r>
      <w:commentRangeEnd w:id="415"/>
      <w:r>
        <w:rPr>
          <w:rStyle w:val="CommentReference"/>
        </w:rPr>
        <w:commentReference w:id="415"/>
      </w:r>
      <w:r>
        <w:t xml:space="preserve">  That earlier plan was considered a </w:t>
      </w:r>
      <w:r w:rsidRPr="00B9776E">
        <w:t>partisan gerrymander</w:t>
      </w:r>
      <w:r>
        <w:t xml:space="preserve"> by many academics and legal scholars</w:t>
      </w:r>
      <w:r w:rsidRPr="00B9776E">
        <w:t>.</w:t>
      </w:r>
      <w:r w:rsidRPr="0078695B">
        <w:rPr>
          <w:rStyle w:val="FootnoteReference"/>
        </w:rPr>
        <w:footnoteReference w:id="173"/>
      </w:r>
    </w:p>
    <w:p w14:paraId="5A304DC6" w14:textId="01954090" w:rsidR="002A4A48" w:rsidRPr="000111B5" w:rsidRDefault="000111B5" w:rsidP="000111B5">
      <w:pPr>
        <w:pStyle w:val="BodyText"/>
      </w:pPr>
      <w:r w:rsidRPr="00B9776E">
        <w:lastRenderedPageBreak/>
        <w:t>Our primary concern is with plans that were either successfully challenged and led to changes in the plan or where challenges were defeated.</w:t>
      </w:r>
      <w:r>
        <w:t xml:space="preserve">  </w:t>
      </w:r>
      <w:r w:rsidRPr="00B9776E">
        <w:t>In the section that follows, we omit a full discussion of challenges that either did not reach a decision on merits or standing issues before the 2022 midterm elections.</w:t>
      </w:r>
    </w:p>
    <w:p w14:paraId="588A09F2" w14:textId="44BE2B39" w:rsidR="00ED7609" w:rsidRPr="00E8520A" w:rsidRDefault="008D703D" w:rsidP="000D3502">
      <w:pPr>
        <w:pStyle w:val="Heading2"/>
        <w:numPr>
          <w:ilvl w:val="1"/>
          <w:numId w:val="6"/>
        </w:numPr>
      </w:pPr>
      <w:bookmarkStart w:id="420" w:name="_Toc138947184"/>
      <w:r>
        <w:t>State Court Cases Where Partisan Gerrymandering Issues Are Implicated</w:t>
      </w:r>
      <w:bookmarkEnd w:id="420"/>
      <w:r w:rsidR="00ED7609">
        <w:fldChar w:fldCharType="begin"/>
      </w:r>
      <w:r w:rsidR="00ED7609">
        <w:instrText xml:space="preserve"> REF _Ref120040280</w:instrText>
      </w:r>
      <w:del w:id="421" w:author="Jonathan Cervas" w:date="2023-06-23T12:17:00Z">
        <w:r w:rsidR="00ED7609" w:rsidDel="00283E39">
          <w:delInstrText xml:space="preserve"> \h  \* MERGEFORMAT </w:delInstrText>
        </w:r>
      </w:del>
      <w:r w:rsidR="00ED7609">
        <w:fldChar w:fldCharType="separate"/>
      </w:r>
    </w:p>
    <w:p w14:paraId="15920E93" w14:textId="1906DEFC" w:rsidR="00ED7609" w:rsidRDefault="00ED7609" w:rsidP="00ED7609">
      <w:pPr>
        <w:spacing w:line="480" w:lineRule="auto"/>
        <w:ind w:firstLine="360"/>
        <w:rPr>
          <w:rStyle w:val="BodyTextChar"/>
        </w:rPr>
      </w:pPr>
      <w:r>
        <w:t>Table</w:t>
      </w:r>
      <w:r>
        <w:rPr>
          <w:noProof/>
        </w:rPr>
        <w:t xml:space="preserve"> 5</w:t>
      </w:r>
      <w:r>
        <w:fldChar w:fldCharType="end"/>
      </w:r>
      <w:r w:rsidRPr="000D3502">
        <w:rPr>
          <w:rStyle w:val="BodyTextChar"/>
          <w:rPrChange w:id="422" w:author="Jonathan Cervas" w:date="2023-06-23T12:15:00Z">
            <w:rPr/>
          </w:rPrChange>
        </w:rPr>
        <w:t xml:space="preserve"> l</w:t>
      </w:r>
      <w:r w:rsidRPr="000D3502">
        <w:rPr>
          <w:rStyle w:val="BodyTextChar"/>
        </w:rPr>
        <w:t>i</w:t>
      </w:r>
      <w:r w:rsidRPr="00ED7609">
        <w:rPr>
          <w:rStyle w:val="BodyTextChar"/>
        </w:rPr>
        <w:t>sts the key state court cases, including those in the 2010 round.</w:t>
      </w:r>
    </w:p>
    <w:p w14:paraId="77AAFA19" w14:textId="701C0193" w:rsidR="00ED7609" w:rsidRPr="00A431D6" w:rsidRDefault="00ED7609" w:rsidP="00A431D6">
      <w:r w:rsidRPr="000A3D06">
        <w:rPr>
          <w:b/>
          <w:bCs/>
          <w:i/>
          <w:iCs/>
        </w:rPr>
        <w:t xml:space="preserve">Table </w:t>
      </w:r>
      <w:r w:rsidRPr="000A3D06">
        <w:rPr>
          <w:b/>
          <w:bCs/>
          <w:i/>
          <w:iCs/>
        </w:rPr>
        <w:fldChar w:fldCharType="begin"/>
      </w:r>
      <w:r w:rsidRPr="000A3D06">
        <w:rPr>
          <w:b/>
          <w:bCs/>
          <w:i/>
          <w:iCs/>
        </w:rPr>
        <w:instrText xml:space="preserve"> SEQ Table \* ARABIC </w:instrText>
      </w:r>
      <w:r w:rsidRPr="000A3D06">
        <w:rPr>
          <w:b/>
          <w:bCs/>
          <w:i/>
          <w:iCs/>
        </w:rPr>
        <w:fldChar w:fldCharType="separate"/>
      </w:r>
      <w:r w:rsidRPr="000A3D06">
        <w:rPr>
          <w:b/>
          <w:bCs/>
          <w:i/>
          <w:iCs/>
          <w:noProof/>
        </w:rPr>
        <w:t>5</w:t>
      </w:r>
      <w:r w:rsidRPr="000A3D06">
        <w:rPr>
          <w:b/>
          <w:bCs/>
          <w:i/>
          <w:iCs/>
          <w:noProof/>
        </w:rPr>
        <w:fldChar w:fldCharType="end"/>
      </w:r>
      <w:r w:rsidR="00F1195D" w:rsidRPr="000A3D06">
        <w:rPr>
          <w:b/>
          <w:bCs/>
          <w:i/>
          <w:iCs/>
          <w:noProof/>
        </w:rPr>
        <w:t>.</w:t>
      </w:r>
      <w:r w:rsidRPr="000A3D06">
        <w:rPr>
          <w:b/>
          <w:bCs/>
        </w:rPr>
        <w:t xml:space="preserve"> Key Case Citations Involving State Courts </w:t>
      </w:r>
    </w:p>
    <w:tbl>
      <w:tblPr>
        <w:tblStyle w:val="TableGrid"/>
        <w:tblW w:w="5000" w:type="pct"/>
        <w:jc w:val="center"/>
        <w:tblLook w:val="04A0" w:firstRow="1" w:lastRow="0" w:firstColumn="1" w:lastColumn="0" w:noHBand="0" w:noVBand="1"/>
      </w:tblPr>
      <w:tblGrid>
        <w:gridCol w:w="1602"/>
        <w:gridCol w:w="5468"/>
      </w:tblGrid>
      <w:tr w:rsidR="00ED7609" w:rsidRPr="0080356A" w14:paraId="4C5DD0CE" w14:textId="77777777" w:rsidTr="005B1794">
        <w:trPr>
          <w:jc w:val="center"/>
        </w:trPr>
        <w:tc>
          <w:tcPr>
            <w:tcW w:w="0" w:type="auto"/>
          </w:tcPr>
          <w:p w14:paraId="7549921B" w14:textId="77777777" w:rsidR="00ED7609" w:rsidRPr="00283E39" w:rsidRDefault="00ED7609">
            <w:pPr>
              <w:pStyle w:val="NoSpacing"/>
              <w:rPr>
                <w:b/>
                <w:bCs/>
                <w:sz w:val="19"/>
                <w:szCs w:val="19"/>
              </w:rPr>
              <w:pPrChange w:id="423" w:author="Jonathan Cervas" w:date="2023-06-23T12:18:00Z">
                <w:pPr>
                  <w:spacing w:line="480" w:lineRule="auto"/>
                </w:pPr>
              </w:pPrChange>
            </w:pPr>
            <w:r w:rsidRPr="00283E39">
              <w:rPr>
                <w:b/>
                <w:bCs/>
                <w:sz w:val="19"/>
                <w:szCs w:val="19"/>
              </w:rPr>
              <w:t>State</w:t>
            </w:r>
          </w:p>
        </w:tc>
        <w:tc>
          <w:tcPr>
            <w:tcW w:w="0" w:type="auto"/>
          </w:tcPr>
          <w:p w14:paraId="22770DEC" w14:textId="77777777" w:rsidR="00ED7609" w:rsidRPr="00283E39" w:rsidRDefault="00ED7609">
            <w:pPr>
              <w:pStyle w:val="NoSpacing"/>
              <w:rPr>
                <w:b/>
                <w:bCs/>
                <w:sz w:val="19"/>
                <w:szCs w:val="19"/>
              </w:rPr>
              <w:pPrChange w:id="424" w:author="Jonathan Cervas" w:date="2023-06-23T12:18:00Z">
                <w:pPr>
                  <w:spacing w:line="480" w:lineRule="auto"/>
                </w:pPr>
              </w:pPrChange>
            </w:pPr>
            <w:r w:rsidRPr="00283E39">
              <w:rPr>
                <w:b/>
                <w:bCs/>
                <w:sz w:val="19"/>
                <w:szCs w:val="19"/>
              </w:rPr>
              <w:t>Citation</w:t>
            </w:r>
          </w:p>
        </w:tc>
      </w:tr>
      <w:tr w:rsidR="00ED7609" w:rsidRPr="0080356A" w14:paraId="6EB9F07F" w14:textId="77777777" w:rsidTr="005B1794">
        <w:trPr>
          <w:jc w:val="center"/>
        </w:trPr>
        <w:tc>
          <w:tcPr>
            <w:tcW w:w="0" w:type="auto"/>
          </w:tcPr>
          <w:p w14:paraId="46203FE9" w14:textId="77777777" w:rsidR="00ED7609" w:rsidRPr="000A3D06" w:rsidRDefault="00ED7609" w:rsidP="00E01FB1">
            <w:pPr>
              <w:pStyle w:val="NoSpacing"/>
              <w:rPr>
                <w:i/>
                <w:iCs/>
                <w:sz w:val="18"/>
                <w:szCs w:val="18"/>
              </w:rPr>
            </w:pPr>
            <w:r w:rsidRPr="000A3D06">
              <w:rPr>
                <w:i/>
                <w:iCs/>
                <w:sz w:val="18"/>
                <w:szCs w:val="18"/>
              </w:rPr>
              <w:t>Arkansas</w:t>
            </w:r>
          </w:p>
        </w:tc>
        <w:tc>
          <w:tcPr>
            <w:tcW w:w="0" w:type="auto"/>
          </w:tcPr>
          <w:p w14:paraId="5E4095A6" w14:textId="77777777" w:rsidR="00ED7609" w:rsidRPr="00E01FB1" w:rsidRDefault="00ED7609" w:rsidP="00E01FB1">
            <w:pPr>
              <w:pStyle w:val="NoSpacing"/>
              <w:rPr>
                <w:i/>
                <w:iCs/>
                <w:sz w:val="18"/>
                <w:szCs w:val="18"/>
              </w:rPr>
            </w:pPr>
            <w:proofErr w:type="spellStart"/>
            <w:r w:rsidRPr="00E01FB1">
              <w:rPr>
                <w:i/>
                <w:iCs/>
                <w:sz w:val="18"/>
                <w:szCs w:val="18"/>
              </w:rPr>
              <w:t>Suttlar</w:t>
            </w:r>
            <w:proofErr w:type="spellEnd"/>
            <w:r w:rsidRPr="00E01FB1">
              <w:rPr>
                <w:i/>
                <w:iCs/>
                <w:sz w:val="18"/>
                <w:szCs w:val="18"/>
              </w:rPr>
              <w:t xml:space="preserve"> v. Thurston</w:t>
            </w:r>
            <w:r w:rsidRPr="00E01FB1">
              <w:rPr>
                <w:sz w:val="18"/>
                <w:szCs w:val="18"/>
              </w:rPr>
              <w:t>, No. 60CV-22-1849 (Ark. Cir. Ct. Mar. 21, 2022).</w:t>
            </w:r>
          </w:p>
        </w:tc>
      </w:tr>
      <w:tr w:rsidR="00ED7609" w:rsidRPr="0080356A" w14:paraId="3A7A950F" w14:textId="77777777" w:rsidTr="005B1794">
        <w:trPr>
          <w:jc w:val="center"/>
        </w:trPr>
        <w:tc>
          <w:tcPr>
            <w:tcW w:w="0" w:type="auto"/>
          </w:tcPr>
          <w:p w14:paraId="6E4C2741" w14:textId="77777777" w:rsidR="00ED7609" w:rsidRPr="00E01FB1" w:rsidRDefault="00ED7609" w:rsidP="00E01FB1">
            <w:pPr>
              <w:pStyle w:val="NoSpacing"/>
              <w:rPr>
                <w:i/>
                <w:iCs/>
                <w:sz w:val="18"/>
                <w:szCs w:val="18"/>
              </w:rPr>
            </w:pPr>
            <w:r w:rsidRPr="00E01FB1">
              <w:rPr>
                <w:i/>
                <w:iCs/>
                <w:sz w:val="18"/>
                <w:szCs w:val="18"/>
              </w:rPr>
              <w:t>Florida (2015)</w:t>
            </w:r>
          </w:p>
        </w:tc>
        <w:tc>
          <w:tcPr>
            <w:tcW w:w="0" w:type="auto"/>
          </w:tcPr>
          <w:p w14:paraId="7A8AD0D6" w14:textId="77777777" w:rsidR="00ED7609" w:rsidRPr="00E01FB1" w:rsidRDefault="00ED7609" w:rsidP="00E01FB1">
            <w:pPr>
              <w:pStyle w:val="NoSpacing"/>
              <w:rPr>
                <w:i/>
                <w:iCs/>
                <w:sz w:val="18"/>
                <w:szCs w:val="18"/>
              </w:rPr>
            </w:pPr>
            <w:r w:rsidRPr="00E01FB1">
              <w:rPr>
                <w:i/>
                <w:iCs/>
                <w:sz w:val="18"/>
                <w:szCs w:val="18"/>
              </w:rPr>
              <w:t>League of Women Voters of Fla. V. Detzner</w:t>
            </w:r>
            <w:r w:rsidRPr="00E01FB1">
              <w:rPr>
                <w:sz w:val="18"/>
                <w:szCs w:val="18"/>
              </w:rPr>
              <w:t>, 172 So.3d 363 (Fla. 2015).</w:t>
            </w:r>
          </w:p>
        </w:tc>
      </w:tr>
      <w:tr w:rsidR="00ED7609" w:rsidRPr="0080356A" w14:paraId="528DFC57" w14:textId="77777777" w:rsidTr="005B1794">
        <w:trPr>
          <w:jc w:val="center"/>
        </w:trPr>
        <w:tc>
          <w:tcPr>
            <w:tcW w:w="0" w:type="auto"/>
          </w:tcPr>
          <w:p w14:paraId="0BB528E9" w14:textId="77777777" w:rsidR="00ED7609" w:rsidRPr="00E01FB1" w:rsidRDefault="00ED7609" w:rsidP="00E01FB1">
            <w:pPr>
              <w:pStyle w:val="NoSpacing"/>
              <w:rPr>
                <w:i/>
                <w:iCs/>
                <w:sz w:val="18"/>
                <w:szCs w:val="18"/>
              </w:rPr>
            </w:pPr>
            <w:r w:rsidRPr="00E01FB1">
              <w:rPr>
                <w:i/>
                <w:iCs/>
                <w:sz w:val="18"/>
                <w:szCs w:val="18"/>
              </w:rPr>
              <w:t>Florida (2022)</w:t>
            </w:r>
          </w:p>
        </w:tc>
        <w:tc>
          <w:tcPr>
            <w:tcW w:w="0" w:type="auto"/>
          </w:tcPr>
          <w:p w14:paraId="3FEF188F" w14:textId="77777777" w:rsidR="00ED7609" w:rsidRPr="00E01FB1" w:rsidRDefault="00ED7609" w:rsidP="00E01FB1">
            <w:pPr>
              <w:pStyle w:val="NoSpacing"/>
              <w:rPr>
                <w:i/>
                <w:iCs/>
                <w:sz w:val="18"/>
                <w:szCs w:val="18"/>
              </w:rPr>
            </w:pPr>
            <w:r w:rsidRPr="00E01FB1">
              <w:rPr>
                <w:i/>
                <w:iCs/>
                <w:sz w:val="18"/>
                <w:szCs w:val="18"/>
              </w:rPr>
              <w:t>Black Voters Matter Capacity Building Inst., Inc. v. Lee</w:t>
            </w:r>
            <w:r w:rsidRPr="00E01FB1">
              <w:rPr>
                <w:sz w:val="18"/>
                <w:szCs w:val="18"/>
              </w:rPr>
              <w:t>, No. 2022-ca-000666 (Fla. Cir. Ct. Apr. 22, 2022).</w:t>
            </w:r>
          </w:p>
        </w:tc>
      </w:tr>
      <w:tr w:rsidR="00ED7609" w:rsidRPr="0080356A" w14:paraId="359BD50F" w14:textId="77777777" w:rsidTr="005B1794">
        <w:trPr>
          <w:jc w:val="center"/>
        </w:trPr>
        <w:tc>
          <w:tcPr>
            <w:tcW w:w="0" w:type="auto"/>
          </w:tcPr>
          <w:p w14:paraId="2C168001" w14:textId="77777777" w:rsidR="00ED7609" w:rsidRPr="00E01FB1" w:rsidRDefault="00ED7609" w:rsidP="00E01FB1">
            <w:pPr>
              <w:pStyle w:val="NoSpacing"/>
              <w:rPr>
                <w:i/>
                <w:iCs/>
                <w:sz w:val="18"/>
                <w:szCs w:val="18"/>
              </w:rPr>
            </w:pPr>
            <w:r w:rsidRPr="00E01FB1">
              <w:rPr>
                <w:i/>
                <w:iCs/>
                <w:sz w:val="18"/>
                <w:szCs w:val="18"/>
              </w:rPr>
              <w:t>Georgia</w:t>
            </w:r>
          </w:p>
        </w:tc>
        <w:tc>
          <w:tcPr>
            <w:tcW w:w="0" w:type="auto"/>
          </w:tcPr>
          <w:p w14:paraId="76397D80" w14:textId="77777777" w:rsidR="00ED7609" w:rsidRPr="00E01FB1" w:rsidRDefault="00ED7609" w:rsidP="00E01FB1">
            <w:pPr>
              <w:pStyle w:val="NoSpacing"/>
              <w:rPr>
                <w:i/>
                <w:iCs/>
                <w:sz w:val="18"/>
                <w:szCs w:val="18"/>
              </w:rPr>
            </w:pPr>
            <w:r w:rsidRPr="00E01FB1">
              <w:rPr>
                <w:i/>
                <w:iCs/>
                <w:sz w:val="18"/>
                <w:szCs w:val="18"/>
              </w:rPr>
              <w:t xml:space="preserve">Common Cause v. </w:t>
            </w:r>
            <w:proofErr w:type="spellStart"/>
            <w:r w:rsidRPr="00E01FB1">
              <w:rPr>
                <w:i/>
                <w:iCs/>
                <w:sz w:val="18"/>
                <w:szCs w:val="18"/>
              </w:rPr>
              <w:t>Raffensperger</w:t>
            </w:r>
            <w:proofErr w:type="spellEnd"/>
            <w:r w:rsidRPr="00E01FB1">
              <w:rPr>
                <w:sz w:val="18"/>
                <w:szCs w:val="18"/>
              </w:rPr>
              <w:t>, No. 1:22-CV-90 (N.D. Ga. Jan. 7, 2022).</w:t>
            </w:r>
          </w:p>
          <w:p w14:paraId="1690A139" w14:textId="77777777" w:rsidR="00ED7609" w:rsidRPr="00E01FB1" w:rsidRDefault="00ED7609" w:rsidP="00E01FB1">
            <w:pPr>
              <w:pStyle w:val="NoSpacing"/>
              <w:rPr>
                <w:i/>
                <w:iCs/>
                <w:sz w:val="18"/>
                <w:szCs w:val="18"/>
              </w:rPr>
            </w:pPr>
            <w:r w:rsidRPr="00E01FB1">
              <w:rPr>
                <w:i/>
                <w:iCs/>
                <w:sz w:val="18"/>
                <w:szCs w:val="18"/>
              </w:rPr>
              <w:t xml:space="preserve">Pendergrass v. </w:t>
            </w:r>
            <w:proofErr w:type="spellStart"/>
            <w:r w:rsidRPr="00E01FB1">
              <w:rPr>
                <w:i/>
                <w:iCs/>
                <w:sz w:val="18"/>
                <w:szCs w:val="18"/>
              </w:rPr>
              <w:t>Raffensperger</w:t>
            </w:r>
            <w:proofErr w:type="spellEnd"/>
            <w:r w:rsidRPr="00E01FB1">
              <w:rPr>
                <w:sz w:val="18"/>
                <w:szCs w:val="18"/>
              </w:rPr>
              <w:t>, No. 1:21-CV-5339 (N.D. Ga. Dec. 30, 2021).</w:t>
            </w:r>
          </w:p>
          <w:p w14:paraId="4585B5CA" w14:textId="77777777" w:rsidR="00ED7609" w:rsidRPr="00E01FB1" w:rsidRDefault="00ED7609" w:rsidP="00E01FB1">
            <w:pPr>
              <w:pStyle w:val="NoSpacing"/>
              <w:rPr>
                <w:i/>
                <w:iCs/>
                <w:sz w:val="18"/>
                <w:szCs w:val="18"/>
              </w:rPr>
            </w:pPr>
            <w:r w:rsidRPr="00E01FB1">
              <w:rPr>
                <w:i/>
                <w:iCs/>
                <w:sz w:val="18"/>
                <w:szCs w:val="18"/>
              </w:rPr>
              <w:t>Georgia State Conference of the NAACP v. State of Georgia</w:t>
            </w:r>
            <w:r w:rsidRPr="00E01FB1">
              <w:rPr>
                <w:sz w:val="18"/>
                <w:szCs w:val="18"/>
              </w:rPr>
              <w:t>, No. 1:21-CV-5338 (N.D. Ga. Dec. 30, 2021).</w:t>
            </w:r>
          </w:p>
        </w:tc>
      </w:tr>
      <w:tr w:rsidR="00ED7609" w:rsidRPr="0080356A" w14:paraId="38F57681" w14:textId="77777777" w:rsidTr="005B1794">
        <w:trPr>
          <w:jc w:val="center"/>
        </w:trPr>
        <w:tc>
          <w:tcPr>
            <w:tcW w:w="0" w:type="auto"/>
          </w:tcPr>
          <w:p w14:paraId="36496FA6" w14:textId="77777777" w:rsidR="00ED7609" w:rsidRPr="00E01FB1" w:rsidRDefault="00ED7609" w:rsidP="00E01FB1">
            <w:pPr>
              <w:pStyle w:val="NoSpacing"/>
              <w:rPr>
                <w:i/>
                <w:iCs/>
                <w:sz w:val="18"/>
                <w:szCs w:val="18"/>
              </w:rPr>
            </w:pPr>
            <w:r w:rsidRPr="00E01FB1">
              <w:rPr>
                <w:i/>
                <w:iCs/>
                <w:sz w:val="18"/>
                <w:szCs w:val="18"/>
              </w:rPr>
              <w:t>Kansas</w:t>
            </w:r>
          </w:p>
        </w:tc>
        <w:tc>
          <w:tcPr>
            <w:tcW w:w="0" w:type="auto"/>
          </w:tcPr>
          <w:p w14:paraId="3A4D0CEB" w14:textId="77777777" w:rsidR="00ED7609" w:rsidRPr="00E01FB1" w:rsidRDefault="00ED7609" w:rsidP="00E01FB1">
            <w:pPr>
              <w:pStyle w:val="NoSpacing"/>
              <w:rPr>
                <w:i/>
                <w:iCs/>
                <w:sz w:val="18"/>
                <w:szCs w:val="18"/>
              </w:rPr>
            </w:pPr>
            <w:r w:rsidRPr="00E01FB1">
              <w:rPr>
                <w:i/>
                <w:iCs/>
                <w:sz w:val="18"/>
                <w:szCs w:val="18"/>
              </w:rPr>
              <w:t>Rivera v. Schwab</w:t>
            </w:r>
            <w:r w:rsidRPr="00E01FB1">
              <w:rPr>
                <w:sz w:val="18"/>
                <w:szCs w:val="18"/>
              </w:rPr>
              <w:t>, 512 P.2d 168 (Kan. 2022).</w:t>
            </w:r>
          </w:p>
        </w:tc>
      </w:tr>
      <w:tr w:rsidR="00ED7609" w:rsidRPr="0080356A" w14:paraId="54C366CC" w14:textId="77777777" w:rsidTr="005B1794">
        <w:trPr>
          <w:jc w:val="center"/>
        </w:trPr>
        <w:tc>
          <w:tcPr>
            <w:tcW w:w="0" w:type="auto"/>
          </w:tcPr>
          <w:p w14:paraId="3BCFF241" w14:textId="77777777" w:rsidR="00ED7609" w:rsidRPr="00E01FB1" w:rsidRDefault="00ED7609" w:rsidP="00E01FB1">
            <w:pPr>
              <w:pStyle w:val="NoSpacing"/>
              <w:rPr>
                <w:i/>
                <w:iCs/>
                <w:sz w:val="18"/>
                <w:szCs w:val="18"/>
              </w:rPr>
            </w:pPr>
            <w:r w:rsidRPr="00E01FB1">
              <w:rPr>
                <w:i/>
                <w:iCs/>
                <w:sz w:val="18"/>
                <w:szCs w:val="18"/>
              </w:rPr>
              <w:t>Kentucky</w:t>
            </w:r>
          </w:p>
        </w:tc>
        <w:tc>
          <w:tcPr>
            <w:tcW w:w="0" w:type="auto"/>
          </w:tcPr>
          <w:p w14:paraId="338D74B7" w14:textId="77777777" w:rsidR="00ED7609" w:rsidRPr="00E01FB1" w:rsidRDefault="00ED7609" w:rsidP="00E01FB1">
            <w:pPr>
              <w:pStyle w:val="NoSpacing"/>
              <w:rPr>
                <w:i/>
                <w:iCs/>
                <w:sz w:val="18"/>
                <w:szCs w:val="18"/>
              </w:rPr>
            </w:pPr>
            <w:r w:rsidRPr="00E01FB1">
              <w:rPr>
                <w:i/>
                <w:iCs/>
                <w:sz w:val="18"/>
                <w:szCs w:val="18"/>
              </w:rPr>
              <w:t>Graham v. Adams</w:t>
            </w:r>
            <w:r w:rsidRPr="00E01FB1">
              <w:rPr>
                <w:sz w:val="18"/>
                <w:szCs w:val="18"/>
              </w:rPr>
              <w:t>, No. 22-CI-00047 (Ky. Cir. Ct. Jan. 20, 2022).</w:t>
            </w:r>
          </w:p>
        </w:tc>
      </w:tr>
      <w:tr w:rsidR="00ED7609" w:rsidRPr="0080356A" w14:paraId="07A1A5AD" w14:textId="77777777" w:rsidTr="005B1794">
        <w:trPr>
          <w:jc w:val="center"/>
        </w:trPr>
        <w:tc>
          <w:tcPr>
            <w:tcW w:w="0" w:type="auto"/>
          </w:tcPr>
          <w:p w14:paraId="674B838A" w14:textId="77777777" w:rsidR="00ED7609" w:rsidRPr="00E01FB1" w:rsidRDefault="00ED7609" w:rsidP="00E01FB1">
            <w:pPr>
              <w:pStyle w:val="NoSpacing"/>
              <w:rPr>
                <w:i/>
                <w:iCs/>
                <w:sz w:val="18"/>
                <w:szCs w:val="18"/>
              </w:rPr>
            </w:pPr>
            <w:r w:rsidRPr="00E01FB1">
              <w:rPr>
                <w:i/>
                <w:iCs/>
                <w:sz w:val="18"/>
                <w:szCs w:val="18"/>
              </w:rPr>
              <w:t>Maryland</w:t>
            </w:r>
          </w:p>
        </w:tc>
        <w:tc>
          <w:tcPr>
            <w:tcW w:w="0" w:type="auto"/>
          </w:tcPr>
          <w:p w14:paraId="57022065" w14:textId="77777777" w:rsidR="00ED7609" w:rsidRPr="00E01FB1" w:rsidRDefault="00ED7609" w:rsidP="00E01FB1">
            <w:pPr>
              <w:pStyle w:val="NoSpacing"/>
              <w:rPr>
                <w:sz w:val="18"/>
                <w:szCs w:val="18"/>
              </w:rPr>
            </w:pPr>
            <w:r w:rsidRPr="00E01FB1">
              <w:rPr>
                <w:i/>
                <w:iCs/>
                <w:sz w:val="18"/>
                <w:szCs w:val="18"/>
              </w:rPr>
              <w:t xml:space="preserve">Szeliga v. </w:t>
            </w:r>
            <w:proofErr w:type="spellStart"/>
            <w:r w:rsidRPr="00E01FB1">
              <w:rPr>
                <w:i/>
                <w:iCs/>
                <w:sz w:val="18"/>
                <w:szCs w:val="18"/>
              </w:rPr>
              <w:t>Lamone</w:t>
            </w:r>
            <w:proofErr w:type="spellEnd"/>
            <w:r w:rsidRPr="00E01FB1">
              <w:rPr>
                <w:sz w:val="18"/>
                <w:szCs w:val="18"/>
              </w:rPr>
              <w:t>, No. C-02-CV-21-001816 (Md. Cir. Ct. Mar. 25, 2022).</w:t>
            </w:r>
          </w:p>
        </w:tc>
      </w:tr>
      <w:tr w:rsidR="00ED7609" w:rsidRPr="0080356A" w14:paraId="3515C2FF" w14:textId="77777777" w:rsidTr="005B1794">
        <w:trPr>
          <w:jc w:val="center"/>
        </w:trPr>
        <w:tc>
          <w:tcPr>
            <w:tcW w:w="0" w:type="auto"/>
          </w:tcPr>
          <w:p w14:paraId="5F5D8F4C" w14:textId="77777777" w:rsidR="00ED7609" w:rsidRPr="00E01FB1" w:rsidRDefault="00ED7609" w:rsidP="00E01FB1">
            <w:pPr>
              <w:pStyle w:val="NoSpacing"/>
              <w:rPr>
                <w:i/>
                <w:iCs/>
                <w:sz w:val="18"/>
                <w:szCs w:val="18"/>
              </w:rPr>
            </w:pPr>
            <w:r w:rsidRPr="00E01FB1">
              <w:rPr>
                <w:i/>
                <w:iCs/>
                <w:sz w:val="18"/>
                <w:szCs w:val="18"/>
              </w:rPr>
              <w:t>North Carolina (2019)</w:t>
            </w:r>
          </w:p>
        </w:tc>
        <w:tc>
          <w:tcPr>
            <w:tcW w:w="0" w:type="auto"/>
          </w:tcPr>
          <w:p w14:paraId="234F5251" w14:textId="77777777" w:rsidR="00ED7609" w:rsidRPr="00E01FB1" w:rsidRDefault="00ED7609" w:rsidP="00E01FB1">
            <w:pPr>
              <w:pStyle w:val="NoSpacing"/>
              <w:rPr>
                <w:sz w:val="18"/>
                <w:szCs w:val="18"/>
              </w:rPr>
            </w:pPr>
            <w:r w:rsidRPr="00E01FB1">
              <w:rPr>
                <w:i/>
                <w:sz w:val="18"/>
                <w:szCs w:val="18"/>
              </w:rPr>
              <w:t>Harper v. Lewis</w:t>
            </w:r>
            <w:r w:rsidRPr="00E01FB1">
              <w:rPr>
                <w:sz w:val="18"/>
                <w:szCs w:val="18"/>
              </w:rPr>
              <w:t>, No. 19-CVS-012667 (N.C. Super. Ct., Oct. 28, 2019).</w:t>
            </w:r>
          </w:p>
        </w:tc>
      </w:tr>
      <w:tr w:rsidR="00ED7609" w:rsidRPr="0080356A" w14:paraId="14556460" w14:textId="77777777" w:rsidTr="005B1794">
        <w:trPr>
          <w:jc w:val="center"/>
        </w:trPr>
        <w:tc>
          <w:tcPr>
            <w:tcW w:w="0" w:type="auto"/>
          </w:tcPr>
          <w:p w14:paraId="1EE674C0" w14:textId="77777777" w:rsidR="00ED7609" w:rsidRPr="00E01FB1" w:rsidRDefault="00ED7609" w:rsidP="00E01FB1">
            <w:pPr>
              <w:pStyle w:val="NoSpacing"/>
              <w:rPr>
                <w:i/>
                <w:iCs/>
                <w:sz w:val="18"/>
                <w:szCs w:val="18"/>
              </w:rPr>
            </w:pPr>
            <w:r w:rsidRPr="00E01FB1">
              <w:rPr>
                <w:i/>
                <w:iCs/>
                <w:sz w:val="18"/>
                <w:szCs w:val="18"/>
              </w:rPr>
              <w:t>North Carolina (2022)</w:t>
            </w:r>
          </w:p>
        </w:tc>
        <w:tc>
          <w:tcPr>
            <w:tcW w:w="0" w:type="auto"/>
          </w:tcPr>
          <w:p w14:paraId="0A19A180" w14:textId="77777777" w:rsidR="00ED7609" w:rsidRPr="00E01FB1" w:rsidRDefault="00ED7609" w:rsidP="00E01FB1">
            <w:pPr>
              <w:pStyle w:val="NoSpacing"/>
              <w:rPr>
                <w:sz w:val="18"/>
                <w:szCs w:val="18"/>
              </w:rPr>
            </w:pPr>
            <w:r w:rsidRPr="00E01FB1">
              <w:rPr>
                <w:i/>
                <w:iCs/>
                <w:sz w:val="18"/>
                <w:szCs w:val="18"/>
              </w:rPr>
              <w:t>Harper v. Hall</w:t>
            </w:r>
            <w:r w:rsidRPr="00E01FB1">
              <w:rPr>
                <w:sz w:val="18"/>
                <w:szCs w:val="18"/>
              </w:rPr>
              <w:t>, No. 19-CVS-12667 (N.C. Super. Ct. Nov. 5, 2021).</w:t>
            </w:r>
          </w:p>
        </w:tc>
      </w:tr>
      <w:tr w:rsidR="00ED7609" w:rsidRPr="0080356A" w14:paraId="3CBA015E" w14:textId="77777777" w:rsidTr="005B1794">
        <w:trPr>
          <w:jc w:val="center"/>
        </w:trPr>
        <w:tc>
          <w:tcPr>
            <w:tcW w:w="0" w:type="auto"/>
          </w:tcPr>
          <w:p w14:paraId="2AF8652F" w14:textId="77777777" w:rsidR="00ED7609" w:rsidRPr="00E01FB1" w:rsidRDefault="00ED7609" w:rsidP="00E01FB1">
            <w:pPr>
              <w:pStyle w:val="NoSpacing"/>
              <w:rPr>
                <w:i/>
                <w:iCs/>
                <w:sz w:val="18"/>
                <w:szCs w:val="18"/>
              </w:rPr>
            </w:pPr>
            <w:r w:rsidRPr="00E01FB1">
              <w:rPr>
                <w:i/>
                <w:iCs/>
                <w:sz w:val="18"/>
                <w:szCs w:val="18"/>
              </w:rPr>
              <w:t>New Jersey</w:t>
            </w:r>
          </w:p>
        </w:tc>
        <w:tc>
          <w:tcPr>
            <w:tcW w:w="0" w:type="auto"/>
          </w:tcPr>
          <w:p w14:paraId="164E794B" w14:textId="77777777" w:rsidR="00ED7609" w:rsidRPr="00E01FB1" w:rsidRDefault="00ED7609" w:rsidP="00E01FB1">
            <w:pPr>
              <w:pStyle w:val="NoSpacing"/>
              <w:rPr>
                <w:sz w:val="18"/>
                <w:szCs w:val="18"/>
              </w:rPr>
            </w:pPr>
            <w:r w:rsidRPr="00E01FB1">
              <w:rPr>
                <w:i/>
                <w:iCs/>
                <w:sz w:val="18"/>
                <w:szCs w:val="18"/>
              </w:rPr>
              <w:t>Matter of Congressional Districts by New Jersey Redistricting Comm’n</w:t>
            </w:r>
            <w:r w:rsidRPr="00E01FB1">
              <w:rPr>
                <w:sz w:val="18"/>
                <w:szCs w:val="18"/>
              </w:rPr>
              <w:t>, 268 A.3d 299 (N.J. 2022).</w:t>
            </w:r>
          </w:p>
          <w:p w14:paraId="5B8FF515" w14:textId="77777777" w:rsidR="00ED7609" w:rsidRPr="00E01FB1" w:rsidRDefault="00ED7609" w:rsidP="00E01FB1">
            <w:pPr>
              <w:pStyle w:val="NoSpacing"/>
              <w:rPr>
                <w:sz w:val="18"/>
                <w:szCs w:val="18"/>
              </w:rPr>
            </w:pPr>
            <w:r w:rsidRPr="00E01FB1">
              <w:rPr>
                <w:i/>
                <w:iCs/>
                <w:sz w:val="18"/>
                <w:szCs w:val="18"/>
              </w:rPr>
              <w:t>Steinhardt v. New Jersey Redistricting Commission</w:t>
            </w:r>
            <w:r w:rsidRPr="00E01FB1">
              <w:rPr>
                <w:sz w:val="18"/>
                <w:szCs w:val="18"/>
              </w:rPr>
              <w:t>, No. 086587 (N.J. Dec. 30, 2021).</w:t>
            </w:r>
          </w:p>
        </w:tc>
      </w:tr>
      <w:tr w:rsidR="00ED7609" w:rsidRPr="0080356A" w14:paraId="00A8C062" w14:textId="77777777" w:rsidTr="005B1794">
        <w:trPr>
          <w:jc w:val="center"/>
        </w:trPr>
        <w:tc>
          <w:tcPr>
            <w:tcW w:w="0" w:type="auto"/>
          </w:tcPr>
          <w:p w14:paraId="46D34BB7" w14:textId="77777777" w:rsidR="00ED7609" w:rsidRPr="00E01FB1" w:rsidRDefault="00ED7609" w:rsidP="00E01FB1">
            <w:pPr>
              <w:pStyle w:val="NoSpacing"/>
              <w:rPr>
                <w:i/>
                <w:iCs/>
                <w:sz w:val="18"/>
                <w:szCs w:val="18"/>
              </w:rPr>
            </w:pPr>
            <w:r w:rsidRPr="00E01FB1">
              <w:rPr>
                <w:i/>
                <w:iCs/>
                <w:sz w:val="18"/>
                <w:szCs w:val="18"/>
              </w:rPr>
              <w:t>New Mexico</w:t>
            </w:r>
          </w:p>
        </w:tc>
        <w:tc>
          <w:tcPr>
            <w:tcW w:w="0" w:type="auto"/>
          </w:tcPr>
          <w:p w14:paraId="330C79C8" w14:textId="77777777" w:rsidR="00ED7609" w:rsidRPr="00E01FB1" w:rsidRDefault="00ED7609" w:rsidP="00E01FB1">
            <w:pPr>
              <w:pStyle w:val="NoSpacing"/>
              <w:rPr>
                <w:i/>
                <w:iCs/>
                <w:sz w:val="18"/>
                <w:szCs w:val="18"/>
              </w:rPr>
            </w:pPr>
            <w:bookmarkStart w:id="425" w:name="_Hlk133925955"/>
            <w:r w:rsidRPr="00E01FB1">
              <w:rPr>
                <w:i/>
                <w:iCs/>
                <w:sz w:val="18"/>
                <w:szCs w:val="18"/>
              </w:rPr>
              <w:t>Republican Party of New Mexico v. Oliver</w:t>
            </w:r>
            <w:r w:rsidRPr="00E01FB1">
              <w:rPr>
                <w:sz w:val="18"/>
                <w:szCs w:val="18"/>
              </w:rPr>
              <w:t>, No. D-506-CV-202200041 (N.M. D. Ct. Jan. 21, 2022).</w:t>
            </w:r>
            <w:bookmarkEnd w:id="425"/>
          </w:p>
        </w:tc>
      </w:tr>
      <w:tr w:rsidR="00ED7609" w:rsidRPr="0080356A" w14:paraId="5DAFA148" w14:textId="77777777" w:rsidTr="005B1794">
        <w:trPr>
          <w:jc w:val="center"/>
        </w:trPr>
        <w:tc>
          <w:tcPr>
            <w:tcW w:w="0" w:type="auto"/>
          </w:tcPr>
          <w:p w14:paraId="64E91118" w14:textId="77777777" w:rsidR="00ED7609" w:rsidRPr="00E01FB1" w:rsidRDefault="00ED7609" w:rsidP="00E01FB1">
            <w:pPr>
              <w:pStyle w:val="NoSpacing"/>
              <w:rPr>
                <w:i/>
                <w:iCs/>
                <w:sz w:val="18"/>
                <w:szCs w:val="18"/>
              </w:rPr>
            </w:pPr>
            <w:r w:rsidRPr="00E01FB1">
              <w:rPr>
                <w:i/>
                <w:iCs/>
                <w:sz w:val="18"/>
                <w:szCs w:val="18"/>
              </w:rPr>
              <w:t>New York</w:t>
            </w:r>
          </w:p>
        </w:tc>
        <w:tc>
          <w:tcPr>
            <w:tcW w:w="0" w:type="auto"/>
          </w:tcPr>
          <w:p w14:paraId="5C41A6FA" w14:textId="77777777" w:rsidR="00ED7609" w:rsidRPr="00E01FB1" w:rsidRDefault="00ED7609" w:rsidP="00E01FB1">
            <w:pPr>
              <w:pStyle w:val="NoSpacing"/>
              <w:rPr>
                <w:i/>
                <w:iCs/>
                <w:sz w:val="18"/>
                <w:szCs w:val="18"/>
              </w:rPr>
            </w:pPr>
            <w:proofErr w:type="spellStart"/>
            <w:r w:rsidRPr="00E01FB1">
              <w:rPr>
                <w:rStyle w:val="serif"/>
                <w:i/>
                <w:iCs/>
                <w:sz w:val="18"/>
                <w:szCs w:val="18"/>
              </w:rPr>
              <w:t>Harkenrider</w:t>
            </w:r>
            <w:proofErr w:type="spellEnd"/>
            <w:r w:rsidRPr="00E01FB1">
              <w:rPr>
                <w:rStyle w:val="serif"/>
                <w:i/>
                <w:iCs/>
                <w:sz w:val="18"/>
                <w:szCs w:val="18"/>
              </w:rPr>
              <w:t xml:space="preserve"> v. </w:t>
            </w:r>
            <w:proofErr w:type="spellStart"/>
            <w:r w:rsidRPr="00E01FB1">
              <w:rPr>
                <w:rStyle w:val="serif"/>
                <w:i/>
                <w:iCs/>
                <w:sz w:val="18"/>
                <w:szCs w:val="18"/>
              </w:rPr>
              <w:t>Hochul</w:t>
            </w:r>
            <w:proofErr w:type="spellEnd"/>
            <w:r w:rsidRPr="00E01FB1">
              <w:rPr>
                <w:rStyle w:val="serif"/>
                <w:sz w:val="18"/>
                <w:szCs w:val="18"/>
              </w:rPr>
              <w:t>, 2022 N.Y. Slip Op. 31471 (N.Y. Sup. Ct. 2022).</w:t>
            </w:r>
          </w:p>
        </w:tc>
      </w:tr>
      <w:tr w:rsidR="00ED7609" w:rsidRPr="0080356A" w14:paraId="70863328" w14:textId="77777777" w:rsidTr="005B1794">
        <w:trPr>
          <w:jc w:val="center"/>
        </w:trPr>
        <w:tc>
          <w:tcPr>
            <w:tcW w:w="0" w:type="auto"/>
          </w:tcPr>
          <w:p w14:paraId="35CB268A" w14:textId="77777777" w:rsidR="00ED7609" w:rsidRPr="00E01FB1" w:rsidRDefault="00ED7609" w:rsidP="00E01FB1">
            <w:pPr>
              <w:pStyle w:val="NoSpacing"/>
              <w:rPr>
                <w:i/>
                <w:iCs/>
                <w:sz w:val="18"/>
                <w:szCs w:val="18"/>
              </w:rPr>
            </w:pPr>
            <w:r w:rsidRPr="00E01FB1">
              <w:rPr>
                <w:i/>
                <w:iCs/>
                <w:sz w:val="18"/>
                <w:szCs w:val="18"/>
              </w:rPr>
              <w:t>Ohio</w:t>
            </w:r>
          </w:p>
        </w:tc>
        <w:tc>
          <w:tcPr>
            <w:tcW w:w="0" w:type="auto"/>
          </w:tcPr>
          <w:p w14:paraId="4D925EBD" w14:textId="77777777" w:rsidR="00ED7609" w:rsidRPr="00E01FB1" w:rsidRDefault="00ED7609" w:rsidP="00E01FB1">
            <w:pPr>
              <w:pStyle w:val="NoSpacing"/>
              <w:rPr>
                <w:sz w:val="18"/>
                <w:szCs w:val="18"/>
              </w:rPr>
            </w:pPr>
            <w:r w:rsidRPr="00E01FB1">
              <w:rPr>
                <w:i/>
                <w:iCs/>
                <w:sz w:val="18"/>
                <w:szCs w:val="18"/>
              </w:rPr>
              <w:t>Adams v. DeWine</w:t>
            </w:r>
            <w:r w:rsidRPr="00E01FB1">
              <w:rPr>
                <w:sz w:val="18"/>
                <w:szCs w:val="18"/>
              </w:rPr>
              <w:t>, No. 2021–1428 (Ohio Dec. 2, 2021).</w:t>
            </w:r>
          </w:p>
          <w:p w14:paraId="03495400" w14:textId="77777777" w:rsidR="00ED7609" w:rsidRPr="00E01FB1" w:rsidRDefault="00ED7609" w:rsidP="00E01FB1">
            <w:pPr>
              <w:pStyle w:val="NoSpacing"/>
              <w:rPr>
                <w:sz w:val="18"/>
                <w:szCs w:val="18"/>
              </w:rPr>
            </w:pPr>
            <w:r w:rsidRPr="00E01FB1">
              <w:rPr>
                <w:i/>
                <w:iCs/>
                <w:sz w:val="18"/>
                <w:szCs w:val="18"/>
              </w:rPr>
              <w:t>League of Women Voters of Ohio v. Ohio Redistricting Commission</w:t>
            </w:r>
            <w:r w:rsidRPr="00E01FB1">
              <w:rPr>
                <w:sz w:val="18"/>
                <w:szCs w:val="18"/>
              </w:rPr>
              <w:t>, No. 2021–1449 (Ohio Nov. 30, 2021).</w:t>
            </w:r>
          </w:p>
          <w:p w14:paraId="2F284796" w14:textId="77777777" w:rsidR="00ED7609" w:rsidRPr="00E01FB1" w:rsidRDefault="00ED7609" w:rsidP="00E01FB1">
            <w:pPr>
              <w:pStyle w:val="NoSpacing"/>
              <w:rPr>
                <w:sz w:val="18"/>
                <w:szCs w:val="18"/>
              </w:rPr>
            </w:pPr>
            <w:r w:rsidRPr="00E01FB1">
              <w:rPr>
                <w:i/>
                <w:iCs/>
                <w:sz w:val="18"/>
                <w:szCs w:val="18"/>
              </w:rPr>
              <w:t>League of Women Voters of Ohio v. LaRose</w:t>
            </w:r>
            <w:r w:rsidRPr="00E01FB1">
              <w:rPr>
                <w:sz w:val="18"/>
                <w:szCs w:val="18"/>
              </w:rPr>
              <w:t>, No. 2022–0303 (Ohio Mar. 22, 2022).</w:t>
            </w:r>
          </w:p>
          <w:p w14:paraId="374F1931" w14:textId="77777777" w:rsidR="00ED7609" w:rsidRPr="00E01FB1" w:rsidRDefault="00ED7609" w:rsidP="00E01FB1">
            <w:pPr>
              <w:pStyle w:val="NoSpacing"/>
              <w:rPr>
                <w:sz w:val="18"/>
                <w:szCs w:val="18"/>
              </w:rPr>
            </w:pPr>
            <w:r w:rsidRPr="00E01FB1">
              <w:rPr>
                <w:i/>
                <w:iCs/>
                <w:sz w:val="18"/>
                <w:szCs w:val="18"/>
              </w:rPr>
              <w:t>Neiman v. LaRose</w:t>
            </w:r>
            <w:r w:rsidRPr="00E01FB1">
              <w:rPr>
                <w:sz w:val="18"/>
                <w:szCs w:val="18"/>
              </w:rPr>
              <w:t>, No. 2022–0298 (Ohio Mar. 21, 2022).</w:t>
            </w:r>
          </w:p>
        </w:tc>
      </w:tr>
      <w:tr w:rsidR="00ED7609" w:rsidRPr="0080356A" w14:paraId="7FAD07D2" w14:textId="77777777" w:rsidTr="005B1794">
        <w:trPr>
          <w:jc w:val="center"/>
        </w:trPr>
        <w:tc>
          <w:tcPr>
            <w:tcW w:w="0" w:type="auto"/>
          </w:tcPr>
          <w:p w14:paraId="676574DF" w14:textId="77777777" w:rsidR="00ED7609" w:rsidRPr="00E01FB1" w:rsidRDefault="00ED7609" w:rsidP="00E01FB1">
            <w:pPr>
              <w:pStyle w:val="NoSpacing"/>
              <w:rPr>
                <w:i/>
                <w:iCs/>
                <w:sz w:val="18"/>
                <w:szCs w:val="18"/>
              </w:rPr>
            </w:pPr>
            <w:r w:rsidRPr="00E01FB1">
              <w:rPr>
                <w:i/>
                <w:iCs/>
                <w:sz w:val="18"/>
                <w:szCs w:val="18"/>
              </w:rPr>
              <w:t>Oregon</w:t>
            </w:r>
          </w:p>
        </w:tc>
        <w:tc>
          <w:tcPr>
            <w:tcW w:w="0" w:type="auto"/>
          </w:tcPr>
          <w:p w14:paraId="3A418C38" w14:textId="77777777" w:rsidR="00ED7609" w:rsidRPr="00E01FB1" w:rsidRDefault="00ED7609" w:rsidP="00E01FB1">
            <w:pPr>
              <w:pStyle w:val="NoSpacing"/>
              <w:rPr>
                <w:i/>
                <w:iCs/>
                <w:sz w:val="18"/>
                <w:szCs w:val="18"/>
              </w:rPr>
            </w:pPr>
            <w:proofErr w:type="spellStart"/>
            <w:r w:rsidRPr="00E01FB1">
              <w:rPr>
                <w:i/>
                <w:iCs/>
                <w:sz w:val="18"/>
                <w:szCs w:val="18"/>
              </w:rPr>
              <w:t>Clarno</w:t>
            </w:r>
            <w:proofErr w:type="spellEnd"/>
            <w:r w:rsidRPr="00E01FB1">
              <w:rPr>
                <w:i/>
                <w:iCs/>
                <w:sz w:val="18"/>
                <w:szCs w:val="18"/>
              </w:rPr>
              <w:t xml:space="preserve"> v. Fagan</w:t>
            </w:r>
            <w:r w:rsidRPr="00E01FB1">
              <w:rPr>
                <w:sz w:val="18"/>
                <w:szCs w:val="18"/>
              </w:rPr>
              <w:t>, No. 21-CV-40180, 2021 WL 5632370 (Or. Cir. Ct. Nov. 24, 2021).</w:t>
            </w:r>
          </w:p>
        </w:tc>
      </w:tr>
      <w:tr w:rsidR="00ED7609" w:rsidRPr="0080356A" w14:paraId="31BA94B6" w14:textId="77777777" w:rsidTr="005B1794">
        <w:trPr>
          <w:jc w:val="center"/>
        </w:trPr>
        <w:tc>
          <w:tcPr>
            <w:tcW w:w="0" w:type="auto"/>
          </w:tcPr>
          <w:p w14:paraId="2C120E6F" w14:textId="77777777" w:rsidR="00ED7609" w:rsidRPr="00E01FB1" w:rsidRDefault="00ED7609" w:rsidP="00E01FB1">
            <w:pPr>
              <w:pStyle w:val="NoSpacing"/>
              <w:rPr>
                <w:i/>
                <w:iCs/>
                <w:sz w:val="18"/>
                <w:szCs w:val="18"/>
              </w:rPr>
            </w:pPr>
            <w:r w:rsidRPr="00E01FB1">
              <w:rPr>
                <w:i/>
                <w:iCs/>
                <w:sz w:val="18"/>
                <w:szCs w:val="18"/>
              </w:rPr>
              <w:t>Pennsylvania (2018)</w:t>
            </w:r>
          </w:p>
        </w:tc>
        <w:tc>
          <w:tcPr>
            <w:tcW w:w="0" w:type="auto"/>
          </w:tcPr>
          <w:p w14:paraId="4BC077A3" w14:textId="77777777" w:rsidR="00ED7609" w:rsidRPr="00E01FB1" w:rsidRDefault="00ED7609" w:rsidP="00E01FB1">
            <w:pPr>
              <w:pStyle w:val="NoSpacing"/>
              <w:rPr>
                <w:sz w:val="18"/>
                <w:szCs w:val="18"/>
              </w:rPr>
            </w:pPr>
            <w:r w:rsidRPr="00E01FB1">
              <w:rPr>
                <w:i/>
                <w:iCs/>
                <w:sz w:val="18"/>
                <w:szCs w:val="18"/>
              </w:rPr>
              <w:t>League of Women Voters of Pa. v. Commonwealth</w:t>
            </w:r>
            <w:r w:rsidRPr="00E01FB1">
              <w:rPr>
                <w:sz w:val="18"/>
                <w:szCs w:val="18"/>
              </w:rPr>
              <w:t>, 178 A.3d 737 (Pa. 2018).</w:t>
            </w:r>
          </w:p>
        </w:tc>
      </w:tr>
      <w:tr w:rsidR="00ED7609" w:rsidRPr="0080356A" w14:paraId="1330B85E" w14:textId="77777777" w:rsidTr="005B1794">
        <w:trPr>
          <w:jc w:val="center"/>
        </w:trPr>
        <w:tc>
          <w:tcPr>
            <w:tcW w:w="0" w:type="auto"/>
          </w:tcPr>
          <w:p w14:paraId="5DE7E48E" w14:textId="77777777" w:rsidR="00ED7609" w:rsidRPr="00E01FB1" w:rsidRDefault="00ED7609" w:rsidP="00E01FB1">
            <w:pPr>
              <w:pStyle w:val="NoSpacing"/>
              <w:rPr>
                <w:i/>
                <w:iCs/>
                <w:sz w:val="18"/>
                <w:szCs w:val="18"/>
              </w:rPr>
            </w:pPr>
            <w:r w:rsidRPr="00E01FB1">
              <w:rPr>
                <w:i/>
                <w:iCs/>
                <w:sz w:val="18"/>
                <w:szCs w:val="18"/>
              </w:rPr>
              <w:t>Pennsylvania (2022)</w:t>
            </w:r>
          </w:p>
        </w:tc>
        <w:tc>
          <w:tcPr>
            <w:tcW w:w="0" w:type="auto"/>
          </w:tcPr>
          <w:p w14:paraId="2437FEA5" w14:textId="77777777" w:rsidR="00ED7609" w:rsidRPr="00E01FB1" w:rsidRDefault="00ED7609" w:rsidP="00E01FB1">
            <w:pPr>
              <w:pStyle w:val="NoSpacing"/>
              <w:rPr>
                <w:sz w:val="18"/>
                <w:szCs w:val="18"/>
              </w:rPr>
            </w:pPr>
            <w:r w:rsidRPr="00E01FB1">
              <w:rPr>
                <w:i/>
                <w:iCs/>
                <w:sz w:val="18"/>
                <w:szCs w:val="18"/>
              </w:rPr>
              <w:t>Carter v. Chapman</w:t>
            </w:r>
            <w:r w:rsidRPr="00E01FB1">
              <w:rPr>
                <w:sz w:val="18"/>
                <w:szCs w:val="18"/>
              </w:rPr>
              <w:t>, 7 MM 2022 (Pa. Mar. 9, 2022).</w:t>
            </w:r>
          </w:p>
        </w:tc>
      </w:tr>
      <w:tr w:rsidR="00ED7609" w:rsidRPr="0080356A" w14:paraId="012A0214" w14:textId="77777777" w:rsidTr="005B1794">
        <w:trPr>
          <w:jc w:val="center"/>
        </w:trPr>
        <w:tc>
          <w:tcPr>
            <w:tcW w:w="0" w:type="auto"/>
          </w:tcPr>
          <w:p w14:paraId="4F1D9902" w14:textId="77777777" w:rsidR="00ED7609" w:rsidRPr="00E01FB1" w:rsidRDefault="00ED7609" w:rsidP="00E01FB1">
            <w:pPr>
              <w:pStyle w:val="NoSpacing"/>
              <w:rPr>
                <w:i/>
                <w:iCs/>
                <w:sz w:val="18"/>
                <w:szCs w:val="18"/>
              </w:rPr>
            </w:pPr>
            <w:r w:rsidRPr="00E01FB1">
              <w:rPr>
                <w:i/>
                <w:iCs/>
                <w:sz w:val="18"/>
                <w:szCs w:val="18"/>
              </w:rPr>
              <w:lastRenderedPageBreak/>
              <w:t>Utah</w:t>
            </w:r>
          </w:p>
        </w:tc>
        <w:tc>
          <w:tcPr>
            <w:tcW w:w="0" w:type="auto"/>
          </w:tcPr>
          <w:p w14:paraId="3D83B7AB" w14:textId="77777777" w:rsidR="00ED7609" w:rsidRPr="00E01FB1" w:rsidRDefault="00ED7609" w:rsidP="00E01FB1">
            <w:pPr>
              <w:pStyle w:val="NoSpacing"/>
              <w:rPr>
                <w:i/>
                <w:iCs/>
                <w:sz w:val="18"/>
                <w:szCs w:val="18"/>
              </w:rPr>
            </w:pPr>
            <w:r w:rsidRPr="00E01FB1">
              <w:rPr>
                <w:i/>
                <w:iCs/>
                <w:sz w:val="18"/>
                <w:szCs w:val="18"/>
              </w:rPr>
              <w:t>League of Women Voters of Utah v. Utah State Legislature</w:t>
            </w:r>
            <w:r w:rsidRPr="00E01FB1">
              <w:rPr>
                <w:sz w:val="18"/>
                <w:szCs w:val="18"/>
              </w:rPr>
              <w:t>, No. 220901712 (Utah D. Ct. Mar. 17, 2022).</w:t>
            </w:r>
          </w:p>
        </w:tc>
      </w:tr>
      <w:tr w:rsidR="00ED7609" w:rsidRPr="0080356A" w14:paraId="288F4B53" w14:textId="77777777" w:rsidTr="005B1794">
        <w:trPr>
          <w:jc w:val="center"/>
        </w:trPr>
        <w:tc>
          <w:tcPr>
            <w:tcW w:w="0" w:type="auto"/>
          </w:tcPr>
          <w:p w14:paraId="439E5C68" w14:textId="77777777" w:rsidR="00ED7609" w:rsidRPr="00E01FB1" w:rsidRDefault="00ED7609" w:rsidP="00E01FB1">
            <w:pPr>
              <w:pStyle w:val="NoSpacing"/>
              <w:rPr>
                <w:i/>
                <w:iCs/>
                <w:sz w:val="18"/>
                <w:szCs w:val="18"/>
              </w:rPr>
            </w:pPr>
            <w:r w:rsidRPr="00E01FB1">
              <w:rPr>
                <w:i/>
                <w:iCs/>
                <w:sz w:val="18"/>
                <w:szCs w:val="18"/>
              </w:rPr>
              <w:t>Wisconsin</w:t>
            </w:r>
          </w:p>
        </w:tc>
        <w:tc>
          <w:tcPr>
            <w:tcW w:w="0" w:type="auto"/>
          </w:tcPr>
          <w:p w14:paraId="2D4BE2E4" w14:textId="77777777" w:rsidR="00ED7609" w:rsidRPr="00E01FB1" w:rsidRDefault="00ED7609" w:rsidP="00E01FB1">
            <w:pPr>
              <w:pStyle w:val="NoSpacing"/>
              <w:rPr>
                <w:sz w:val="18"/>
                <w:szCs w:val="18"/>
              </w:rPr>
            </w:pPr>
            <w:r w:rsidRPr="00E01FB1">
              <w:rPr>
                <w:i/>
                <w:iCs/>
                <w:sz w:val="18"/>
                <w:szCs w:val="18"/>
              </w:rPr>
              <w:t>Johnson v. Wis. Elections Comm’n</w:t>
            </w:r>
            <w:r w:rsidRPr="00E01FB1">
              <w:rPr>
                <w:sz w:val="18"/>
                <w:szCs w:val="18"/>
              </w:rPr>
              <w:t>,</w:t>
            </w:r>
          </w:p>
          <w:p w14:paraId="534C135A" w14:textId="77777777" w:rsidR="00ED7609" w:rsidRPr="00E01FB1" w:rsidRDefault="00ED7609" w:rsidP="00E01FB1">
            <w:pPr>
              <w:pStyle w:val="NoSpacing"/>
              <w:rPr>
                <w:sz w:val="18"/>
                <w:szCs w:val="18"/>
              </w:rPr>
            </w:pPr>
            <w:r w:rsidRPr="00E01FB1">
              <w:rPr>
                <w:sz w:val="18"/>
                <w:szCs w:val="18"/>
              </w:rPr>
              <w:t>No. 2021AP1450-OA (Wis. Oct. 6, 2021).</w:t>
            </w:r>
          </w:p>
        </w:tc>
      </w:tr>
    </w:tbl>
    <w:p w14:paraId="0FFACC3F" w14:textId="77777777" w:rsidR="001E504D" w:rsidRDefault="001E504D" w:rsidP="001E504D">
      <w:pPr>
        <w:pStyle w:val="BodyText"/>
      </w:pPr>
      <w:bookmarkStart w:id="426" w:name="_Hlk527583727"/>
    </w:p>
    <w:p w14:paraId="6BC919A4" w14:textId="3EFD217F" w:rsidR="001E504D" w:rsidRDefault="001E504D" w:rsidP="001E504D">
      <w:pPr>
        <w:pStyle w:val="BodyText"/>
        <w:rPr>
          <w:bCs/>
        </w:rPr>
      </w:pPr>
      <w:r>
        <w:t xml:space="preserve">Now that we </w:t>
      </w:r>
      <w:r w:rsidRPr="00BB6CFD">
        <w:t>have specified which states</w:t>
      </w:r>
      <w:r>
        <w:t xml:space="preserve"> had litigation before the 2022 midterm election, we discuss these court cases and their consequences in more detail.  We start by discussing the states where no direct language prohibits gerrymandering</w:t>
      </w:r>
      <w:r w:rsidRPr="00F912CF">
        <w:t>,</w:t>
      </w:r>
      <w:r>
        <w:t xml:space="preserve"> but there is indirect language that was used as the basis </w:t>
      </w:r>
      <w:r w:rsidRPr="00BB6CFD">
        <w:t>of a claim of partisan gerrymandering.</w:t>
      </w:r>
      <w:r>
        <w:t xml:space="preserve">  </w:t>
      </w:r>
      <w:r w:rsidRPr="00BB6CFD">
        <w:t>In these cases, generally</w:t>
      </w:r>
      <w:r w:rsidRPr="00F912CF">
        <w:t>,</w:t>
      </w:r>
      <w:r w:rsidRPr="00BB6CFD">
        <w:t xml:space="preserve"> a non-dilutive remedy plan was put into place </w:t>
      </w:r>
      <w:r w:rsidRPr="003078EE">
        <w:t xml:space="preserve">by a state court. </w:t>
      </w:r>
      <w:r>
        <w:t xml:space="preserve"> </w:t>
      </w:r>
      <w:r w:rsidRPr="003078EE">
        <w:t>We then move to cases where there is direct language in state law that can be used as the basis for the claim of unconstitutional partisan gerrymandering.</w:t>
      </w:r>
      <w:r>
        <w:t xml:space="preserve">  </w:t>
      </w:r>
      <w:r w:rsidRPr="003078EE">
        <w:t>Finally</w:t>
      </w:r>
      <w:r>
        <w:t xml:space="preserve">, we discuss the states where there were cases brought in </w:t>
      </w:r>
      <w:r w:rsidRPr="003078EE">
        <w:t>state court raising a partisan gerrymandering claim</w:t>
      </w:r>
      <w:r w:rsidRPr="00F912CF">
        <w:t>,</w:t>
      </w:r>
      <w:r w:rsidRPr="003078EE">
        <w:t xml:space="preserve"> but there is neither dire</w:t>
      </w:r>
      <w:r>
        <w:t xml:space="preserve">ct nor indirect language in state law prohibiting partisan gerrymandering.  </w:t>
      </w:r>
      <w:r w:rsidRPr="003078EE">
        <w:rPr>
          <w:bCs/>
        </w:rPr>
        <w:t xml:space="preserve">These cases were generally unsuccessful. </w:t>
      </w:r>
    </w:p>
    <w:p w14:paraId="1C465B0A" w14:textId="2D997C22" w:rsidR="001E504D" w:rsidRPr="001E504D" w:rsidRDefault="001E504D" w:rsidP="001E504D">
      <w:pPr>
        <w:pStyle w:val="BodyText"/>
        <w:rPr>
          <w:bCs/>
        </w:rPr>
      </w:pPr>
      <w:r w:rsidRPr="003078EE">
        <w:rPr>
          <w:bCs/>
        </w:rPr>
        <w:t>Our next set of states are those without cases making a partisan gerrymandering claim but where there was nonetheless state court action arising through the failure of the responsible districting authorities to act in a timely fashion.</w:t>
      </w:r>
      <w:r>
        <w:rPr>
          <w:bCs/>
        </w:rPr>
        <w:t xml:space="preserve">  </w:t>
      </w:r>
      <w:r w:rsidRPr="003078EE">
        <w:rPr>
          <w:bCs/>
        </w:rPr>
        <w:t>Then we consider cases that are still pending</w:t>
      </w:r>
      <w:ins w:id="427" w:author="Jonathan Cervas" w:date="2023-06-23T12:19:00Z">
        <w:r w:rsidR="00283E39">
          <w:rPr>
            <w:bCs/>
          </w:rPr>
          <w:t xml:space="preserve"> (circa November 2022)</w:t>
        </w:r>
      </w:ins>
      <w:r w:rsidRPr="003078EE">
        <w:rPr>
          <w:bCs/>
        </w:rPr>
        <w:t xml:space="preserve"> where partisan gerrymandering effects are implicated, including some where a partisan gerrymandering claim i</w:t>
      </w:r>
      <w:r>
        <w:rPr>
          <w:bCs/>
        </w:rPr>
        <w:t>s</w:t>
      </w:r>
      <w:r w:rsidRPr="003078EE">
        <w:rPr>
          <w:bCs/>
        </w:rPr>
        <w:t xml:space="preserve"> not the basis of the litigation.</w:t>
      </w:r>
    </w:p>
    <w:p w14:paraId="681DB31F" w14:textId="09339E23" w:rsidR="002434F5" w:rsidRPr="00E8520A" w:rsidRDefault="008D703D" w:rsidP="00ED7609">
      <w:pPr>
        <w:pStyle w:val="Heading3"/>
      </w:pPr>
      <w:r>
        <w:t xml:space="preserve">Cases Where There Was a Partisan Gerrymandering Challenged Based on Indirect Constitutional Language </w:t>
      </w:r>
      <w:r w:rsidR="00414F57">
        <w:t>Prohibiting Partisan Gerrymanderin</w:t>
      </w:r>
      <w:bookmarkStart w:id="428" w:name="_Ref115632991"/>
      <w:bookmarkStart w:id="429" w:name="_Ref120040280"/>
      <w:bookmarkStart w:id="430" w:name="_Hlk527583872"/>
      <w:bookmarkStart w:id="431" w:name="_Hlk527583758"/>
      <w:bookmarkEnd w:id="426"/>
      <w:r w:rsidR="00ED7609">
        <w:t>g</w:t>
      </w:r>
    </w:p>
    <w:bookmarkEnd w:id="428"/>
    <w:bookmarkEnd w:id="429"/>
    <w:p w14:paraId="008295B3" w14:textId="7F1BD704" w:rsidR="001701F0" w:rsidRPr="0044713E" w:rsidRDefault="001701F0" w:rsidP="001701F0">
      <w:pPr>
        <w:pStyle w:val="Heading4"/>
        <w:numPr>
          <w:ilvl w:val="0"/>
          <w:numId w:val="49"/>
        </w:numPr>
        <w:tabs>
          <w:tab w:val="num" w:pos="1800"/>
        </w:tabs>
        <w:ind w:left="1440"/>
      </w:pPr>
      <w:r>
        <w:t>Maryland</w:t>
      </w:r>
    </w:p>
    <w:p w14:paraId="692399DF" w14:textId="77777777" w:rsidR="00E70D0A" w:rsidRDefault="00E70D0A" w:rsidP="00E70D0A">
      <w:pPr>
        <w:pStyle w:val="BodyText"/>
      </w:pPr>
      <w:r>
        <w:t>Maryland was the subject of an unsuccessful federal lawsuit in the 2010 cycle challenging the Democratic</w:t>
      </w:r>
      <w:r w:rsidRPr="00F912CF">
        <w:t>-</w:t>
      </w:r>
      <w:r>
        <w:t>drawn map as a partisan gerrymander.</w:t>
      </w:r>
      <w:commentRangeStart w:id="432"/>
      <w:r w:rsidRPr="0078695B">
        <w:rPr>
          <w:rStyle w:val="FootnoteReference"/>
        </w:rPr>
        <w:footnoteReference w:id="174"/>
      </w:r>
      <w:commentRangeEnd w:id="432"/>
      <w:r>
        <w:rPr>
          <w:rStyle w:val="CommentReference"/>
        </w:rPr>
        <w:commentReference w:id="432"/>
      </w:r>
      <w:r>
        <w:t xml:space="preserve">  That case was combined with </w:t>
      </w:r>
      <w:r w:rsidRPr="00E70D0A">
        <w:rPr>
          <w:i/>
          <w:iCs/>
        </w:rPr>
        <w:t>Rucho,</w:t>
      </w:r>
      <w:r>
        <w:t xml:space="preserve"> and the U.S. Supreme Court ruled that partisan gerrymandering was not judiciable in federal court.</w:t>
      </w:r>
      <w:r w:rsidRPr="0078695B">
        <w:rPr>
          <w:rStyle w:val="FootnoteReference"/>
        </w:rPr>
        <w:footnoteReference w:id="175"/>
      </w:r>
      <w:r>
        <w:t xml:space="preserve">  In both the 2010 and 2020 cycle, Democrats had partisan </w:t>
      </w:r>
      <w:r>
        <w:lastRenderedPageBreak/>
        <w:t>control over redistricting.</w:t>
      </w:r>
      <w:bookmarkStart w:id="444" w:name="_Ref138415801"/>
      <w:r w:rsidRPr="0078695B">
        <w:rPr>
          <w:rStyle w:val="FootnoteReference"/>
        </w:rPr>
        <w:footnoteReference w:id="176"/>
      </w:r>
      <w:bookmarkEnd w:id="444"/>
      <w:r>
        <w:t xml:space="preserve">  In 2010, Democrats controlled both chambers of the legislature and held the governorship.</w:t>
      </w:r>
      <w:r w:rsidRPr="0078695B">
        <w:rPr>
          <w:rStyle w:val="FootnoteReference"/>
        </w:rPr>
        <w:footnoteReference w:id="177"/>
      </w:r>
      <w:r>
        <w:t xml:space="preserve">  In 2020, they held both chambers with supermajorities, but there was a Republican governor.</w:t>
      </w:r>
      <w:r w:rsidRPr="0078695B">
        <w:rPr>
          <w:rStyle w:val="FootnoteReference"/>
        </w:rPr>
        <w:footnoteReference w:id="178"/>
      </w:r>
      <w:r>
        <w:t xml:space="preserve">  After the Democratic legislature passed a map, the Republican governor vetoed the map, but that veto was overridden.</w:t>
      </w:r>
      <w:r w:rsidRPr="0078695B">
        <w:rPr>
          <w:rStyle w:val="FootnoteReference"/>
        </w:rPr>
        <w:footnoteReference w:id="179"/>
      </w:r>
      <w:r>
        <w:t xml:space="preserve">  Republicans filed a lawsuit against the state.</w:t>
      </w:r>
      <w:r w:rsidRPr="0078695B">
        <w:rPr>
          <w:rStyle w:val="FootnoteReference"/>
        </w:rPr>
        <w:footnoteReference w:id="180"/>
      </w:r>
      <w:r>
        <w:t xml:space="preserve"> </w:t>
      </w:r>
    </w:p>
    <w:p w14:paraId="15D2E8C4" w14:textId="5963FB31" w:rsidR="00E70D0A" w:rsidRDefault="00E70D0A" w:rsidP="00E70D0A">
      <w:pPr>
        <w:pStyle w:val="BodyText"/>
      </w:pPr>
      <w:r>
        <w:t>The state court heard testimony and fact-</w:t>
      </w:r>
      <w:r w:rsidRPr="00355298">
        <w:t>finding.</w:t>
      </w:r>
      <w:r w:rsidRPr="0078695B">
        <w:rPr>
          <w:rStyle w:val="FootnoteReference"/>
        </w:rPr>
        <w:footnoteReference w:id="181"/>
      </w:r>
      <w:r>
        <w:t xml:space="preserve">  T</w:t>
      </w:r>
      <w:r w:rsidRPr="00355298">
        <w:t xml:space="preserve">he court found that the map was an </w:t>
      </w:r>
      <w:del w:id="465" w:author="Jonathan Cervas" w:date="2023-06-23T14:13:00Z">
        <w:r w:rsidRPr="00355298" w:rsidDel="00E61828">
          <w:delText xml:space="preserve">extreme </w:delText>
        </w:r>
      </w:del>
      <w:ins w:id="466" w:author="Jonathan Cervas" w:date="2023-06-23T14:13:00Z">
        <w:r w:rsidR="00E61828">
          <w:t>partisan</w:t>
        </w:r>
        <w:r w:rsidR="00E61828" w:rsidRPr="00355298">
          <w:t xml:space="preserve"> </w:t>
        </w:r>
      </w:ins>
      <w:r w:rsidRPr="00355298">
        <w:t>gerrymander that subordinated constitutional criteria</w:t>
      </w:r>
      <w:r w:rsidRPr="006531A8">
        <w:t xml:space="preserve"> to political considerations</w:t>
      </w:r>
      <w:r>
        <w:t>.</w:t>
      </w:r>
      <w:r w:rsidRPr="0078695B">
        <w:rPr>
          <w:rStyle w:val="FootnoteReference"/>
        </w:rPr>
        <w:footnoteReference w:id="182"/>
      </w:r>
      <w:r>
        <w:t xml:space="preserve">  It found that it was an “</w:t>
      </w:r>
      <w:r w:rsidRPr="006531A8">
        <w:t>outlier</w:t>
      </w:r>
      <w:r>
        <w:t>” compared to neutrally drawn maps.</w:t>
      </w:r>
      <w:r w:rsidRPr="0078695B">
        <w:rPr>
          <w:rStyle w:val="FootnoteReference"/>
        </w:rPr>
        <w:footnoteReference w:id="183"/>
      </w:r>
      <w:r>
        <w:t xml:space="preserve">  There is no explicit provision in the Maryland C</w:t>
      </w:r>
      <w:r w:rsidRPr="009E6B1A">
        <w:t>onstitution</w:t>
      </w:r>
      <w:r w:rsidRPr="002F7E18">
        <w:t xml:space="preserve"> concerning partisanship in the context of Congressional districting.</w:t>
      </w:r>
      <w:r w:rsidRPr="0078695B">
        <w:rPr>
          <w:rStyle w:val="FootnoteReference"/>
        </w:rPr>
        <w:footnoteReference w:id="184"/>
      </w:r>
      <w:r>
        <w:t xml:space="preserve"> </w:t>
      </w:r>
      <w:r w:rsidRPr="005F51A4">
        <w:t xml:space="preserve"> </w:t>
      </w:r>
      <w:r w:rsidRPr="002F7E18">
        <w:t xml:space="preserve">The </w:t>
      </w:r>
      <w:r>
        <w:t>Maryland</w:t>
      </w:r>
      <w:r w:rsidRPr="002F7E18">
        <w:t xml:space="preserve"> Supreme Court, like these other courts, found indirect language in its </w:t>
      </w:r>
      <w:r>
        <w:t>C</w:t>
      </w:r>
      <w:r w:rsidRPr="009E6B1A">
        <w:t>onstitution</w:t>
      </w:r>
      <w:r w:rsidRPr="002F7E18">
        <w:t xml:space="preserve"> that it interpreted as a prohibition on </w:t>
      </w:r>
      <w:del w:id="478" w:author="Jonathan Cervas" w:date="2023-06-23T14:12:00Z">
        <w:r w:rsidRPr="002F7E18" w:rsidDel="00E61828">
          <w:delText xml:space="preserve">egregious </w:delText>
        </w:r>
      </w:del>
      <w:r w:rsidRPr="002F7E18">
        <w:t>partisan gerrymandering.</w:t>
      </w:r>
      <w:r w:rsidRPr="0078695B">
        <w:rPr>
          <w:rStyle w:val="FootnoteReference"/>
        </w:rPr>
        <w:footnoteReference w:id="185"/>
      </w:r>
      <w:r>
        <w:t xml:space="preserve">  </w:t>
      </w:r>
      <w:r w:rsidRPr="002F7E18">
        <w:t>The</w:t>
      </w:r>
      <w:r>
        <w:t xml:space="preserve"> court stated that “[o]</w:t>
      </w:r>
      <w:proofErr w:type="spellStart"/>
      <w:r w:rsidRPr="000A0124">
        <w:t>ur</w:t>
      </w:r>
      <w:proofErr w:type="spellEnd"/>
      <w:r w:rsidRPr="000A0124">
        <w:t xml:space="preserve"> jurisprudence in Maryland indicates that the Free Elections Clause has been broadly interpreted to apply to legislation that infringes upon the right of political participation by citizens of the State</w:t>
      </w:r>
      <w:r w:rsidRPr="005F51A4">
        <w:t>,”</w:t>
      </w:r>
      <w:r>
        <w:t xml:space="preserve"> including congressional redistricting.</w:t>
      </w:r>
      <w:r w:rsidRPr="0078695B">
        <w:rPr>
          <w:rStyle w:val="FootnoteReference"/>
        </w:rPr>
        <w:footnoteReference w:id="186"/>
      </w:r>
    </w:p>
    <w:p w14:paraId="57385821" w14:textId="77777777" w:rsidR="00E70D0A" w:rsidRDefault="00E70D0A" w:rsidP="00E70D0A">
      <w:pPr>
        <w:pStyle w:val="BodyText"/>
      </w:pPr>
      <w:r>
        <w:t xml:space="preserve">Maryland’s outcome differs from that of other states.  </w:t>
      </w:r>
      <w:r w:rsidRPr="007B6EDF">
        <w:t>Courts typically allowed the legislature an opportunity to enact a legal map, but if it fails, the court itself ended up crafting the remedy.</w:t>
      </w:r>
      <w:r w:rsidRPr="0078695B">
        <w:rPr>
          <w:rStyle w:val="FootnoteReference"/>
        </w:rPr>
        <w:footnoteReference w:id="187"/>
      </w:r>
      <w:r w:rsidRPr="00AC42C3">
        <w:t xml:space="preserve"> </w:t>
      </w:r>
      <w:r>
        <w:t xml:space="preserve"> </w:t>
      </w:r>
      <w:r w:rsidRPr="00AC42C3">
        <w:t xml:space="preserve">In Maryland, the </w:t>
      </w:r>
      <w:r w:rsidRPr="00AC42C3">
        <w:lastRenderedPageBreak/>
        <w:t>legislature took the opportunity to draw a new map that met the approval of both the governor and the state c</w:t>
      </w:r>
      <w:r>
        <w:t>ourt.</w:t>
      </w:r>
      <w:r w:rsidRPr="0078695B">
        <w:rPr>
          <w:rStyle w:val="FootnoteReference"/>
        </w:rPr>
        <w:footnoteReference w:id="188"/>
      </w:r>
    </w:p>
    <w:p w14:paraId="743230AD" w14:textId="2ED6734C" w:rsidR="00E70D0A" w:rsidRPr="0044713E" w:rsidRDefault="00555B54" w:rsidP="003C5415">
      <w:pPr>
        <w:pStyle w:val="Heading4"/>
        <w:numPr>
          <w:ilvl w:val="0"/>
          <w:numId w:val="49"/>
        </w:numPr>
        <w:ind w:left="1440"/>
      </w:pPr>
      <w:r>
        <w:t>North Carolina</w:t>
      </w:r>
    </w:p>
    <w:p w14:paraId="6FF745FD" w14:textId="796A2F87" w:rsidR="00555B54" w:rsidRDefault="00555B54" w:rsidP="00555B54">
      <w:pPr>
        <w:pStyle w:val="BodyText"/>
      </w:pPr>
      <w:r>
        <w:t xml:space="preserve">North Carolina does not have direct language in its Constitution that prohibits the legislature from drawing a partisan gerrymandering but does have provisions promoting voting rights that can be interpreted to </w:t>
      </w:r>
      <w:r w:rsidRPr="0073698D">
        <w:t xml:space="preserve">prohibit </w:t>
      </w:r>
      <w:r>
        <w:t>gerrymandering.</w:t>
      </w:r>
      <w:r w:rsidRPr="0078695B">
        <w:rPr>
          <w:rStyle w:val="FootnoteReference"/>
        </w:rPr>
        <w:footnoteReference w:id="189"/>
      </w:r>
      <w:r>
        <w:t xml:space="preserve">  North Carolina’s redistricting process was controlled by Republicans for the entirety of the 2010 cycle.</w:t>
      </w:r>
      <w:r w:rsidRPr="0078695B">
        <w:rPr>
          <w:rStyle w:val="FootnoteReference"/>
        </w:rPr>
        <w:footnoteReference w:id="190"/>
      </w:r>
      <w:r>
        <w:t xml:space="preserve">  The plan originally enacted at the decade’s dawn was struck down in federal court as a racial gerrymander.</w:t>
      </w:r>
      <w:r w:rsidRPr="0078695B">
        <w:rPr>
          <w:rStyle w:val="FootnoteReference"/>
        </w:rPr>
        <w:footnoteReference w:id="191"/>
      </w:r>
      <w:r>
        <w:t xml:space="preserve">  In replacing that plan, the legislature said it relied on partisanship as the predominant motivation for decisions about where to draw the lines.</w:t>
      </w:r>
      <w:r w:rsidRPr="0078695B">
        <w:rPr>
          <w:rStyle w:val="FootnoteReference"/>
        </w:rPr>
        <w:footnoteReference w:id="192"/>
      </w:r>
      <w:r>
        <w:t xml:space="preserve">  Plaintiffs in </w:t>
      </w:r>
      <w:r w:rsidRPr="00555B54">
        <w:rPr>
          <w:i/>
          <w:iCs/>
        </w:rPr>
        <w:t>Harper v. Lewis</w:t>
      </w:r>
      <w:r w:rsidRPr="0078695B">
        <w:rPr>
          <w:rStyle w:val="FootnoteReference"/>
        </w:rPr>
        <w:footnoteReference w:id="193"/>
      </w:r>
      <w:r>
        <w:t xml:space="preserve"> argued that the legislature drew the plan with the expressed intent to maximize Republican advantage and that the </w:t>
      </w:r>
      <w:r w:rsidRPr="00DD70D3">
        <w:t>2016 congressional districts are extreme partisan gerrymanders in violation of the North Carolina Constitution's Free Elections Clause</w:t>
      </w:r>
      <w:r>
        <w:t>,</w:t>
      </w:r>
      <w:r w:rsidRPr="0078695B">
        <w:rPr>
          <w:rStyle w:val="FootnoteReference"/>
        </w:rPr>
        <w:footnoteReference w:id="194"/>
      </w:r>
      <w:r w:rsidRPr="00DD70D3">
        <w:t xml:space="preserve"> Equal Protection Clause,</w:t>
      </w:r>
      <w:r w:rsidRPr="0078695B">
        <w:rPr>
          <w:rStyle w:val="FootnoteReference"/>
        </w:rPr>
        <w:footnoteReference w:id="195"/>
      </w:r>
      <w:r w:rsidRPr="00DD70D3">
        <w:t xml:space="preserve"> and Freedom of Speech and Freedom of Assembly Clauses</w:t>
      </w:r>
      <w:r>
        <w:t>.</w:t>
      </w:r>
      <w:r w:rsidRPr="0078695B">
        <w:rPr>
          <w:rStyle w:val="FootnoteReference"/>
        </w:rPr>
        <w:footnoteReference w:id="196"/>
      </w:r>
      <w:r>
        <w:t xml:space="preserve">  The state court then </w:t>
      </w:r>
      <w:r w:rsidRPr="002D4D02">
        <w:t xml:space="preserve">forced the legislature to offer a new map and required that </w:t>
      </w:r>
      <w:r>
        <w:t>the remedy</w:t>
      </w:r>
      <w:r w:rsidRPr="002D4D02">
        <w:t xml:space="preserve"> be one in which</w:t>
      </w:r>
      <w:r>
        <w:t xml:space="preserve"> </w:t>
      </w:r>
      <w:r>
        <w:lastRenderedPageBreak/>
        <w:t>partisanship did not predominate.</w:t>
      </w:r>
      <w:r w:rsidRPr="0078695B">
        <w:rPr>
          <w:rStyle w:val="FootnoteReference"/>
        </w:rPr>
        <w:footnoteReference w:id="197"/>
      </w:r>
      <w:r>
        <w:t xml:space="preserve">  The new map prepared by the General Assembly resulted in five Democratic members being elected, out of thirteen.</w:t>
      </w:r>
      <w:commentRangeStart w:id="495"/>
      <w:ins w:id="496" w:author="Jonathan Cervas" w:date="2023-06-29T16:57:00Z">
        <w:r w:rsidR="008C1524">
          <w:rPr>
            <w:rStyle w:val="FootnoteReference"/>
          </w:rPr>
          <w:footnoteReference w:id="198"/>
        </w:r>
        <w:commentRangeEnd w:id="495"/>
        <w:r w:rsidR="008C1524">
          <w:rPr>
            <w:rStyle w:val="CommentReference"/>
            <w:szCs w:val="20"/>
          </w:rPr>
          <w:commentReference w:id="495"/>
        </w:r>
      </w:ins>
      <w:del w:id="498" w:author="Jonathan Cervas" w:date="2023-06-29T16:57:00Z">
        <w:r w:rsidRPr="0078695B" w:rsidDel="008C1524">
          <w:rPr>
            <w:rStyle w:val="FootnoteReference"/>
          </w:rPr>
          <w:footnoteReference w:id="199"/>
        </w:r>
      </w:del>
      <w:r>
        <w:t xml:space="preserve">  In the previous election, Democrats only held three of the thirteen seats in Congress.</w:t>
      </w:r>
      <w:del w:id="501" w:author="Jonathan Cervas" w:date="2023-06-29T16:57:00Z">
        <w:r w:rsidRPr="0078695B" w:rsidDel="008C1524">
          <w:rPr>
            <w:rStyle w:val="FootnoteReference"/>
          </w:rPr>
          <w:footnoteReference w:id="200"/>
        </w:r>
      </w:del>
      <w:ins w:id="504" w:author="Jonathan Cervas" w:date="2023-06-29T16:57:00Z">
        <w:r w:rsidR="008C1524">
          <w:rPr>
            <w:rStyle w:val="FootnoteReference"/>
          </w:rPr>
          <w:footnoteReference w:id="201"/>
        </w:r>
      </w:ins>
    </w:p>
    <w:p w14:paraId="51E9F68C" w14:textId="4560255E" w:rsidR="002434F5" w:rsidRDefault="00555B54" w:rsidP="00555B54">
      <w:pPr>
        <w:pStyle w:val="BodyText"/>
      </w:pPr>
      <w:r>
        <w:t>In the 2020 cycle, the Republican legislature maintained its control over redistricting.</w:t>
      </w:r>
      <w:r w:rsidRPr="0078695B">
        <w:rPr>
          <w:rStyle w:val="FootnoteReference"/>
        </w:rPr>
        <w:footnoteReference w:id="202"/>
      </w:r>
      <w:r>
        <w:t xml:space="preserve">  The Governor, who is a Democrat, has no ability to veto a map based on state law.</w:t>
      </w:r>
      <w:r w:rsidRPr="0078695B">
        <w:rPr>
          <w:rStyle w:val="FootnoteReference"/>
        </w:rPr>
        <w:footnoteReference w:id="203"/>
      </w:r>
      <w:r>
        <w:t xml:space="preserve">  The map enacted by the legislature was challenged in state court.</w:t>
      </w:r>
      <w:r w:rsidRPr="0078695B">
        <w:rPr>
          <w:rStyle w:val="FootnoteReference"/>
        </w:rPr>
        <w:footnoteReference w:id="204"/>
      </w:r>
      <w:r>
        <w:t xml:space="preserve">  The court again said that partisan gerrymandering was prohibited by the state constitution.</w:t>
      </w:r>
      <w:r w:rsidRPr="0078695B">
        <w:rPr>
          <w:rStyle w:val="FootnoteReference"/>
        </w:rPr>
        <w:footnoteReference w:id="205"/>
      </w:r>
      <w:r>
        <w:t xml:space="preserve">  The court ruled that the “</w:t>
      </w:r>
      <w:r w:rsidRPr="00571CE6">
        <w:t>constitution’s Declaration of Rights guarantees the equal power of each person’s voice in our government through voting in elections that matter.</w:t>
      </w:r>
      <w:r>
        <w:t>”</w:t>
      </w:r>
      <w:r w:rsidRPr="0078695B">
        <w:rPr>
          <w:rStyle w:val="FootnoteReference"/>
        </w:rPr>
        <w:footnoteReference w:id="206"/>
      </w:r>
      <w:r>
        <w:t xml:space="preserve">  The North Carolina Supreme Court </w:t>
      </w:r>
      <w:r w:rsidRPr="00C057A8">
        <w:t>remand</w:t>
      </w:r>
      <w:r>
        <w:t>ed</w:t>
      </w:r>
      <w:r w:rsidRPr="00C057A8">
        <w:t xml:space="preserve"> th</w:t>
      </w:r>
      <w:r>
        <w:t>e</w:t>
      </w:r>
      <w:r w:rsidRPr="00C057A8">
        <w:t xml:space="preserve"> case back </w:t>
      </w:r>
      <w:r>
        <w:t>to the lower</w:t>
      </w:r>
      <w:r w:rsidRPr="00C057A8">
        <w:t xml:space="preserve"> court to oversee the redrawing of the maps by the General Assembly</w:t>
      </w:r>
      <w:r>
        <w:t>.</w:t>
      </w:r>
      <w:r w:rsidRPr="0078695B">
        <w:rPr>
          <w:rStyle w:val="FootnoteReference"/>
        </w:rPr>
        <w:footnoteReference w:id="207"/>
      </w:r>
      <w:r>
        <w:t xml:space="preserve">  When the General Assembly failed to enact a legal map, the court appointed forty three special masters to oversee the </w:t>
      </w:r>
      <w:r>
        <w:lastRenderedPageBreak/>
        <w:t>drawing of a map.</w:t>
      </w:r>
      <w:r w:rsidRPr="0078695B">
        <w:rPr>
          <w:rStyle w:val="FootnoteReference"/>
        </w:rPr>
        <w:footnoteReference w:id="208"/>
      </w:r>
      <w:r>
        <w:t xml:space="preserve">  </w:t>
      </w:r>
      <w:r w:rsidRPr="00555B54">
        <w:rPr>
          <w:bCs/>
        </w:rPr>
        <w:t>They in turn brought in a technical consultant.</w:t>
      </w:r>
      <w:r w:rsidRPr="0078695B">
        <w:rPr>
          <w:rStyle w:val="FootnoteReference"/>
        </w:rPr>
        <w:footnoteReference w:id="209"/>
      </w:r>
      <w:r>
        <w:t xml:space="preserve">  The court eventually chose </w:t>
      </w:r>
      <w:r w:rsidRPr="00555B54">
        <w:rPr>
          <w:bCs/>
        </w:rPr>
        <w:t>a map prepared by the</w:t>
      </w:r>
      <w:r>
        <w:t xml:space="preserve"> special masters.</w:t>
      </w:r>
      <w:r w:rsidRPr="0078695B">
        <w:rPr>
          <w:rStyle w:val="FootnoteReference"/>
        </w:rPr>
        <w:footnoteReference w:id="210"/>
      </w:r>
    </w:p>
    <w:p w14:paraId="08B7E1A1" w14:textId="746E98D4" w:rsidR="00B81143" w:rsidRDefault="00414F57" w:rsidP="00212B79">
      <w:pPr>
        <w:pStyle w:val="Heading3"/>
      </w:pPr>
      <w:r>
        <w:t>Cases Challenging Partisan Gerrymandering Where There is Direct Constitutional Language Prohibiting Partisan Gerrymandering</w:t>
      </w:r>
    </w:p>
    <w:p w14:paraId="30BECDD9" w14:textId="2E3BEF27" w:rsidR="00446A96" w:rsidRPr="00446A96" w:rsidRDefault="00446A96" w:rsidP="00446A96">
      <w:pPr>
        <w:pStyle w:val="Heading4"/>
        <w:numPr>
          <w:ilvl w:val="0"/>
          <w:numId w:val="51"/>
        </w:numPr>
        <w:ind w:left="1440"/>
      </w:pPr>
      <w:r>
        <w:t>New York</w:t>
      </w:r>
    </w:p>
    <w:p w14:paraId="43DFB040" w14:textId="77777777" w:rsidR="00114B20" w:rsidRDefault="00114B20" w:rsidP="00114B20">
      <w:pPr>
        <w:pStyle w:val="BodyText"/>
      </w:pPr>
      <w:r>
        <w:t>New York is a case where state courts heard challenges to enacted congressional plans based on language in state law that bears directly to prohibit partisan gerrymandering.  In the 2010 cycle, the legislature was under divided control</w:t>
      </w:r>
      <w:r w:rsidRPr="00F912CF">
        <w:t>,</w:t>
      </w:r>
      <w:r>
        <w:t xml:space="preserve"> with Democrats controlling the lower chamber and Republicans controlling the upper chamber, and with a Democratic governor.</w:t>
      </w:r>
      <w:r w:rsidRPr="0078695B">
        <w:rPr>
          <w:rStyle w:val="FootnoteReference"/>
        </w:rPr>
        <w:footnoteReference w:id="211"/>
      </w:r>
      <w:r>
        <w:t xml:space="preserve">  The legislature failed to pass a map</w:t>
      </w:r>
      <w:r w:rsidRPr="00FB61B1">
        <w:t>,</w:t>
      </w:r>
      <w:r>
        <w:t xml:space="preserve"> and federal courts implemented a map.</w:t>
      </w:r>
      <w:r w:rsidRPr="0078695B">
        <w:rPr>
          <w:rStyle w:val="FootnoteReference"/>
        </w:rPr>
        <w:footnoteReference w:id="212"/>
      </w:r>
      <w:r>
        <w:t xml:space="preserve">  In 2014, </w:t>
      </w:r>
      <w:r w:rsidRPr="00EB6571">
        <w:t>voters placed new restrictions on congressional redistricting.</w:t>
      </w:r>
      <w:r w:rsidRPr="0078695B">
        <w:rPr>
          <w:rStyle w:val="FootnoteReference"/>
        </w:rPr>
        <w:footnoteReference w:id="213"/>
      </w:r>
      <w:r w:rsidRPr="00EB6571">
        <w:t xml:space="preserve"> </w:t>
      </w:r>
      <w:r>
        <w:t xml:space="preserve"> </w:t>
      </w:r>
      <w:r w:rsidRPr="00EB6571">
        <w:t>Language added to the constitution includes “</w:t>
      </w:r>
      <w:r>
        <w:t>[d]</w:t>
      </w:r>
      <w:proofErr w:type="spellStart"/>
      <w:r w:rsidRPr="00EB6571">
        <w:t>istricts</w:t>
      </w:r>
      <w:proofErr w:type="spellEnd"/>
      <w:r w:rsidRPr="00EB6571">
        <w:t xml:space="preserve"> shall not be drawn to discourage competition or for the purpose of favoring or disfavoring incumbents or other particular candidates or political parties.”</w:t>
      </w:r>
      <w:r w:rsidRPr="0078695B">
        <w:rPr>
          <w:rStyle w:val="FootnoteReference"/>
        </w:rPr>
        <w:footnoteReference w:id="214"/>
      </w:r>
      <w:r>
        <w:t xml:space="preserve">  </w:t>
      </w:r>
      <w:r w:rsidRPr="00EB6571">
        <w:t>The 2014 constitutional amendment not only includ</w:t>
      </w:r>
      <w:r>
        <w:t xml:space="preserve">ed language to prevent gerrymandering, </w:t>
      </w:r>
      <w:r w:rsidRPr="00C971B3">
        <w:t>but it</w:t>
      </w:r>
      <w:r w:rsidRPr="00114B20">
        <w:rPr>
          <w:b/>
        </w:rPr>
        <w:t xml:space="preserve"> </w:t>
      </w:r>
      <w:r>
        <w:t xml:space="preserve">also established a </w:t>
      </w:r>
      <w:r w:rsidRPr="003063FC">
        <w:t>process supposed to attain bipartisanship via a commission containing individuals of both parties.</w:t>
      </w:r>
      <w:r w:rsidRPr="0078695B">
        <w:rPr>
          <w:rStyle w:val="FootnoteReference"/>
        </w:rPr>
        <w:footnoteReference w:id="215"/>
      </w:r>
      <w:r>
        <w:t xml:space="preserve">  </w:t>
      </w:r>
      <w:r w:rsidRPr="003063FC">
        <w:t>The commission’s composition, however, contained no tie-breaking mechanism.</w:t>
      </w:r>
      <w:r w:rsidRPr="0078695B">
        <w:rPr>
          <w:rStyle w:val="FootnoteReference"/>
        </w:rPr>
        <w:footnoteReference w:id="216"/>
      </w:r>
      <w:r w:rsidRPr="003063FC">
        <w:t xml:space="preserve"> </w:t>
      </w:r>
      <w:r>
        <w:t xml:space="preserve"> </w:t>
      </w:r>
      <w:r w:rsidRPr="003063FC">
        <w:t xml:space="preserve">Moreover, even if the commission was </w:t>
      </w:r>
      <w:r w:rsidRPr="003063FC">
        <w:lastRenderedPageBreak/>
        <w:t>successful in its work, its map was subject</w:t>
      </w:r>
      <w:r>
        <w:t xml:space="preserve"> to changes made by the legislature.</w:t>
      </w:r>
      <w:r w:rsidRPr="0078695B">
        <w:rPr>
          <w:rStyle w:val="FootnoteReference"/>
        </w:rPr>
        <w:footnoteReference w:id="217"/>
      </w:r>
    </w:p>
    <w:p w14:paraId="77794FC7" w14:textId="4B47DDDE" w:rsidR="00114B20" w:rsidRPr="005F51A4" w:rsidRDefault="00114B20" w:rsidP="00114B20">
      <w:pPr>
        <w:pStyle w:val="BodyText"/>
      </w:pPr>
      <w:r>
        <w:t>In the 2020 cycle, the state government was under party control for the Democrats, including supermajorities in both chambers.</w:t>
      </w:r>
      <w:r w:rsidRPr="0078695B">
        <w:rPr>
          <w:rStyle w:val="FootnoteReference"/>
        </w:rPr>
        <w:footnoteReference w:id="218"/>
      </w:r>
      <w:r>
        <w:t xml:space="preserve">  </w:t>
      </w:r>
      <w:r w:rsidRPr="0061086C">
        <w:t xml:space="preserve">Due to </w:t>
      </w:r>
      <w:r>
        <w:t>stagnation</w:t>
      </w:r>
      <w:r w:rsidRPr="0061086C">
        <w:t xml:space="preserve"> in N</w:t>
      </w:r>
      <w:r>
        <w:t xml:space="preserve">ew </w:t>
      </w:r>
      <w:r w:rsidRPr="0061086C">
        <w:t>Y</w:t>
      </w:r>
      <w:r>
        <w:t>ork</w:t>
      </w:r>
      <w:r w:rsidRPr="0061086C">
        <w:t xml:space="preserve">’s population, the state lost </w:t>
      </w:r>
      <w:r>
        <w:t>one</w:t>
      </w:r>
      <w:r w:rsidRPr="0061086C">
        <w:t xml:space="preserve"> congressional seat</w:t>
      </w:r>
      <w:r>
        <w:t>.</w:t>
      </w:r>
      <w:r w:rsidRPr="0078695B">
        <w:rPr>
          <w:rStyle w:val="FootnoteReference"/>
        </w:rPr>
        <w:footnoteReference w:id="219"/>
      </w:r>
      <w:r>
        <w:t xml:space="preserve">  The commission failed to produce a map and the legislature enacted its own congressional map that was signed into law by the Governor.</w:t>
      </w:r>
      <w:r w:rsidRPr="0078695B">
        <w:rPr>
          <w:rStyle w:val="FootnoteReference"/>
        </w:rPr>
        <w:footnoteReference w:id="220"/>
      </w:r>
      <w:r>
        <w:t xml:space="preserve">  This map was challenged in state court as having violated the 2014 constitutional amendments.</w:t>
      </w:r>
      <w:r w:rsidRPr="0078695B">
        <w:rPr>
          <w:rStyle w:val="FootnoteReference"/>
        </w:rPr>
        <w:footnoteReference w:id="221"/>
      </w:r>
      <w:r>
        <w:t xml:space="preserve">  </w:t>
      </w:r>
      <w:r w:rsidRPr="009831A2">
        <w:t xml:space="preserve">In </w:t>
      </w:r>
      <w:proofErr w:type="spellStart"/>
      <w:r w:rsidRPr="00114B20">
        <w:rPr>
          <w:i/>
          <w:iCs/>
        </w:rPr>
        <w:t>Harkenrider</w:t>
      </w:r>
      <w:proofErr w:type="spellEnd"/>
      <w:r w:rsidRPr="00114B20">
        <w:rPr>
          <w:i/>
          <w:iCs/>
        </w:rPr>
        <w:t xml:space="preserve"> v. </w:t>
      </w:r>
      <w:proofErr w:type="spellStart"/>
      <w:r w:rsidRPr="00114B20">
        <w:rPr>
          <w:i/>
          <w:iCs/>
        </w:rPr>
        <w:t>Hochul</w:t>
      </w:r>
      <w:proofErr w:type="spellEnd"/>
      <w:r w:rsidRPr="009831A2">
        <w:t xml:space="preserve">, the State of New York </w:t>
      </w:r>
      <w:r>
        <w:t>Court of Appeals</w:t>
      </w:r>
      <w:r w:rsidRPr="009831A2">
        <w:t xml:space="preserve"> ruled that the congressional plan passed by the </w:t>
      </w:r>
      <w:r>
        <w:t>l</w:t>
      </w:r>
      <w:r w:rsidRPr="009E6B1A">
        <w:t>egislature</w:t>
      </w:r>
      <w:r w:rsidRPr="009831A2">
        <w:t xml:space="preserve"> and signed by the </w:t>
      </w:r>
      <w:r>
        <w:t>g</w:t>
      </w:r>
      <w:r w:rsidRPr="009E6B1A">
        <w:t>overnor</w:t>
      </w:r>
      <w:r w:rsidRPr="009831A2">
        <w:t xml:space="preserve"> had bypassed the </w:t>
      </w:r>
      <w:r>
        <w:t>C</w:t>
      </w:r>
      <w:r w:rsidRPr="009831A2">
        <w:t xml:space="preserve">ommission and </w:t>
      </w:r>
      <w:r w:rsidRPr="003063FC">
        <w:t>thus was not</w:t>
      </w:r>
      <w:r w:rsidRPr="009831A2">
        <w:t xml:space="preserve"> enacted through a constitutionally valid process.</w:t>
      </w:r>
      <w:r w:rsidRPr="0078695B">
        <w:rPr>
          <w:rStyle w:val="FootnoteReference"/>
        </w:rPr>
        <w:footnoteReference w:id="222"/>
      </w:r>
      <w:r>
        <w:t xml:space="preserve">  </w:t>
      </w:r>
      <w:del w:id="532" w:author="Jonathan Cervas" w:date="2023-06-23T14:55:00Z">
        <w:r w:rsidRPr="006F5578" w:rsidDel="0060108E">
          <w:delText>“Contrary to the State respondents</w:delText>
        </w:r>
        <w:r w:rsidDel="0060108E">
          <w:delText>”’</w:delText>
        </w:r>
        <w:r w:rsidRPr="006F5578" w:rsidDel="0060108E">
          <w:delText xml:space="preserve"> contentions, the detailed amendments leave no room for legislative discretion regarding the particulars of implementation</w:delText>
        </w:r>
        <w:r w:rsidDel="0060108E">
          <w:delText>.</w:delText>
        </w:r>
        <w:r w:rsidRPr="006F5578" w:rsidDel="0060108E">
          <w:delText xml:space="preserve"> </w:delText>
        </w:r>
        <w:r w:rsidDel="0060108E">
          <w:delText>T</w:delText>
        </w:r>
        <w:r w:rsidRPr="006F5578" w:rsidDel="0060108E">
          <w:delText>his is not a scenario where the Constitution fails to provide ‘specific guidance’ or is ‘silen[t]</w:delText>
        </w:r>
        <w:r w:rsidDel="0060108E">
          <w:delText>’</w:delText>
        </w:r>
        <w:r w:rsidRPr="006F5578" w:rsidDel="0060108E">
          <w:delText xml:space="preserve"> on the issue</w:delText>
        </w:r>
        <w:r w:rsidRPr="009E6B1A" w:rsidDel="0060108E">
          <w:delText>.</w:delText>
        </w:r>
        <w:r w:rsidRPr="006F5578" w:rsidDel="0060108E">
          <w:delText>’”</w:delText>
        </w:r>
      </w:del>
      <w:ins w:id="533" w:author="Jonathan Cervas" w:date="2023-06-24T15:25:00Z">
        <w:r w:rsidR="007B6EDF">
          <w:t xml:space="preserve">The court rejected the legislature’s argument that they had </w:t>
        </w:r>
      </w:ins>
      <w:ins w:id="534" w:author="Jonathan Cervas" w:date="2023-06-24T15:26:00Z">
        <w:r w:rsidR="007B6EDF">
          <w:t>discretion</w:t>
        </w:r>
      </w:ins>
      <w:ins w:id="535" w:author="Jonathan Cervas" w:date="2023-06-24T15:25:00Z">
        <w:r w:rsidR="007B6EDF">
          <w:t xml:space="preserve"> to draw the</w:t>
        </w:r>
      </w:ins>
      <w:ins w:id="536" w:author="Jonathan Cervas" w:date="2023-06-24T15:26:00Z">
        <w:r w:rsidR="007B6EDF">
          <w:t>ir own plan notwithstanding the redistricting commission failing to fulfill their own obligations.</w:t>
        </w:r>
      </w:ins>
      <w:r w:rsidRPr="0078695B">
        <w:rPr>
          <w:rStyle w:val="FootnoteReference"/>
        </w:rPr>
        <w:footnoteReference w:id="223"/>
      </w:r>
      <w:r>
        <w:t xml:space="preserve">  T</w:t>
      </w:r>
      <w:r w:rsidRPr="009831A2">
        <w:t xml:space="preserve">he </w:t>
      </w:r>
      <w:r>
        <w:t>c</w:t>
      </w:r>
      <w:r w:rsidRPr="009831A2">
        <w:t xml:space="preserve">ourt also held </w:t>
      </w:r>
      <w:r w:rsidRPr="009831A2">
        <w:lastRenderedPageBreak/>
        <w:t>that the Respondents engaged in prohibited gerrymandering when creating the districts</w:t>
      </w:r>
      <w:r w:rsidRPr="009E6B1A">
        <w:t>.</w:t>
      </w:r>
      <w:r w:rsidRPr="0078695B">
        <w:rPr>
          <w:rStyle w:val="FootnoteReference"/>
        </w:rPr>
        <w:footnoteReference w:id="224"/>
      </w:r>
      <w:r>
        <w:t xml:space="preserve">  The court found:</w:t>
      </w:r>
    </w:p>
    <w:p w14:paraId="226F3644" w14:textId="17A8D6AE" w:rsidR="00114B20" w:rsidRDefault="00114B20" w:rsidP="001C4C87">
      <w:pPr>
        <w:pStyle w:val="UNHLRBodyTextBlockQuote"/>
      </w:pPr>
      <w:r>
        <w:t>[T]</w:t>
      </w:r>
      <w:r w:rsidRPr="005B5222">
        <w:t xml:space="preserve">he undisputed facts and evidence presented by </w:t>
      </w:r>
      <w:r>
        <w:t>P</w:t>
      </w:r>
      <w:r w:rsidRPr="005B5222">
        <w:t xml:space="preserve">etitioners for the affirmed finding that the 2022 congressional map was drawn to discourage competition. Indeed, several of the State respondents’ experts, who urged the court to draw the contrary inference, concededly did not </w:t>
      </w:r>
      <w:proofErr w:type="gramStart"/>
      <w:r w:rsidRPr="005B5222">
        <w:t>take into account</w:t>
      </w:r>
      <w:proofErr w:type="gramEnd"/>
      <w:r w:rsidRPr="005B5222">
        <w:t xml:space="preserve"> the reduction in competitive districts.</w:t>
      </w:r>
      <w:r w:rsidRPr="0078695B">
        <w:rPr>
          <w:rStyle w:val="FootnoteReference"/>
        </w:rPr>
        <w:footnoteReference w:id="225"/>
      </w:r>
      <w:r>
        <w:t xml:space="preserve">  </w:t>
      </w:r>
    </w:p>
    <w:p w14:paraId="1F819A15" w14:textId="77777777" w:rsidR="00114B20" w:rsidRDefault="00114B20" w:rsidP="001C4C87">
      <w:pPr>
        <w:pStyle w:val="UNHLRBodyTextnoindent"/>
      </w:pPr>
      <w:r>
        <w:t xml:space="preserve"> The court appointed a special master who prepared the court remedial map.</w:t>
      </w:r>
      <w:r w:rsidRPr="0078695B">
        <w:rPr>
          <w:rStyle w:val="FootnoteReference"/>
        </w:rPr>
        <w:footnoteReference w:id="226"/>
      </w:r>
    </w:p>
    <w:p w14:paraId="0561F8AF" w14:textId="66B0AAAD" w:rsidR="0000124C" w:rsidRPr="0044713E" w:rsidRDefault="0000124C" w:rsidP="0000124C">
      <w:pPr>
        <w:pStyle w:val="Heading4"/>
        <w:numPr>
          <w:ilvl w:val="0"/>
          <w:numId w:val="51"/>
        </w:numPr>
        <w:ind w:left="1440"/>
      </w:pPr>
      <w:r>
        <w:t>Ohio</w:t>
      </w:r>
    </w:p>
    <w:p w14:paraId="40F195D0" w14:textId="77777777" w:rsidR="009563A6" w:rsidRDefault="009563A6" w:rsidP="009563A6">
      <w:pPr>
        <w:pStyle w:val="BodyText"/>
      </w:pPr>
      <w:r>
        <w:t>Ohio is perhaps the most complicated of all the cases we cover in this essay.  While the primary body responsible for congressional redistricting is a political commission, in effect</w:t>
      </w:r>
      <w:r w:rsidRPr="00F912CF">
        <w:t>,</w:t>
      </w:r>
      <w:r>
        <w:t xml:space="preserve"> it can be bypassed by the legislature.</w:t>
      </w:r>
      <w:r w:rsidRPr="0078695B">
        <w:rPr>
          <w:rStyle w:val="FootnoteReference"/>
        </w:rPr>
        <w:footnoteReference w:id="227"/>
      </w:r>
      <w:r>
        <w:t xml:space="preserve">  Indeed, as we will explain, this is what happened in the 2020 cycle.</w:t>
      </w:r>
    </w:p>
    <w:p w14:paraId="0F0D1FE3" w14:textId="77777777" w:rsidR="009563A6" w:rsidRPr="00AA2F47" w:rsidRDefault="009563A6" w:rsidP="009563A6">
      <w:pPr>
        <w:pStyle w:val="BodyText"/>
      </w:pPr>
      <w:r>
        <w:t>Ohio voters passed a constitutional amendment in 2018 intended to take politics out of the process of congressional redistricting.</w:t>
      </w:r>
      <w:r w:rsidRPr="0078695B">
        <w:rPr>
          <w:rStyle w:val="FootnoteReference"/>
        </w:rPr>
        <w:footnoteReference w:id="228"/>
      </w:r>
      <w:r>
        <w:t xml:space="preserve">  The original jurisdiction to create a congressional district plan resides with the general assembly.</w:t>
      </w:r>
      <w:r w:rsidRPr="0078695B">
        <w:rPr>
          <w:rStyle w:val="FootnoteReference"/>
        </w:rPr>
        <w:footnoteReference w:id="229"/>
      </w:r>
      <w:r>
        <w:t xml:space="preserve">  For a plan to go into effect for the entire decade, it must have an affirmative vote of three-fifths of the members of each house, including at least 50% of each of the two largest parties.</w:t>
      </w:r>
      <w:r w:rsidRPr="0078695B">
        <w:rPr>
          <w:rStyle w:val="FootnoteReference"/>
        </w:rPr>
        <w:footnoteReference w:id="230"/>
      </w:r>
      <w:r>
        <w:t xml:space="preserve">  If the legislature fails to get the necessary vote, a redistricting commission is formed consisting of several state officials.</w:t>
      </w:r>
      <w:r w:rsidRPr="0078695B">
        <w:rPr>
          <w:rStyle w:val="FootnoteReference"/>
        </w:rPr>
        <w:footnoteReference w:id="231"/>
      </w:r>
      <w:r>
        <w:t xml:space="preserve">  </w:t>
      </w:r>
      <w:r w:rsidRPr="009563A6">
        <w:rPr>
          <w:bCs/>
        </w:rPr>
        <w:t>For the commission map to be valid</w:t>
      </w:r>
      <w:r>
        <w:t xml:space="preserve">, the commission vote must </w:t>
      </w:r>
      <w:r w:rsidRPr="00A52309">
        <w:t>include members of both major political parties.</w:t>
      </w:r>
      <w:r w:rsidRPr="0078695B">
        <w:rPr>
          <w:rStyle w:val="FootnoteReference"/>
        </w:rPr>
        <w:footnoteReference w:id="232"/>
      </w:r>
      <w:r>
        <w:t xml:space="preserve">  </w:t>
      </w:r>
      <w:r w:rsidRPr="00A52309">
        <w:t xml:space="preserve">Finally, if the commission fails, then the legislature can pass a plan in the form of regular legislation subject to the governor’s signature; however, a plan passed in this form is only valid for four </w:t>
      </w:r>
      <w:r w:rsidRPr="00A52309">
        <w:lastRenderedPageBreak/>
        <w:t>years.</w:t>
      </w:r>
      <w:r w:rsidRPr="0078695B">
        <w:rPr>
          <w:rStyle w:val="FootnoteReference"/>
        </w:rPr>
        <w:footnoteReference w:id="233"/>
      </w:r>
      <w:r>
        <w:t xml:space="preserve">  </w:t>
      </w:r>
      <w:r w:rsidRPr="00A52309">
        <w:t>Moreover, if passed without three-fifths of all members and half of the members from each major party, it is subject to prohibitions on partisanship.</w:t>
      </w:r>
      <w:r w:rsidRPr="0078695B">
        <w:rPr>
          <w:rStyle w:val="FootnoteReference"/>
        </w:rPr>
        <w:footnoteReference w:id="234"/>
      </w:r>
      <w:r>
        <w:t xml:space="preserve">  </w:t>
      </w:r>
      <w:r w:rsidRPr="003D7183">
        <w:t>The plan is to remain in effect for four years.</w:t>
      </w:r>
      <w:r w:rsidRPr="0078695B">
        <w:rPr>
          <w:rStyle w:val="FootnoteReference"/>
        </w:rPr>
        <w:footnoteReference w:id="235"/>
      </w:r>
      <w:r>
        <w:t xml:space="preserve"> I</w:t>
      </w:r>
      <w:r w:rsidRPr="003D7183">
        <w:t>mportantly</w:t>
      </w:r>
      <w:r w:rsidRPr="00A52309">
        <w:t>, though, is that even if a map is said to violate the prohibition on partisan gerrymandering, the court has no authority to demand its own map be used.</w:t>
      </w:r>
      <w:r w:rsidRPr="0078695B">
        <w:rPr>
          <w:rStyle w:val="FootnoteReference"/>
        </w:rPr>
        <w:footnoteReference w:id="236"/>
      </w:r>
      <w:r w:rsidRPr="00A52309">
        <w:t xml:space="preserve"> </w:t>
      </w:r>
    </w:p>
    <w:p w14:paraId="058CFA58" w14:textId="77777777" w:rsidR="009563A6" w:rsidRDefault="009563A6" w:rsidP="009563A6">
      <w:pPr>
        <w:pStyle w:val="BodyText"/>
      </w:pPr>
      <w:r w:rsidRPr="00AA2F47">
        <w:t>The process for drawing new congressional districts in Ohio had a rocky start for Ohio.</w:t>
      </w:r>
      <w:r>
        <w:t xml:space="preserve"> </w:t>
      </w:r>
      <w:r w:rsidRPr="00AA2F47">
        <w:t>Delayed census data pushed against deadlines laid out in the state constitution.</w:t>
      </w:r>
      <w:r w:rsidRPr="0078695B">
        <w:rPr>
          <w:rStyle w:val="FootnoteReference"/>
        </w:rPr>
        <w:footnoteReference w:id="237"/>
      </w:r>
      <w:r>
        <w:t xml:space="preserve">  </w:t>
      </w:r>
      <w:r w:rsidRPr="00AA2F47">
        <w:t>The legislature failed to meet its first deadline for the legislature to pass a bipartisan map, with responsibility shifting to the commission.</w:t>
      </w:r>
      <w:r w:rsidRPr="0078695B">
        <w:rPr>
          <w:rStyle w:val="FootnoteReference"/>
        </w:rPr>
        <w:footnoteReference w:id="238"/>
      </w:r>
      <w:r>
        <w:t xml:space="preserve">  </w:t>
      </w:r>
      <w:r w:rsidRPr="00AA2F47">
        <w:t>The commission was</w:t>
      </w:r>
      <w:r>
        <w:t xml:space="preserve"> unable to agree on a bipartisan solution, so responsibility </w:t>
      </w:r>
      <w:r w:rsidRPr="00C16B64">
        <w:t>reverted to the legislature.</w:t>
      </w:r>
      <w:r w:rsidRPr="0078695B">
        <w:rPr>
          <w:rStyle w:val="FootnoteReference"/>
        </w:rPr>
        <w:footnoteReference w:id="239"/>
      </w:r>
      <w:r>
        <w:t xml:space="preserve">  </w:t>
      </w:r>
      <w:r w:rsidRPr="00C16B64">
        <w:t>The map passed there was on a party-line vote, meaning it would</w:t>
      </w:r>
      <w:r>
        <w:t xml:space="preserve"> only be in effect for four years.</w:t>
      </w:r>
      <w:r w:rsidRPr="0078695B">
        <w:rPr>
          <w:rStyle w:val="FootnoteReference"/>
        </w:rPr>
        <w:footnoteReference w:id="240"/>
      </w:r>
      <w:r>
        <w:t xml:space="preserve">  This plan was challenged in state court.</w:t>
      </w:r>
      <w:r w:rsidRPr="0078695B">
        <w:rPr>
          <w:rStyle w:val="FootnoteReference"/>
        </w:rPr>
        <w:footnoteReference w:id="241"/>
      </w:r>
      <w:r>
        <w:t xml:space="preserve">  The Ohio Supreme Court ruled that the “</w:t>
      </w:r>
      <w:r w:rsidRPr="006A2E00">
        <w:t>General Assembly and the Governor blatantly disregarded that, in 2018,</w:t>
      </w:r>
      <w:r>
        <w:t xml:space="preserve"> </w:t>
      </w:r>
      <w:r w:rsidRPr="00A62C08">
        <w:t>Ohioans voted three to one to amend the Ohio Constitution to eliminate the pernicious</w:t>
      </w:r>
      <w:r>
        <w:t xml:space="preserve"> </w:t>
      </w:r>
      <w:r w:rsidRPr="00A62C08">
        <w:t>gerrymandering of Ohio’s congressional districts</w:t>
      </w:r>
      <w:r>
        <w:t xml:space="preserve">” </w:t>
      </w:r>
      <w:r w:rsidRPr="00832E52">
        <w:t>by once again enacting “a rank partisan gerrymander—one that violates both the letter and the spirit of the 2018 reforms.”</w:t>
      </w:r>
      <w:r w:rsidRPr="0078695B">
        <w:rPr>
          <w:rStyle w:val="FootnoteReference"/>
        </w:rPr>
        <w:footnoteReference w:id="242"/>
      </w:r>
      <w:r>
        <w:t xml:space="preserve"> </w:t>
      </w:r>
    </w:p>
    <w:p w14:paraId="0C6CC243" w14:textId="77777777" w:rsidR="009563A6" w:rsidRDefault="009563A6" w:rsidP="009563A6">
      <w:pPr>
        <w:pStyle w:val="BodyText"/>
      </w:pPr>
      <w:r>
        <w:lastRenderedPageBreak/>
        <w:t>With the map it enacted now ruled unconstitutional, the General Assembly was allowed to submit a new map.</w:t>
      </w:r>
      <w:r w:rsidRPr="0078695B">
        <w:rPr>
          <w:rStyle w:val="FootnoteReference"/>
        </w:rPr>
        <w:footnoteReference w:id="243"/>
      </w:r>
      <w:r>
        <w:t xml:space="preserve">  Instead, they gave authority to produce a plan back to the commission.</w:t>
      </w:r>
      <w:r w:rsidRPr="0078695B">
        <w:rPr>
          <w:rStyle w:val="FootnoteReference"/>
        </w:rPr>
        <w:footnoteReference w:id="244"/>
      </w:r>
      <w:r>
        <w:t xml:space="preserve">  Some Republican members of the commission argued they were no longer required to adhere to the language in the constitution that prohibited partisan gerrymandering, since that language specifically addressed legislature-enacted plans.</w:t>
      </w:r>
      <w:bookmarkStart w:id="577" w:name="_Ref138867107"/>
      <w:r w:rsidRPr="0078695B">
        <w:rPr>
          <w:rStyle w:val="FootnoteReference"/>
        </w:rPr>
        <w:footnoteReference w:id="245"/>
      </w:r>
      <w:bookmarkEnd w:id="577"/>
      <w:r>
        <w:t xml:space="preserve">  The commission passed a map on a party-line vote.</w:t>
      </w:r>
      <w:r w:rsidRPr="0078695B">
        <w:rPr>
          <w:rStyle w:val="FootnoteReference"/>
        </w:rPr>
        <w:footnoteReference w:id="246"/>
      </w:r>
      <w:r>
        <w:t xml:space="preserve">  On this map, Ohio Supreme Court determined it did not retain jurisdiction and that Petitioners would need to file new lawsuits.</w:t>
      </w:r>
      <w:r w:rsidRPr="0078695B">
        <w:rPr>
          <w:rStyle w:val="FootnoteReference"/>
        </w:rPr>
        <w:footnoteReference w:id="247"/>
      </w:r>
      <w:r>
        <w:t xml:space="preserve">  Several new challenges were brought in state court, and the Ohio Supreme </w:t>
      </w:r>
      <w:r w:rsidRPr="00C16B64">
        <w:t xml:space="preserve">Court </w:t>
      </w:r>
      <w:r>
        <w:t>again</w:t>
      </w:r>
      <w:r w:rsidRPr="00C16B64">
        <w:t xml:space="preserve"> ruled that the map was a partisan gerrymander.</w:t>
      </w:r>
      <w:r w:rsidRPr="0078695B">
        <w:rPr>
          <w:rStyle w:val="FootnoteReference"/>
        </w:rPr>
        <w:footnoteReference w:id="248"/>
      </w:r>
      <w:r>
        <w:t xml:space="preserve">  The plan passed by the commission only slightly modified the previously unconstitutional map.</w:t>
      </w:r>
      <w:r w:rsidRPr="0078695B">
        <w:rPr>
          <w:rStyle w:val="FootnoteReference"/>
        </w:rPr>
        <w:footnoteReference w:id="249"/>
      </w:r>
      <w:r w:rsidRPr="00C16B64">
        <w:t xml:space="preserve"> </w:t>
      </w:r>
      <w:r>
        <w:t xml:space="preserve"> T</w:t>
      </w:r>
      <w:r w:rsidRPr="00C16B64">
        <w:t>he court said that the revised plan “allocates voters in ways that unnecessarily favor the Republican Party by packing Democratic voters into a few dense Democratic-leaning districts, thereby increasing the Republican vote share of the remaining districts.”</w:t>
      </w:r>
      <w:r w:rsidRPr="0078695B">
        <w:rPr>
          <w:rStyle w:val="FootnoteReference"/>
        </w:rPr>
        <w:footnoteReference w:id="250"/>
      </w:r>
      <w:r>
        <w:t xml:space="preserve">  The commission readopted its second plan already </w:t>
      </w:r>
      <w:r w:rsidRPr="00AD10A3">
        <w:t>rejected by the State Supreme</w:t>
      </w:r>
      <w:r w:rsidRPr="009563A6">
        <w:rPr>
          <w:b/>
          <w:bCs/>
        </w:rPr>
        <w:t xml:space="preserve"> </w:t>
      </w:r>
      <w:r w:rsidRPr="00207EFB">
        <w:t>Court</w:t>
      </w:r>
      <w:r>
        <w:t>.</w:t>
      </w:r>
      <w:r w:rsidRPr="0078695B">
        <w:rPr>
          <w:rStyle w:val="FootnoteReference"/>
        </w:rPr>
        <w:footnoteReference w:id="251"/>
      </w:r>
      <w:r>
        <w:t xml:space="preserve">  </w:t>
      </w:r>
      <w:r w:rsidRPr="00447926">
        <w:t xml:space="preserve">Ultimately, the </w:t>
      </w:r>
      <w:r w:rsidRPr="00447926">
        <w:lastRenderedPageBreak/>
        <w:t>commission failed to approve a new</w:t>
      </w:r>
      <w:r>
        <w:t xml:space="preserve"> legal</w:t>
      </w:r>
      <w:r w:rsidRPr="00447926">
        <w:t xml:space="preserve"> map</w:t>
      </w:r>
      <w:commentRangeStart w:id="585"/>
      <w:r w:rsidRPr="008468F3">
        <w:t>.</w:t>
      </w:r>
      <w:r w:rsidRPr="0078695B">
        <w:rPr>
          <w:rStyle w:val="FootnoteReference"/>
        </w:rPr>
        <w:footnoteReference w:id="252"/>
      </w:r>
      <w:r>
        <w:t xml:space="preserve"> </w:t>
      </w:r>
      <w:commentRangeEnd w:id="585"/>
      <w:r>
        <w:rPr>
          <w:rStyle w:val="CommentReference"/>
        </w:rPr>
        <w:commentReference w:id="585"/>
      </w:r>
      <w:r w:rsidRPr="008468F3">
        <w:t xml:space="preserve"> Thus there was an impasse with no legal plan in place, since the State Court was not empowered to draw a map of its own</w:t>
      </w:r>
      <w:r w:rsidRPr="00C16B64">
        <w:t>.</w:t>
      </w:r>
      <w:r w:rsidRPr="0078695B">
        <w:rPr>
          <w:rStyle w:val="FootnoteReference"/>
        </w:rPr>
        <w:footnoteReference w:id="253"/>
      </w:r>
      <w:r>
        <w:t xml:space="preserve">  A federal </w:t>
      </w:r>
      <w:r w:rsidRPr="008468F3">
        <w:t xml:space="preserve">court found that the time had expired to put a new map in place </w:t>
      </w:r>
      <w:r>
        <w:t>for the 2022 election.</w:t>
      </w:r>
      <w:commentRangeStart w:id="591"/>
      <w:r w:rsidRPr="0078695B">
        <w:rPr>
          <w:rStyle w:val="FootnoteReference"/>
        </w:rPr>
        <w:footnoteReference w:id="254"/>
      </w:r>
      <w:commentRangeEnd w:id="591"/>
      <w:r>
        <w:rPr>
          <w:rStyle w:val="CommentReference"/>
        </w:rPr>
        <w:commentReference w:id="591"/>
      </w:r>
      <w:r>
        <w:t xml:space="preserve">  They ended the stalemate by ordering the implementation of the last reject map, “Map 3”, on May 28, </w:t>
      </w:r>
      <w:commentRangeStart w:id="595"/>
      <w:r>
        <w:t>2022.</w:t>
      </w:r>
      <w:r w:rsidRPr="0078695B">
        <w:rPr>
          <w:rStyle w:val="FootnoteReference"/>
        </w:rPr>
        <w:footnoteReference w:id="255"/>
      </w:r>
      <w:r>
        <w:t xml:space="preserve">  </w:t>
      </w:r>
      <w:commentRangeEnd w:id="595"/>
      <w:r>
        <w:rPr>
          <w:rStyle w:val="CommentReference"/>
        </w:rPr>
        <w:commentReference w:id="595"/>
      </w:r>
      <w:r w:rsidRPr="00206DBE">
        <w:t xml:space="preserve">However, the federal ruling </w:t>
      </w:r>
      <w:r>
        <w:t>requires</w:t>
      </w:r>
      <w:r w:rsidRPr="00206DBE">
        <w:t xml:space="preserve"> that </w:t>
      </w:r>
      <w:r>
        <w:t>the commission produce a</w:t>
      </w:r>
      <w:r w:rsidRPr="00206DBE">
        <w:t xml:space="preserve"> redrawn plan </w:t>
      </w:r>
      <w:r>
        <w:t>beginning with</w:t>
      </w:r>
      <w:r w:rsidRPr="00C16B64">
        <w:t xml:space="preserve"> the 2024 election</w:t>
      </w:r>
      <w:commentRangeStart w:id="599"/>
      <w:r>
        <w:t>.</w:t>
      </w:r>
      <w:r w:rsidRPr="0078695B">
        <w:rPr>
          <w:rStyle w:val="FootnoteReference"/>
        </w:rPr>
        <w:footnoteReference w:id="256"/>
      </w:r>
      <w:commentRangeEnd w:id="599"/>
      <w:r>
        <w:rPr>
          <w:rStyle w:val="CommentReference"/>
        </w:rPr>
        <w:commentReference w:id="599"/>
      </w:r>
    </w:p>
    <w:p w14:paraId="36703BDF" w14:textId="0C2E3A42" w:rsidR="00B76868" w:rsidRPr="0044713E" w:rsidRDefault="00B76868" w:rsidP="00B76868">
      <w:pPr>
        <w:pStyle w:val="Heading4"/>
        <w:numPr>
          <w:ilvl w:val="0"/>
          <w:numId w:val="51"/>
        </w:numPr>
        <w:ind w:left="1440"/>
      </w:pPr>
      <w:r>
        <w:t>Oregon</w:t>
      </w:r>
    </w:p>
    <w:p w14:paraId="1294D6DF" w14:textId="0B6340E2" w:rsidR="003A3201" w:rsidRDefault="003A3201" w:rsidP="003A3201">
      <w:pPr>
        <w:pStyle w:val="BodyText"/>
      </w:pPr>
      <w:r>
        <w:t>In the 2020 cycle, Oregon’s congressional redistricting was under party control of the Democrats.</w:t>
      </w:r>
      <w:bookmarkStart w:id="605" w:name="_Ref138949031"/>
      <w:ins w:id="606" w:author="Jonathan Cervas" w:date="2023-06-28T17:52:00Z">
        <w:r w:rsidR="00FB183A">
          <w:rPr>
            <w:rStyle w:val="FootnoteReference"/>
          </w:rPr>
          <w:footnoteReference w:id="257"/>
        </w:r>
      </w:ins>
      <w:bookmarkEnd w:id="605"/>
      <w:r>
        <w:t xml:space="preserve"> It was the first state to redraw its map.</w:t>
      </w:r>
      <w:r w:rsidRPr="0078695B">
        <w:rPr>
          <w:rStyle w:val="FootnoteReference"/>
        </w:rPr>
        <w:footnoteReference w:id="258"/>
      </w:r>
      <w:r>
        <w:t xml:space="preserve">  After initially floating a plan that would have created significant advantage to the Democrats, the Oregon Legislature passed a map signed by the Governor that was reduced in its bias.</w:t>
      </w:r>
      <w:r w:rsidRPr="0078695B">
        <w:rPr>
          <w:rStyle w:val="FootnoteReference"/>
        </w:rPr>
        <w:footnoteReference w:id="259"/>
      </w:r>
      <w:r>
        <w:t xml:space="preserve">  The plan was challenged in state court by the former Republican Secretary of State.</w:t>
      </w:r>
      <w:r w:rsidRPr="0078695B">
        <w:rPr>
          <w:rStyle w:val="FootnoteReference"/>
        </w:rPr>
        <w:footnoteReference w:id="260"/>
      </w:r>
      <w:r>
        <w:t xml:space="preserve">  Plaintiffs </w:t>
      </w:r>
      <w:r w:rsidRPr="00BA6A97">
        <w:t>alleged</w:t>
      </w:r>
      <w:r>
        <w:t xml:space="preserve"> </w:t>
      </w:r>
      <w:r w:rsidRPr="00BA6A97">
        <w:t xml:space="preserve">(1) </w:t>
      </w:r>
      <w:r w:rsidRPr="00BA6A97">
        <w:lastRenderedPageBreak/>
        <w:t xml:space="preserve">that </w:t>
      </w:r>
      <w:r>
        <w:t>the plan</w:t>
      </w:r>
      <w:r w:rsidRPr="00BA6A97">
        <w:t xml:space="preserve"> violates </w:t>
      </w:r>
      <w:r>
        <w:t xml:space="preserve">the </w:t>
      </w:r>
      <w:del w:id="608" w:author="Jonathan Cervas" w:date="2023-06-29T11:56:00Z">
        <w:r w:rsidDel="00B42861">
          <w:delText xml:space="preserve">law </w:delText>
        </w:r>
      </w:del>
      <w:ins w:id="609" w:author="Jonathan Cervas" w:date="2023-06-29T11:56:00Z">
        <w:r w:rsidR="00B42861">
          <w:t>statutory law prohibiting partisan gerrymandering</w:t>
        </w:r>
        <w:r w:rsidR="00B42861">
          <w:t xml:space="preserve"> </w:t>
        </w:r>
      </w:ins>
      <w:del w:id="610" w:author="Jonathan Cervas" w:date="2023-06-29T11:56:00Z">
        <w:r w:rsidDel="00B42861">
          <w:delText>that</w:delText>
        </w:r>
      </w:del>
      <w:del w:id="611" w:author="Jonathan Cervas" w:date="2023-06-29T11:55:00Z">
        <w:r w:rsidDel="00B42861">
          <w:delText xml:space="preserve"> </w:delText>
        </w:r>
        <w:r w:rsidRPr="00BA6A97" w:rsidDel="00B42861">
          <w:delText>“[n]o district shall be drawn for the purpose of favoring any political party, incumbent legislator or other person</w:delText>
        </w:r>
        <w:r w:rsidRPr="005F51A4" w:rsidDel="00B42861">
          <w:delText>,”</w:delText>
        </w:r>
      </w:del>
      <w:r w:rsidRPr="0078695B">
        <w:rPr>
          <w:rStyle w:val="FootnoteReference"/>
        </w:rPr>
        <w:footnoteReference w:id="261"/>
      </w:r>
      <w:r w:rsidRPr="00BA6A97">
        <w:t xml:space="preserve"> because </w:t>
      </w:r>
      <w:r>
        <w:t>the plan</w:t>
      </w:r>
      <w:r w:rsidRPr="00BA6A97">
        <w:t xml:space="preserve"> was enacted for the purpose of favoring the Democratic Party, Democratic incumbent legislators, and </w:t>
      </w:r>
      <w:r w:rsidRPr="005F51A4">
        <w:t>“‘</w:t>
      </w:r>
      <w:r w:rsidRPr="00BA6A97">
        <w:t>other person[s]</w:t>
      </w:r>
      <w:r>
        <w:t>’</w:t>
      </w:r>
      <w:r w:rsidRPr="00BA6A97">
        <w:t xml:space="preserve"> affiliated with the Democratic Party</w:t>
      </w:r>
      <w:r w:rsidRPr="005F51A4">
        <w:t>,</w:t>
      </w:r>
      <w:r>
        <w:t>’</w:t>
      </w:r>
      <w:r w:rsidRPr="009E6B1A">
        <w:t>”</w:t>
      </w:r>
      <w:r w:rsidRPr="0078695B">
        <w:rPr>
          <w:rStyle w:val="FootnoteReference"/>
        </w:rPr>
        <w:footnoteReference w:id="262"/>
      </w:r>
      <w:r>
        <w:t xml:space="preserve"> and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sidRPr="0078695B">
        <w:rPr>
          <w:rStyle w:val="FootnoteReference"/>
        </w:rPr>
        <w:footnoteReference w:id="263"/>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78695B">
        <w:rPr>
          <w:rStyle w:val="FootnoteReference"/>
        </w:rPr>
        <w:footnoteReference w:id="264"/>
      </w:r>
      <w:r>
        <w:t xml:space="preserve"> </w:t>
      </w:r>
    </w:p>
    <w:p w14:paraId="7303D5D1" w14:textId="77777777" w:rsidR="003A3201" w:rsidRDefault="003A3201" w:rsidP="003A3201">
      <w:pPr>
        <w:pStyle w:val="BodyText"/>
      </w:pPr>
      <w:r>
        <w:t>Oregon law instructs the state court to appoint a “</w:t>
      </w:r>
      <w:r w:rsidRPr="00084C80">
        <w:t>Special Judicial Panel</w:t>
      </w:r>
      <w:r>
        <w:t>” (SJP) to hear the petition.</w:t>
      </w:r>
      <w:r w:rsidRPr="0078695B">
        <w:rPr>
          <w:rStyle w:val="FootnoteReference"/>
        </w:rPr>
        <w:footnoteReference w:id="265"/>
      </w:r>
      <w:r>
        <w:t xml:space="preserve">  The SJP appointed a special master to receive briefs and fact</w:t>
      </w:r>
      <w:r w:rsidRPr="00991242">
        <w:t>-</w:t>
      </w:r>
      <w:r>
        <w:t>finding.</w:t>
      </w:r>
      <w:r w:rsidRPr="0078695B">
        <w:rPr>
          <w:rStyle w:val="FootnoteReference"/>
        </w:rPr>
        <w:footnoteReference w:id="266"/>
      </w:r>
      <w:r>
        <w:t xml:space="preserve">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rsidRPr="0078695B">
        <w:rPr>
          <w:rStyle w:val="FootnoteReference"/>
        </w:rPr>
        <w:footnoteReference w:id="267"/>
      </w:r>
      <w:r>
        <w:t xml:space="preserve">  </w:t>
      </w:r>
      <w:r w:rsidRPr="00084C80">
        <w:t xml:space="preserve">The </w:t>
      </w:r>
      <w:r>
        <w:t>C</w:t>
      </w:r>
      <w:r w:rsidRPr="00991242">
        <w:t xml:space="preserve">ircuit </w:t>
      </w:r>
      <w:r>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rsidRPr="0078695B">
        <w:rPr>
          <w:rStyle w:val="FootnoteReference"/>
        </w:rPr>
        <w:footnoteReference w:id="268"/>
      </w:r>
      <w:r>
        <w:t xml:space="preserve">  </w:t>
      </w:r>
      <w:r w:rsidRPr="00084C80">
        <w:t>Th</w:t>
      </w:r>
      <w:r>
        <w:t>e</w:t>
      </w:r>
      <w:r w:rsidRPr="00084C80">
        <w:t xml:space="preserve"> evidence demonstrated that the enacted map was well within the range of plans that legislatures and courts have adopted in Oregon for the past </w:t>
      </w:r>
      <w:r>
        <w:t>fifty</w:t>
      </w:r>
      <w:r w:rsidRPr="00084C80">
        <w:t xml:space="preserve"> years and that the enacted map is more favorable to Republicans than any map since 1990.</w:t>
      </w:r>
      <w:r w:rsidRPr="0078695B">
        <w:rPr>
          <w:rStyle w:val="FootnoteReference"/>
        </w:rPr>
        <w:footnoteReference w:id="269"/>
      </w:r>
      <w:r>
        <w:t xml:space="preserve"> </w:t>
      </w:r>
    </w:p>
    <w:p w14:paraId="752EA497" w14:textId="77777777" w:rsidR="003A3201" w:rsidRDefault="003A3201" w:rsidP="003A3201">
      <w:pPr>
        <w:pStyle w:val="BodyText"/>
      </w:pPr>
      <w:r>
        <w:t>The c</w:t>
      </w:r>
      <w:r w:rsidRPr="005F51A4">
        <w:t xml:space="preserve">ourt </w:t>
      </w:r>
      <w:r>
        <w:t xml:space="preserve">rejected Petitioners’ request that it adopt a </w:t>
      </w:r>
      <w:r w:rsidRPr="003A3201">
        <w:rPr>
          <w:i/>
        </w:rPr>
        <w:t>per se</w:t>
      </w:r>
      <w:r>
        <w:t xml:space="preserve"> rule that a party-line vote is enough to establish a violation of Oregon law.</w:t>
      </w:r>
      <w:r w:rsidRPr="0078695B">
        <w:rPr>
          <w:rStyle w:val="FootnoteReference"/>
        </w:rPr>
        <w:footnoteReference w:id="270"/>
      </w:r>
      <w:r>
        <w:t xml:space="preserve">  The court said</w:t>
      </w:r>
      <w:r w:rsidRPr="005F51A4">
        <w:t>,</w:t>
      </w:r>
      <w:r>
        <w:t xml:space="preserve"> “[w]</w:t>
      </w:r>
      <w:r w:rsidRPr="00084C80">
        <w:t xml:space="preserve">e respect the legislative process in Oregon and decline to </w:t>
      </w:r>
      <w:r w:rsidRPr="00084C80">
        <w:lastRenderedPageBreak/>
        <w:t>adopt the cynical view that all politics are dirty politics</w:t>
      </w:r>
      <w:r>
        <w:t>.”</w:t>
      </w:r>
      <w:r w:rsidRPr="0078695B">
        <w:rPr>
          <w:rStyle w:val="FootnoteReference"/>
        </w:rPr>
        <w:footnoteReference w:id="271"/>
      </w:r>
      <w:r>
        <w:t xml:space="preserve">  The court went on to say</w:t>
      </w:r>
      <w:r w:rsidRPr="005F51A4">
        <w:t>:</w:t>
      </w:r>
      <w:r w:rsidRPr="009E6B1A">
        <w:t xml:space="preserve"> </w:t>
      </w:r>
      <w:r>
        <w:t xml:space="preserve"> the following:</w:t>
      </w:r>
    </w:p>
    <w:p w14:paraId="0B042FF2" w14:textId="3EB6714C" w:rsidR="003A3201" w:rsidRDefault="003A3201" w:rsidP="003A3201">
      <w:pPr>
        <w:pStyle w:val="UNHLRBodyTextBlockQuote"/>
      </w:pPr>
      <w:r>
        <w:t>[s]</w:t>
      </w:r>
      <w:proofErr w:type="spellStart"/>
      <w:r w:rsidRPr="00A743E5">
        <w:t>uch</w:t>
      </w:r>
      <w:proofErr w:type="spellEnd"/>
      <w:r w:rsidRPr="00A743E5">
        <w:t xml:space="preserve"> a standard would vest in the minority party absolute control of whether a plan will be presumed to unlawfully favor a political party.</w:t>
      </w:r>
      <w:del w:id="615" w:author="Jonathan Cervas" w:date="2023-06-29T11:58:00Z">
        <w:r w:rsidRPr="0078695B" w:rsidDel="005241F1">
          <w:rPr>
            <w:rStyle w:val="FootnoteReference"/>
          </w:rPr>
          <w:footnoteReference w:id="272"/>
        </w:r>
      </w:del>
      <w:r>
        <w:t xml:space="preserve">  </w:t>
      </w:r>
      <w:r w:rsidRPr="00A743E5">
        <w:t>A minority party could simply vote against any plan along party lines, regardless of the merits of the plan, and thereby create a presumption of improper purpose.</w:t>
      </w:r>
      <w:r w:rsidRPr="0078695B">
        <w:rPr>
          <w:rStyle w:val="FootnoteReference"/>
        </w:rPr>
        <w:footnoteReference w:id="273"/>
      </w:r>
      <w:r>
        <w:t xml:space="preserve"> </w:t>
      </w:r>
    </w:p>
    <w:p w14:paraId="01A9B388" w14:textId="3AB25811" w:rsidR="0000124C" w:rsidRDefault="003A3201" w:rsidP="003A3201">
      <w:pPr>
        <w:pStyle w:val="BodyText"/>
      </w:pPr>
      <w:r>
        <w:t>Regarding measurable evidence that the plan favors Democrats, the court determined that P</w:t>
      </w:r>
      <w:r w:rsidRPr="00FB61B1">
        <w:t>etitioners’</w:t>
      </w:r>
      <w:r w:rsidRPr="005F51A4">
        <w:t xml:space="preserve"> </w:t>
      </w:r>
      <w:r w:rsidRPr="009E6B1A">
        <w:t>“[p]</w:t>
      </w:r>
      <w:proofErr w:type="spellStart"/>
      <w:r w:rsidRPr="009E6B1A">
        <w:t>etitioners</w:t>
      </w:r>
      <w:proofErr w:type="spellEnd"/>
      <w:r w:rsidRPr="009E6B1A">
        <w:t>’</w:t>
      </w:r>
      <w:r w:rsidRPr="00A743E5">
        <w:t xml:space="preserve"> preferred metric for measuring partisan bias</w:t>
      </w:r>
      <w:r w:rsidRPr="009E6B1A">
        <w:t>—‘</w:t>
      </w:r>
      <w:r w:rsidRPr="00A743E5">
        <w:t>falls well within the range of plans that have been used in the state for the past fifty years</w:t>
      </w:r>
      <w:r w:rsidRPr="009E6B1A">
        <w:t>.’”</w:t>
      </w:r>
      <w:r w:rsidRPr="0078695B">
        <w:rPr>
          <w:rStyle w:val="FootnoteReference"/>
        </w:rPr>
        <w:footnoteReference w:id="274"/>
      </w:r>
      <w:r>
        <w:t xml:space="preserve">  </w:t>
      </w:r>
      <w:r w:rsidRPr="009F5DCA">
        <w:t>Having reached the conclusion that Petitioners have failed to meet their burden of proof as to partisan purpose or effect, the SJP dismisse</w:t>
      </w:r>
      <w:r>
        <w:t>d</w:t>
      </w:r>
      <w:r w:rsidRPr="009F5DCA">
        <w:t xml:space="preserve"> both </w:t>
      </w:r>
      <w:r w:rsidRPr="00C16B64">
        <w:t>of Petitioners’ constitutional claims without further discussion.</w:t>
      </w:r>
      <w:r w:rsidRPr="0078695B">
        <w:rPr>
          <w:rStyle w:val="FootnoteReference"/>
        </w:rPr>
        <w:footnoteReference w:id="275"/>
      </w:r>
      <w:r>
        <w:t xml:space="preserve">  </w:t>
      </w:r>
      <w:r w:rsidRPr="00C16B64">
        <w:t xml:space="preserve">This case is important because it is the </w:t>
      </w:r>
      <w:r w:rsidRPr="003A3201">
        <w:rPr>
          <w:u w:val="single"/>
        </w:rPr>
        <w:t>only</w:t>
      </w:r>
      <w:r w:rsidRPr="00C16B64">
        <w:t xml:space="preserve"> example we have from the 2020 round where a case where the state had jurisprudential grounds on which to find a violation </w:t>
      </w:r>
      <w:r>
        <w:t xml:space="preserve">but </w:t>
      </w:r>
      <w:r w:rsidRPr="00C16B64">
        <w:t>rejected the claim of gerrymandering on empirical grounds, though there are cases still pending which might provide other instances.</w:t>
      </w:r>
      <w:bookmarkStart w:id="623" w:name="_Ref138949037"/>
      <w:r w:rsidRPr="0078695B">
        <w:rPr>
          <w:rStyle w:val="FootnoteReference"/>
        </w:rPr>
        <w:footnoteReference w:id="276"/>
      </w:r>
      <w:bookmarkEnd w:id="623"/>
    </w:p>
    <w:bookmarkEnd w:id="430"/>
    <w:p w14:paraId="4E15C098" w14:textId="1EF90599" w:rsidR="00B81143" w:rsidRDefault="00414F57" w:rsidP="00212B79">
      <w:pPr>
        <w:pStyle w:val="Heading3"/>
      </w:pPr>
      <w:r>
        <w:t>Cases Challenging Alleged Partisan Gerrymandering Where There is No State Constitutional Language Either Directly or Indirectly Prohibiting Partisan Gerrymandering</w:t>
      </w:r>
    </w:p>
    <w:p w14:paraId="45F420A1" w14:textId="71239C3C" w:rsidR="00B76868" w:rsidRPr="00B76868" w:rsidRDefault="00B76868" w:rsidP="00B76868">
      <w:pPr>
        <w:pStyle w:val="Heading4"/>
        <w:numPr>
          <w:ilvl w:val="0"/>
          <w:numId w:val="54"/>
        </w:numPr>
        <w:ind w:left="1440"/>
      </w:pPr>
      <w:r>
        <w:t>Kansas</w:t>
      </w:r>
    </w:p>
    <w:p w14:paraId="0E584132" w14:textId="5A746228" w:rsidR="00743C64" w:rsidRPr="00F75154" w:rsidRDefault="00743C64" w:rsidP="00743C64">
      <w:pPr>
        <w:pStyle w:val="BodyText"/>
      </w:pPr>
      <w:bookmarkStart w:id="624" w:name="_Hlk527585354"/>
      <w:r w:rsidRPr="00C16B64">
        <w:t xml:space="preserve">For the 2020 cycle, Kansas </w:t>
      </w:r>
      <w:r>
        <w:t>L</w:t>
      </w:r>
      <w:r w:rsidRPr="009E6B1A">
        <w:t>egislature</w:t>
      </w:r>
      <w:r w:rsidRPr="00C16B64">
        <w:t xml:space="preserve"> was controlled with supermajorities by Republicans.</w:t>
      </w:r>
      <w:r w:rsidRPr="0078695B">
        <w:rPr>
          <w:rStyle w:val="FootnoteReference"/>
        </w:rPr>
        <w:footnoteReference w:id="277"/>
      </w:r>
      <w:r>
        <w:t xml:space="preserve"> </w:t>
      </w:r>
      <w:r w:rsidRPr="009E6B1A">
        <w:t xml:space="preserve"> </w:t>
      </w:r>
      <w:r w:rsidRPr="00C16B64">
        <w:t>The governor was a Democrat.</w:t>
      </w:r>
      <w:r w:rsidRPr="0078695B">
        <w:rPr>
          <w:rStyle w:val="FootnoteReference"/>
        </w:rPr>
        <w:footnoteReference w:id="278"/>
      </w:r>
      <w:r>
        <w:t xml:space="preserve"> W</w:t>
      </w:r>
      <w:r w:rsidRPr="00C16B64">
        <w:t xml:space="preserve">hile the governor was able to veto the plan drawn by the Republican </w:t>
      </w:r>
      <w:r w:rsidRPr="00C16B64">
        <w:lastRenderedPageBreak/>
        <w:t>legislature, her veto was overridden.</w:t>
      </w:r>
      <w:r w:rsidRPr="0078695B">
        <w:rPr>
          <w:rStyle w:val="FootnoteReference"/>
        </w:rPr>
        <w:footnoteReference w:id="279"/>
      </w:r>
      <w:r>
        <w:t xml:space="preserve">  </w:t>
      </w:r>
      <w:r w:rsidRPr="00C16B64">
        <w:t>Plaintiffs challenged the plan in state court, arguing it was a partisan and racial gerrymander, diluting minority votes in violation of several provisions of the Kansas Constitution.</w:t>
      </w:r>
      <w:r w:rsidRPr="0078695B">
        <w:rPr>
          <w:rStyle w:val="FootnoteReference"/>
        </w:rPr>
        <w:footnoteReference w:id="280"/>
      </w:r>
      <w:r>
        <w:t xml:space="preserve"> </w:t>
      </w:r>
      <w:r w:rsidRPr="009E6B1A">
        <w:t xml:space="preserve"> </w:t>
      </w:r>
      <w:r w:rsidRPr="00C16B64">
        <w:t>A state-level judge in Wyandotte County struck down the plan.</w:t>
      </w:r>
      <w:r w:rsidRPr="0078695B">
        <w:rPr>
          <w:rStyle w:val="FootnoteReference"/>
        </w:rPr>
        <w:footnoteReference w:id="281"/>
      </w:r>
      <w:r w:rsidRPr="00C16B64">
        <w:t xml:space="preserve"> </w:t>
      </w:r>
      <w:r>
        <w:t xml:space="preserve"> </w:t>
      </w:r>
      <w:r w:rsidRPr="00C16B64">
        <w:t>The court</w:t>
      </w:r>
      <w:r>
        <w:t>,</w:t>
      </w:r>
      <w:r w:rsidRPr="00C16B64">
        <w:t xml:space="preserve"> relying on expert testimony, concluded</w:t>
      </w:r>
      <w:r w:rsidRPr="004A73BA">
        <w:t xml:space="preserve"> that the plan </w:t>
      </w:r>
      <w:r w:rsidRPr="009E6B1A">
        <w:t>“[</w:t>
      </w:r>
      <w:r w:rsidRPr="004A73BA">
        <w:t>was] an intentional, effective partisan gerrymander.”</w:t>
      </w:r>
      <w:r w:rsidRPr="0078695B">
        <w:rPr>
          <w:rStyle w:val="FootnoteReference"/>
        </w:rPr>
        <w:footnoteReference w:id="282"/>
      </w:r>
      <w:r>
        <w:t xml:space="preserve">  It found that the plan (nicknamed “</w:t>
      </w:r>
      <w:r w:rsidRPr="004A73BA">
        <w:t>Ad Astra 2</w:t>
      </w:r>
      <w:r>
        <w:t xml:space="preserve">”) </w:t>
      </w:r>
      <w:r w:rsidRPr="005F51A4">
        <w:t>“</w:t>
      </w:r>
      <w:r w:rsidRPr="004A73BA">
        <w:t>was designed intentionally and effectively to maximize Republican advantage</w:t>
      </w:r>
      <w:r w:rsidRPr="009E6B1A">
        <w:t>.”</w:t>
      </w:r>
      <w:r w:rsidRPr="0078695B">
        <w:rPr>
          <w:rStyle w:val="FootnoteReference"/>
        </w:rPr>
        <w:footnoteReference w:id="283"/>
      </w:r>
      <w:r>
        <w:t xml:space="preserve">  The </w:t>
      </w:r>
      <w:proofErr w:type="spellStart"/>
      <w:r>
        <w:t>state</w:t>
      </w:r>
      <w:del w:id="644" w:author="Jonathan Cervas" w:date="2023-06-29T13:46:00Z">
        <w:r w:rsidDel="00511739">
          <w:delText xml:space="preserve"> immediately </w:delText>
        </w:r>
      </w:del>
      <w:r>
        <w:t>appealed</w:t>
      </w:r>
      <w:proofErr w:type="spellEnd"/>
      <w:r>
        <w:t xml:space="preserve"> to the Kansas Supreme Court.</w:t>
      </w:r>
      <w:r w:rsidRPr="0078695B">
        <w:rPr>
          <w:rStyle w:val="FootnoteReference"/>
        </w:rPr>
        <w:footnoteReference w:id="284"/>
      </w:r>
      <w:r>
        <w:t xml:space="preserve">  </w:t>
      </w:r>
      <w:del w:id="650" w:author="Jonathan Cervas" w:date="2023-06-29T13:48:00Z">
        <w:r w:rsidDel="00511739">
          <w:delText xml:space="preserve">Two </w:delText>
        </w:r>
      </w:del>
      <w:ins w:id="651" w:author="Jonathan Cervas" w:date="2023-06-29T13:48:00Z">
        <w:r w:rsidR="00511739">
          <w:t>Four</w:t>
        </w:r>
        <w:r w:rsidR="00511739">
          <w:t xml:space="preserve"> </w:t>
        </w:r>
      </w:ins>
      <w:r>
        <w:t>questions were presented to the Kansas Supreme Court</w:t>
      </w:r>
      <w:ins w:id="652" w:author="Jonathan Cervas" w:date="2023-06-29T13:48:00Z">
        <w:r w:rsidR="00511739">
          <w:t xml:space="preserve">, </w:t>
        </w:r>
      </w:ins>
      <w:ins w:id="653" w:author="Jonathan Cervas" w:date="2023-06-29T13:51:00Z">
        <w:r w:rsidR="00511739">
          <w:t>with the relevant questions relating to</w:t>
        </w:r>
      </w:ins>
      <w:ins w:id="654" w:author="Jonathan Cervas" w:date="2023-06-29T13:48:00Z">
        <w:r w:rsidR="00511739">
          <w:t xml:space="preserve"> </w:t>
        </w:r>
      </w:ins>
      <w:ins w:id="655" w:author="Jonathan Cervas" w:date="2023-06-29T13:49:00Z">
        <w:r w:rsidR="00511739">
          <w:t>justiciability</w:t>
        </w:r>
      </w:ins>
      <w:ins w:id="656" w:author="Jonathan Cervas" w:date="2023-06-29T13:51:00Z">
        <w:r w:rsidR="00511739">
          <w:t xml:space="preserve"> of partisan claims</w:t>
        </w:r>
      </w:ins>
      <w:ins w:id="657" w:author="Jonathan Cervas" w:date="2023-06-29T13:48:00Z">
        <w:r w:rsidR="00511739">
          <w:t xml:space="preserve"> </w:t>
        </w:r>
      </w:ins>
      <w:ins w:id="658" w:author="Jonathan Cervas" w:date="2023-06-29T13:51:00Z">
        <w:r w:rsidR="00511739">
          <w:t>and</w:t>
        </w:r>
      </w:ins>
      <w:ins w:id="659" w:author="Jonathan Cervas" w:date="2023-06-29T13:48:00Z">
        <w:r w:rsidR="00511739">
          <w:t xml:space="preserve"> </w:t>
        </w:r>
      </w:ins>
      <w:ins w:id="660" w:author="Jonathan Cervas" w:date="2023-06-29T13:49:00Z">
        <w:r w:rsidR="00511739">
          <w:t xml:space="preserve">discrimination against </w:t>
        </w:r>
      </w:ins>
      <w:ins w:id="661" w:author="Jonathan Cervas" w:date="2023-06-29T13:51:00Z">
        <w:r w:rsidR="00511739">
          <w:t>minorities</w:t>
        </w:r>
      </w:ins>
      <w:del w:id="662" w:author="Jonathan Cervas" w:date="2023-06-29T13:50:00Z">
        <w:r w:rsidDel="00511739">
          <w:delText>: (1) Whether claims of partisan gerrymandering are justiciable; and (2) Whether Ad Astra 2 discriminates against minority voters.</w:delText>
        </w:r>
      </w:del>
      <w:r w:rsidRPr="0078695B">
        <w:rPr>
          <w:rStyle w:val="FootnoteReference"/>
        </w:rPr>
        <w:footnoteReference w:id="285"/>
      </w:r>
      <w:r>
        <w:t xml:space="preserve">  </w:t>
      </w:r>
      <w:r w:rsidRPr="00743C64">
        <w:rPr>
          <w:bCs/>
        </w:rPr>
        <w:t>The Kansas Supreme Court held that:</w:t>
      </w:r>
    </w:p>
    <w:p w14:paraId="6AC9D0F6" w14:textId="77777777" w:rsidR="00743C64" w:rsidRDefault="00743C64" w:rsidP="00743C64">
      <w:pPr>
        <w:pStyle w:val="UNHLRBodyTextBlockQuote"/>
      </w:pPr>
      <w:r w:rsidRPr="00743C64">
        <w:t>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Pr="0078695B">
        <w:rPr>
          <w:rStyle w:val="FootnoteReference"/>
        </w:rPr>
        <w:footnoteReference w:id="286"/>
      </w:r>
      <w:r w:rsidRPr="0055174F">
        <w:t xml:space="preserve"> </w:t>
      </w:r>
    </w:p>
    <w:p w14:paraId="5B62573D" w14:textId="3A75EA2D" w:rsidR="00743C64" w:rsidRPr="00C16B64" w:rsidRDefault="00743C64" w:rsidP="00743C64">
      <w:pPr>
        <w:pStyle w:val="UNHLRBodyTextnoindent"/>
      </w:pPr>
      <w:r w:rsidRPr="0055174F">
        <w:t xml:space="preserve">and </w:t>
      </w:r>
      <w:proofErr w:type="gramStart"/>
      <w:r w:rsidRPr="0055174F">
        <w:t>therefore</w:t>
      </w:r>
      <w:proofErr w:type="gramEnd"/>
      <w:r w:rsidRPr="0055174F">
        <w:t xml:space="preserve"> the question presented was nonjusticiable as a political question.</w:t>
      </w:r>
      <w:r w:rsidRPr="0078695B">
        <w:rPr>
          <w:rStyle w:val="FootnoteReference"/>
        </w:rPr>
        <w:footnoteReference w:id="287"/>
      </w:r>
      <w:r>
        <w:t xml:space="preserve">  The court further held </w:t>
      </w:r>
      <w:r w:rsidRPr="004A254D">
        <w:t xml:space="preserve">that plaintiffs did not establish the elements of their race-based claims and therefore could </w:t>
      </w:r>
      <w:r w:rsidRPr="00C16B64">
        <w:t>not show that Ad Astra 2 discriminated against minority voters.</w:t>
      </w:r>
      <w:r w:rsidRPr="0078695B">
        <w:rPr>
          <w:rStyle w:val="FootnoteReference"/>
        </w:rPr>
        <w:footnoteReference w:id="288"/>
      </w:r>
      <w:r>
        <w:t xml:space="preserve">  </w:t>
      </w:r>
      <w:r w:rsidRPr="00C16B64">
        <w:t xml:space="preserve">The map originally passed by the state legislature was the map used in the 2022 election. </w:t>
      </w:r>
      <w:r>
        <w:t xml:space="preserve"> </w:t>
      </w:r>
      <w:r w:rsidRPr="00C16B64">
        <w:t xml:space="preserve">Note that although the map was upheld against challenge, the grounds for doing </w:t>
      </w:r>
      <w:r w:rsidRPr="00C16B64">
        <w:lastRenderedPageBreak/>
        <w:t>so were jurisprudential</w:t>
      </w:r>
      <w:r w:rsidRPr="00F912CF">
        <w:t>,</w:t>
      </w:r>
      <w:r w:rsidRPr="00C16B64">
        <w:t xml:space="preserve"> and indeed,</w:t>
      </w:r>
      <w:ins w:id="675" w:author="Jonathan Cervas" w:date="2023-06-29T14:01:00Z">
        <w:r w:rsidR="00DB01D0">
          <w:t xml:space="preserve"> because the state supreme court did not reverse on the fact-finding,</w:t>
        </w:r>
      </w:ins>
      <w:r w:rsidRPr="00C16B64">
        <w:t xml:space="preserve"> the plan </w:t>
      </w:r>
      <w:del w:id="676" w:author="Jonathan Cervas" w:date="2023-06-29T14:01:00Z">
        <w:r w:rsidRPr="00C16B64" w:rsidDel="00DB01D0">
          <w:delText xml:space="preserve">was </w:delText>
        </w:r>
      </w:del>
      <w:ins w:id="677" w:author="Jonathan Cervas" w:date="2023-06-29T14:01:00Z">
        <w:r w:rsidR="00DB01D0">
          <w:t>is</w:t>
        </w:r>
        <w:r w:rsidR="00DB01D0" w:rsidRPr="00C16B64">
          <w:t xml:space="preserve"> </w:t>
        </w:r>
      </w:ins>
      <w:r w:rsidRPr="00C16B64">
        <w:t>labeled a partisan gerrymander.</w:t>
      </w:r>
      <w:r w:rsidRPr="0078695B">
        <w:rPr>
          <w:rStyle w:val="FootnoteReference"/>
        </w:rPr>
        <w:footnoteReference w:id="289"/>
      </w:r>
    </w:p>
    <w:p w14:paraId="18322E2A" w14:textId="737CBE1E" w:rsidR="00B76868" w:rsidRPr="00B76868" w:rsidRDefault="00B76868" w:rsidP="00B76868">
      <w:pPr>
        <w:pStyle w:val="Heading4"/>
        <w:numPr>
          <w:ilvl w:val="0"/>
          <w:numId w:val="54"/>
        </w:numPr>
        <w:ind w:left="1440"/>
      </w:pPr>
      <w:r>
        <w:t>New Jersey</w:t>
      </w:r>
    </w:p>
    <w:p w14:paraId="5E8F873F" w14:textId="77777777" w:rsidR="00D41874" w:rsidRDefault="00D41874" w:rsidP="00D41874">
      <w:pPr>
        <w:pStyle w:val="BodyText"/>
      </w:pPr>
      <w:r w:rsidRPr="00C16B64">
        <w:t xml:space="preserve">The process of congressional redistricting in New Jersey resides in a political commission composed of an equal number of Democrats and Republicans (six each), along with a tiebreaker chosen </w:t>
      </w:r>
      <w:r>
        <w:t>either by agreement of the other members or by the state Supreme Court</w:t>
      </w:r>
      <w:r w:rsidRPr="00C16B64">
        <w:t>.</w:t>
      </w:r>
      <w:r w:rsidRPr="0078695B">
        <w:rPr>
          <w:rStyle w:val="FootnoteReference"/>
        </w:rPr>
        <w:footnoteReference w:id="290"/>
      </w:r>
      <w:r>
        <w:t xml:space="preserve">  </w:t>
      </w:r>
      <w:r w:rsidRPr="00C16B64">
        <w:t>In the 2020 cycle, the commission’s tiebreaker exerted immense power because the two parties acted in isolation from one another to create</w:t>
      </w:r>
      <w:r>
        <w:t xml:space="preserve"> their own plans. The tiebreaker’s vote went to the Democratic plan.</w:t>
      </w:r>
      <w:r w:rsidRPr="0078695B">
        <w:rPr>
          <w:rStyle w:val="FootnoteReference"/>
        </w:rPr>
        <w:footnoteReference w:id="291"/>
      </w:r>
      <w:r>
        <w:t xml:space="preserve">  Former New Jersey Supreme Court Justice John Wallace, who served as the tiebreaker, justified his selection of the Democratic plan </w:t>
      </w:r>
      <w:r w:rsidRPr="00BA3041">
        <w:t>“simply because in the last redistricting map, it was drawn by the Republicans.”</w:t>
      </w:r>
      <w:r w:rsidRPr="0078695B">
        <w:rPr>
          <w:rStyle w:val="FootnoteReference"/>
        </w:rPr>
        <w:footnoteReference w:id="292"/>
      </w:r>
      <w:r>
        <w:t xml:space="preserve"> </w:t>
      </w:r>
    </w:p>
    <w:p w14:paraId="43446922" w14:textId="77777777" w:rsidR="00D41874" w:rsidRDefault="00D41874" w:rsidP="00D41874">
      <w:pPr>
        <w:pStyle w:val="BodyText"/>
      </w:pPr>
      <w:r>
        <w:t>The Republican delegation to the commission filed a complaint directly to the New Jersey Supreme Court.</w:t>
      </w:r>
      <w:r w:rsidRPr="0078695B">
        <w:rPr>
          <w:rStyle w:val="FootnoteReference"/>
        </w:rPr>
        <w:footnoteReference w:id="293"/>
      </w:r>
      <w:r>
        <w:t xml:space="preserve">  They asked the court to vacate the commission’s decision and remand.</w:t>
      </w:r>
      <w:r w:rsidRPr="0078695B">
        <w:rPr>
          <w:rStyle w:val="FootnoteReference"/>
        </w:rPr>
        <w:footnoteReference w:id="294"/>
      </w:r>
      <w:r>
        <w:t xml:space="preserve">  </w:t>
      </w:r>
      <w:r w:rsidRPr="00031816">
        <w:t xml:space="preserve">Plaintiffs argued that the actions of the Chair were </w:t>
      </w:r>
      <w:r w:rsidRPr="009E6B1A">
        <w:t>“</w:t>
      </w:r>
      <w:r w:rsidRPr="00031816">
        <w:t>arbitrary, capricious, and unreasonable</w:t>
      </w:r>
      <w:r w:rsidRPr="009E6B1A">
        <w:t>,”</w:t>
      </w:r>
      <w:r w:rsidRPr="00031816">
        <w:t xml:space="preserve"> violated </w:t>
      </w:r>
      <w:r w:rsidRPr="009E6B1A">
        <w:t>“</w:t>
      </w:r>
      <w:r w:rsidRPr="00031816">
        <w:t xml:space="preserve">federal and state constitutional </w:t>
      </w:r>
      <w:r w:rsidRPr="00C16B64">
        <w:t>equal protection and due process protections</w:t>
      </w:r>
      <w:r w:rsidRPr="009E6B1A">
        <w:t>,”</w:t>
      </w:r>
      <w:r w:rsidRPr="00C16B64">
        <w:t xml:space="preserve"> and posed a </w:t>
      </w:r>
      <w:r w:rsidRPr="009E6B1A">
        <w:t>“</w:t>
      </w:r>
      <w:r w:rsidRPr="00C16B64">
        <w:t>common law conflict of interest.</w:t>
      </w:r>
      <w:r>
        <w:t>”</w:t>
      </w:r>
      <w:commentRangeStart w:id="704"/>
      <w:r w:rsidRPr="0078695B">
        <w:rPr>
          <w:rStyle w:val="FootnoteReference"/>
        </w:rPr>
        <w:footnoteReference w:id="295"/>
      </w:r>
      <w:r w:rsidRPr="00C16B64">
        <w:t xml:space="preserve"> </w:t>
      </w:r>
      <w:commentRangeEnd w:id="704"/>
      <w:r w:rsidR="000413A5">
        <w:rPr>
          <w:rStyle w:val="CommentReference"/>
          <w:szCs w:val="20"/>
        </w:rPr>
        <w:commentReference w:id="704"/>
      </w:r>
    </w:p>
    <w:p w14:paraId="348CE59D" w14:textId="7FF49375" w:rsidR="00B76868" w:rsidRDefault="00D41874" w:rsidP="00D41874">
      <w:pPr>
        <w:pStyle w:val="BodyText"/>
      </w:pPr>
      <w:r w:rsidRPr="00C16B64">
        <w:t xml:space="preserve">But, as can be discerned </w:t>
      </w:r>
      <w:r>
        <w:t xml:space="preserve">from </w:t>
      </w:r>
      <w:r w:rsidRPr="005F51A4">
        <w:fldChar w:fldCharType="begin"/>
      </w:r>
      <w:r w:rsidRPr="009E6B1A">
        <w:instrText xml:space="preserve"> REF _Ref123137422 \h </w:instrText>
      </w:r>
      <w:r>
        <w:instrText xml:space="preserve"> \* MERGEFORMAT </w:instrText>
      </w:r>
      <w:r w:rsidRPr="005F51A4">
        <w:fldChar w:fldCharType="separate"/>
      </w:r>
      <w:r w:rsidRPr="004C773C">
        <w:t xml:space="preserve">Table </w:t>
      </w:r>
      <w:r w:rsidRPr="004C773C">
        <w:rPr>
          <w:noProof/>
        </w:rPr>
        <w:t>1</w:t>
      </w:r>
      <w:r w:rsidRPr="005F51A4">
        <w:fldChar w:fldCharType="end"/>
      </w:r>
      <w:r w:rsidRPr="00C16B64">
        <w:t>, New Jersey does not have state constitutional provisions that directly or indirectly prohibit partisan gerrymandering.</w:t>
      </w:r>
      <w:r w:rsidRPr="0078695B">
        <w:rPr>
          <w:rStyle w:val="FootnoteReference"/>
        </w:rPr>
        <w:footnoteReference w:id="296"/>
      </w:r>
      <w:r>
        <w:t xml:space="preserve">  </w:t>
      </w:r>
      <w:r w:rsidRPr="00C16B64">
        <w:t xml:space="preserve">The question before the court was whether </w:t>
      </w:r>
      <w:r>
        <w:t>P</w:t>
      </w:r>
      <w:r w:rsidRPr="009E6B1A">
        <w:t>laintiffs’</w:t>
      </w:r>
      <w:r w:rsidRPr="00C16B64">
        <w:t xml:space="preserve"> </w:t>
      </w:r>
      <w:r w:rsidRPr="00C16B64">
        <w:lastRenderedPageBreak/>
        <w:t>allegations were insufficient to support a claim upon which relief could be granted, because they did not assert any constitutional violation.</w:t>
      </w:r>
      <w:r w:rsidRPr="0078695B">
        <w:rPr>
          <w:rStyle w:val="FootnoteReference"/>
        </w:rPr>
        <w:footnoteReference w:id="297"/>
      </w:r>
      <w:r>
        <w:t xml:space="preserve">  </w:t>
      </w:r>
      <w:r w:rsidRPr="00C16B64">
        <w:t xml:space="preserve">The </w:t>
      </w:r>
      <w:r>
        <w:t>c</w:t>
      </w:r>
      <w:r w:rsidRPr="009E6B1A">
        <w:t>ourt</w:t>
      </w:r>
      <w:r w:rsidRPr="00C16B64">
        <w:t xml:space="preserve"> has no role in the outcome of the redistricting process unless the map is </w:t>
      </w:r>
      <w:r w:rsidRPr="009E6B1A">
        <w:t>“</w:t>
      </w:r>
      <w:r w:rsidRPr="00C16B64">
        <w:t>unlawful</w:t>
      </w:r>
      <w:r w:rsidRPr="005F51A4">
        <w:t>.”</w:t>
      </w:r>
      <w:r w:rsidRPr="0078695B">
        <w:rPr>
          <w:rStyle w:val="FootnoteReference"/>
        </w:rPr>
        <w:footnoteReference w:id="298"/>
      </w:r>
      <w:r>
        <w:t xml:space="preserve">  </w:t>
      </w:r>
      <w:r w:rsidRPr="00C16B64">
        <w:t>So long as the final map is constitutional, the court cannot grant any relief.</w:t>
      </w:r>
      <w:r w:rsidRPr="0078695B">
        <w:rPr>
          <w:rStyle w:val="FootnoteReference"/>
        </w:rPr>
        <w:footnoteReference w:id="299"/>
      </w:r>
      <w:r>
        <w:t xml:space="preserve">  The c</w:t>
      </w:r>
      <w:r w:rsidRPr="009E6B1A">
        <w:t>ourt</w:t>
      </w:r>
      <w:r w:rsidRPr="00C16B64">
        <w:t xml:space="preserve"> held that </w:t>
      </w:r>
      <w:r>
        <w:t>P</w:t>
      </w:r>
      <w:r w:rsidRPr="009E6B1A">
        <w:t>laintiffs’</w:t>
      </w:r>
      <w:r w:rsidRPr="00C16B64">
        <w:t xml:space="preserve"> allegations were insufficient to support a claim upon which relief could be granted because they did not assert any constitutional violation.</w:t>
      </w:r>
      <w:r w:rsidRPr="0078695B">
        <w:rPr>
          <w:rStyle w:val="FootnoteReference"/>
        </w:rPr>
        <w:footnoteReference w:id="300"/>
      </w:r>
      <w:r>
        <w:t xml:space="preserve">  </w:t>
      </w:r>
      <w:r w:rsidRPr="00C16B64">
        <w:t>The map passed by the commission was used in the 2022 midterm election.</w:t>
      </w:r>
      <w:r w:rsidRPr="0078695B">
        <w:rPr>
          <w:rStyle w:val="FootnoteReference"/>
        </w:rPr>
        <w:footnoteReference w:id="301"/>
      </w:r>
      <w:r>
        <w:t xml:space="preserve">  </w:t>
      </w:r>
      <w:r w:rsidRPr="00C16B64">
        <w:t>Here, too, although the map was upheld against challenge, the grounds for doing so were jurisprudential</w:t>
      </w:r>
      <w:r>
        <w:t>,</w:t>
      </w:r>
      <w:r w:rsidRPr="00C16B64">
        <w:t xml:space="preserve"> not fact-based.</w:t>
      </w:r>
      <w:r w:rsidRPr="0078695B">
        <w:rPr>
          <w:rStyle w:val="FootnoteReference"/>
        </w:rPr>
        <w:footnoteReference w:id="302"/>
      </w:r>
      <w:ins w:id="718" w:author="Jonathan Cervas" w:date="2023-06-29T14:49:00Z">
        <w:r w:rsidR="007F2ABF">
          <w:t xml:space="preserve"> </w:t>
        </w:r>
      </w:ins>
      <w:ins w:id="719" w:author="Jonathan Cervas" w:date="2023-06-29T14:52:00Z">
        <w:r w:rsidR="006113F8" w:rsidRPr="006113F8">
          <w:t>New Jersey stands apart from Kansas in that, unlike the latter, its plan has not been deemed a partisan gerrymander by any court.</w:t>
        </w:r>
      </w:ins>
      <w:ins w:id="720" w:author="Jonathan Cervas" w:date="2023-06-29T14:50:00Z">
        <w:r w:rsidR="007F2ABF">
          <w:rPr>
            <w:rStyle w:val="FootnoteReference"/>
          </w:rPr>
          <w:footnoteReference w:id="303"/>
        </w:r>
      </w:ins>
    </w:p>
    <w:p w14:paraId="1643436C" w14:textId="2C29EC61" w:rsidR="005B7708" w:rsidRPr="00B76868" w:rsidRDefault="005B7708" w:rsidP="005B7708">
      <w:pPr>
        <w:pStyle w:val="Heading4"/>
        <w:numPr>
          <w:ilvl w:val="0"/>
          <w:numId w:val="54"/>
        </w:numPr>
        <w:ind w:left="1440"/>
      </w:pPr>
      <w:r>
        <w:t>Wisconsin</w:t>
      </w:r>
    </w:p>
    <w:p w14:paraId="1C219015" w14:textId="1A694A0A" w:rsidR="00052E1C" w:rsidRDefault="00052E1C" w:rsidP="00052E1C">
      <w:pPr>
        <w:pStyle w:val="BodyText"/>
      </w:pPr>
      <w:r>
        <w:t>Wisconsin, like Pennsylvania and North Carolina, had enacted one of the most extreme gerrymanders of the 2010 cycle.</w:t>
      </w:r>
      <w:bookmarkStart w:id="727" w:name="_Ref138948549"/>
      <w:commentRangeStart w:id="728"/>
      <w:ins w:id="729" w:author="Jonathan Cervas" w:date="2023-06-29T14:54:00Z">
        <w:r w:rsidR="005D32B0">
          <w:rPr>
            <w:rStyle w:val="FootnoteReference"/>
          </w:rPr>
          <w:footnoteReference w:id="304"/>
        </w:r>
      </w:ins>
      <w:bookmarkEnd w:id="727"/>
      <w:commentRangeEnd w:id="728"/>
      <w:ins w:id="732" w:author="Jonathan Cervas" w:date="2023-06-29T15:06:00Z">
        <w:r w:rsidR="00573C01">
          <w:rPr>
            <w:rStyle w:val="CommentReference"/>
            <w:szCs w:val="20"/>
          </w:rPr>
          <w:commentReference w:id="728"/>
        </w:r>
      </w:ins>
      <w:r>
        <w:t xml:space="preserve">  That plan was the subject of a federal lawsuit that reached the U.S. </w:t>
      </w:r>
      <w:r w:rsidRPr="00C16B64">
        <w:t xml:space="preserve">Supreme Court but was mooted by </w:t>
      </w:r>
      <w:r w:rsidRPr="00052E1C">
        <w:rPr>
          <w:i/>
          <w:iCs/>
        </w:rPr>
        <w:t>Rucho</w:t>
      </w:r>
      <w:r w:rsidRPr="00C16B64">
        <w:t>.</w:t>
      </w:r>
      <w:r w:rsidRPr="0078695B">
        <w:rPr>
          <w:rStyle w:val="FootnoteReference"/>
        </w:rPr>
        <w:footnoteReference w:id="305"/>
      </w:r>
      <w:r>
        <w:t xml:space="preserve">  </w:t>
      </w:r>
      <w:r w:rsidRPr="00C16B64">
        <w:t xml:space="preserve">There are no provisions in the Wisconsin </w:t>
      </w:r>
      <w:r>
        <w:t>C</w:t>
      </w:r>
      <w:r w:rsidRPr="00C16B64">
        <w:t>onstitution that speak to partisan gerrymandering either directly or indirectly, and therefore no obvious route</w:t>
      </w:r>
      <w:r>
        <w:t xml:space="preserve"> to state court litigation.</w:t>
      </w:r>
      <w:r w:rsidRPr="0078695B">
        <w:rPr>
          <w:rStyle w:val="FootnoteReference"/>
        </w:rPr>
        <w:footnoteReference w:id="306"/>
      </w:r>
      <w:r>
        <w:t xml:space="preserve"> </w:t>
      </w:r>
    </w:p>
    <w:p w14:paraId="4EA13205" w14:textId="00071D6E" w:rsidR="00052E1C" w:rsidRDefault="00052E1C" w:rsidP="00052E1C">
      <w:pPr>
        <w:pStyle w:val="BodyText"/>
      </w:pPr>
      <w:r>
        <w:t xml:space="preserve">In the 2020 cycle, the political context had changed from the previous </w:t>
      </w:r>
      <w:r w:rsidRPr="00C16B64">
        <w:t xml:space="preserve">decade </w:t>
      </w:r>
      <w:r>
        <w:t>—</w:t>
      </w:r>
      <w:r w:rsidRPr="00C16B64">
        <w:t xml:space="preserve"> a decade when Republicans had party control over the process.</w:t>
      </w:r>
      <w:r>
        <w:t xml:space="preserve">  </w:t>
      </w:r>
      <w:r w:rsidRPr="00C16B64">
        <w:t>Though the state legislature remained in firm control of the Republicans</w:t>
      </w:r>
      <w:r>
        <w:t>, the governor was a Democrat.</w:t>
      </w:r>
      <w:r w:rsidRPr="0078695B">
        <w:rPr>
          <w:rStyle w:val="FootnoteReference"/>
        </w:rPr>
        <w:footnoteReference w:id="307"/>
      </w:r>
      <w:r>
        <w:t xml:space="preserve">  The state legislature and governor failed </w:t>
      </w:r>
      <w:r>
        <w:lastRenderedPageBreak/>
        <w:t>to agree to a plan.</w:t>
      </w:r>
      <w:r w:rsidRPr="0078695B">
        <w:rPr>
          <w:rStyle w:val="FootnoteReference"/>
        </w:rPr>
        <w:footnoteReference w:id="308"/>
      </w:r>
      <w:r>
        <w:t xml:space="preserve">  The Wisconsin Supreme Court took over jurisdiction regarding congressional redistricting.</w:t>
      </w:r>
      <w:r w:rsidRPr="0078695B">
        <w:rPr>
          <w:rStyle w:val="FootnoteReference"/>
        </w:rPr>
        <w:footnoteReference w:id="309"/>
      </w:r>
      <w:r>
        <w:t xml:space="preserve">  The court determined that it would choose among submissions to the court employing a “least change” approach.</w:t>
      </w:r>
      <w:r w:rsidRPr="0078695B">
        <w:rPr>
          <w:rStyle w:val="FootnoteReference"/>
        </w:rPr>
        <w:footnoteReference w:id="310"/>
      </w:r>
      <w:r>
        <w:t xml:space="preserve">  Among the proposals to the court included a plan from Governor Evers and one from the state assembly and state </w:t>
      </w:r>
      <w:commentRangeStart w:id="740"/>
      <w:r>
        <w:t>senate.</w:t>
      </w:r>
      <w:r w:rsidRPr="0078695B">
        <w:rPr>
          <w:rStyle w:val="FootnoteReference"/>
        </w:rPr>
        <w:footnoteReference w:id="311"/>
      </w:r>
      <w:r>
        <w:t xml:space="preserve">  </w:t>
      </w:r>
      <w:commentRangeEnd w:id="740"/>
      <w:r>
        <w:rPr>
          <w:rStyle w:val="CommentReference"/>
        </w:rPr>
        <w:commentReference w:id="740"/>
      </w:r>
      <w:r>
        <w:t>The court adopted the Governor’s plan.</w:t>
      </w:r>
      <w:r w:rsidRPr="0078695B">
        <w:rPr>
          <w:rStyle w:val="FootnoteReference"/>
        </w:rPr>
        <w:footnoteReference w:id="312"/>
      </w:r>
      <w:r>
        <w:t xml:space="preserve"> Among the reasons given was that it had the least alterations to the previous maps</w:t>
      </w:r>
      <w:r w:rsidRPr="0078695B">
        <w:rPr>
          <w:rStyle w:val="FootnoteReference"/>
        </w:rPr>
        <w:footnoteReference w:id="313"/>
      </w:r>
      <w:r>
        <w:t xml:space="preserve"> and that it complied with the U.S. Constitution’s Equal Protection Clause, the Voting Rights Act, and the Wisconsin Constitution.</w:t>
      </w:r>
      <w:r w:rsidRPr="0078695B">
        <w:rPr>
          <w:rStyle w:val="FootnoteReference"/>
        </w:rPr>
        <w:footnoteReference w:id="314"/>
      </w:r>
      <w:r>
        <w:t xml:space="preserve">  This plan is seen by some experts as being among the most gerrymandered maps after the 2020 cycle, but given the data in </w:t>
      </w:r>
      <w:r>
        <w:fldChar w:fldCharType="begin"/>
      </w:r>
      <w:r>
        <w:instrText xml:space="preserve"> REF _Ref123137422 \h  \* MERGEFORMAT </w:instrText>
      </w:r>
      <w:r>
        <w:fldChar w:fldCharType="separate"/>
      </w:r>
      <w:r>
        <w:t xml:space="preserve">Table </w:t>
      </w:r>
      <w:r>
        <w:rPr>
          <w:noProof/>
        </w:rPr>
        <w:t>1</w:t>
      </w:r>
      <w:r>
        <w:fldChar w:fldCharType="end"/>
      </w:r>
      <w:r>
        <w:t>, and that the state court itself ordering this plan’s implementation, it is difficult to imagine a route towards a remedy.</w:t>
      </w:r>
      <w:r w:rsidRPr="0078695B">
        <w:rPr>
          <w:rStyle w:val="FootnoteReference"/>
        </w:rPr>
        <w:footnoteReference w:id="315"/>
      </w:r>
    </w:p>
    <w:p w14:paraId="7142444D" w14:textId="77777777" w:rsidR="005B7708" w:rsidRDefault="005B7708" w:rsidP="00212B79">
      <w:pPr>
        <w:pStyle w:val="BodyText"/>
      </w:pPr>
    </w:p>
    <w:p w14:paraId="27875C9F" w14:textId="15CE8341" w:rsidR="00414F57" w:rsidRPr="00B81143" w:rsidRDefault="00414F57" w:rsidP="00212B79">
      <w:pPr>
        <w:pStyle w:val="Heading3"/>
      </w:pPr>
      <w:r>
        <w:t>Pending Cases in State Courts Where There is Partisan Gerrymandering Litigation</w:t>
      </w:r>
    </w:p>
    <w:p w14:paraId="338CEA1D" w14:textId="77777777" w:rsidR="005162DA" w:rsidRDefault="005162DA" w:rsidP="005162DA">
      <w:pPr>
        <w:pStyle w:val="BodyText"/>
      </w:pPr>
      <w:r>
        <w:t>There are several states where there is pending litigation in state courts concerning partisan gerrymandering.  We will offer only limited thoughts about these cases.</w:t>
      </w:r>
    </w:p>
    <w:p w14:paraId="78FFBA37" w14:textId="475358EE" w:rsidR="005B7708" w:rsidRPr="00B76868" w:rsidRDefault="005B7708" w:rsidP="005B7708">
      <w:pPr>
        <w:pStyle w:val="Heading4"/>
        <w:numPr>
          <w:ilvl w:val="0"/>
          <w:numId w:val="56"/>
        </w:numPr>
        <w:ind w:left="1440"/>
      </w:pPr>
      <w:r>
        <w:t>Arkansas</w:t>
      </w:r>
    </w:p>
    <w:p w14:paraId="76670531" w14:textId="77777777" w:rsidR="000714C5" w:rsidRDefault="000714C5" w:rsidP="000714C5">
      <w:pPr>
        <w:pStyle w:val="BodyText"/>
      </w:pPr>
      <w:r>
        <w:t xml:space="preserve">Arkansas is a state under clear party </w:t>
      </w:r>
      <w:r w:rsidRPr="00C16B64">
        <w:t>control</w:t>
      </w:r>
      <w:r w:rsidRPr="00F912CF">
        <w:t>,</w:t>
      </w:r>
      <w:r w:rsidRPr="00C16B64">
        <w:t xml:space="preserve"> and yet there were within-party splits.</w:t>
      </w:r>
      <w:r w:rsidRPr="0078695B">
        <w:rPr>
          <w:rStyle w:val="FootnoteReference"/>
        </w:rPr>
        <w:footnoteReference w:id="316"/>
      </w:r>
      <w:r>
        <w:t xml:space="preserve">  </w:t>
      </w:r>
      <w:r w:rsidRPr="00C16B64">
        <w:t>The legislature passed a plan through regular legislation.</w:t>
      </w:r>
      <w:r w:rsidRPr="0078695B">
        <w:rPr>
          <w:rStyle w:val="FootnoteReference"/>
        </w:rPr>
        <w:footnoteReference w:id="317"/>
      </w:r>
      <w:r w:rsidRPr="00C16B64">
        <w:t xml:space="preserve"> </w:t>
      </w:r>
      <w:r>
        <w:t xml:space="preserve"> </w:t>
      </w:r>
      <w:r w:rsidRPr="00C16B64">
        <w:t xml:space="preserve">The </w:t>
      </w:r>
      <w:r>
        <w:t>G</w:t>
      </w:r>
      <w:r w:rsidRPr="00C16B64">
        <w:t>overnor, who is of the same party, refused to sign</w:t>
      </w:r>
      <w:r>
        <w:t xml:space="preserve"> off on the plan, saying</w:t>
      </w:r>
      <w:r w:rsidRPr="005F51A4">
        <w:t>,</w:t>
      </w:r>
      <w:r>
        <w:t xml:space="preserve"> “</w:t>
      </w:r>
      <w:r w:rsidRPr="00042860">
        <w:t xml:space="preserve">I am concerned about the impact of the redistricting plan on </w:t>
      </w:r>
      <w:r w:rsidRPr="00042860">
        <w:lastRenderedPageBreak/>
        <w:t>minority populations.</w:t>
      </w:r>
      <w:r>
        <w:t>”</w:t>
      </w:r>
      <w:r w:rsidRPr="0078695B">
        <w:rPr>
          <w:rStyle w:val="FootnoteReference"/>
        </w:rPr>
        <w:footnoteReference w:id="318"/>
      </w:r>
      <w:r>
        <w:t xml:space="preserve">  The Governor went on to say: “</w:t>
      </w:r>
      <w:r w:rsidRPr="001E2F2F">
        <w:t>I decided not to veto the bills but instead to let them go into law without my signature. </w:t>
      </w:r>
      <w:r>
        <w:t xml:space="preserve"> </w:t>
      </w:r>
      <w:r w:rsidRPr="001E2F2F">
        <w:t>This will enable those who wish to challenge this redistricting plan in court to do so.</w:t>
      </w:r>
      <w:r>
        <w:t>”</w:t>
      </w:r>
      <w:r w:rsidRPr="0078695B">
        <w:rPr>
          <w:rStyle w:val="FootnoteReference"/>
        </w:rPr>
        <w:footnoteReference w:id="319"/>
      </w:r>
      <w:r>
        <w:t xml:space="preserve">  Indeed, voters did file suit in state court alleging that the plan </w:t>
      </w:r>
      <w:r w:rsidRPr="0091306B">
        <w:t>“interferes with and impairs the free exercise of suffrage by Black voters in Arkansas . . . by diluting, impairing, and undermining their ability to elect their candidates of choice.”</w:t>
      </w:r>
      <w:r w:rsidRPr="0078695B">
        <w:rPr>
          <w:rStyle w:val="FootnoteReference"/>
        </w:rPr>
        <w:footnoteReference w:id="320"/>
      </w:r>
      <w:r>
        <w:t xml:space="preserve"> </w:t>
      </w:r>
      <w:r w:rsidRPr="005F51A4">
        <w:t xml:space="preserve"> </w:t>
      </w:r>
      <w:r>
        <w:t>Plaintiffs further argue that the:</w:t>
      </w:r>
    </w:p>
    <w:p w14:paraId="35968E63" w14:textId="549526C7" w:rsidR="000714C5" w:rsidRDefault="000714C5" w:rsidP="000714C5">
      <w:pPr>
        <w:pStyle w:val="UNHLRBodyTextBlockQuote"/>
      </w:pPr>
      <w:r w:rsidRPr="002D7F99">
        <w:t xml:space="preserve">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w:t>
      </w:r>
      <w:r>
        <w:t>A</w:t>
      </w:r>
      <w:r w:rsidRPr="009E6B1A">
        <w:t>rt</w:t>
      </w:r>
      <w:r w:rsidRPr="002D7F99">
        <w:t xml:space="preserve">. 3, § 2, as well as the Equal Protection Clause, which further guarantees that ‘[t]he equality of all persons before the law’ and ‘shall ever remain inviolate,’ </w:t>
      </w:r>
      <w:r w:rsidRPr="000714C5">
        <w:rPr>
          <w:i/>
        </w:rPr>
        <w:t>id</w:t>
      </w:r>
      <w:r w:rsidRPr="002D7F99">
        <w:t xml:space="preserve">. </w:t>
      </w:r>
      <w:r>
        <w:t>A</w:t>
      </w:r>
      <w:r w:rsidRPr="000714C5">
        <w:rPr>
          <w:i/>
          <w:iCs/>
        </w:rPr>
        <w:t>.</w:t>
      </w:r>
      <w:r w:rsidRPr="00B51430">
        <w:t xml:space="preserve"> rt</w:t>
      </w:r>
      <w:r w:rsidRPr="002D7F99">
        <w:t>. 2, § 3</w:t>
      </w:r>
      <w:r w:rsidRPr="00B51430">
        <w:t>.</w:t>
      </w:r>
      <w:r w:rsidRPr="0078695B">
        <w:rPr>
          <w:rStyle w:val="FootnoteReference"/>
        </w:rPr>
        <w:footnoteReference w:id="321"/>
      </w:r>
    </w:p>
    <w:p w14:paraId="2444A878" w14:textId="58093CA2" w:rsidR="005B7708" w:rsidRDefault="000714C5" w:rsidP="000714C5">
      <w:pPr>
        <w:pStyle w:val="UNHLRBodyTextnoindent"/>
      </w:pPr>
      <w:r>
        <w:t>This case remains pending as of November 2022.</w:t>
      </w:r>
      <w:r w:rsidRPr="0078695B">
        <w:rPr>
          <w:rStyle w:val="FootnoteReference"/>
        </w:rPr>
        <w:footnoteReference w:id="322"/>
      </w:r>
    </w:p>
    <w:p w14:paraId="578A1492" w14:textId="193D28C4" w:rsidR="005B7708" w:rsidRPr="00B76868" w:rsidRDefault="005B7708" w:rsidP="005B7708">
      <w:pPr>
        <w:pStyle w:val="Heading4"/>
        <w:numPr>
          <w:ilvl w:val="0"/>
          <w:numId w:val="56"/>
        </w:numPr>
        <w:ind w:left="1440"/>
      </w:pPr>
      <w:r>
        <w:t>Florida</w:t>
      </w:r>
    </w:p>
    <w:p w14:paraId="575F7101" w14:textId="77777777" w:rsidR="00E9463D" w:rsidRDefault="00E9463D" w:rsidP="00E9463D">
      <w:pPr>
        <w:pStyle w:val="BodyText"/>
      </w:pPr>
      <w:r>
        <w:t>A contested process led to the adoption of maps favored by the Governor of Florida.</w:t>
      </w:r>
      <w:r w:rsidRPr="0078695B">
        <w:rPr>
          <w:rStyle w:val="FootnoteReference"/>
        </w:rPr>
        <w:footnoteReference w:id="323"/>
      </w:r>
      <w:r>
        <w:t xml:space="preserve">  The map initially passed by the Florida Legislature was vetoed by the Governor.</w:t>
      </w:r>
      <w:r w:rsidRPr="0078695B">
        <w:rPr>
          <w:rStyle w:val="FootnoteReference"/>
        </w:rPr>
        <w:footnoteReference w:id="324"/>
      </w:r>
      <w:r>
        <w:t xml:space="preserve">  The Governor’s opposition to the state legislature’s preferred maps delayed the adoption of a plan until April </w:t>
      </w:r>
      <w:r w:rsidRPr="00C16B64">
        <w:t>2022, which made Florida</w:t>
      </w:r>
      <w:r>
        <w:t xml:space="preserve"> among the last states in the country to approve a plan.</w:t>
      </w:r>
      <w:r w:rsidRPr="0078695B">
        <w:rPr>
          <w:rStyle w:val="FootnoteReference"/>
        </w:rPr>
        <w:footnoteReference w:id="325"/>
      </w:r>
      <w:r>
        <w:t xml:space="preserve">  The plan was passed on a party-line vote.</w:t>
      </w:r>
      <w:r w:rsidRPr="0078695B">
        <w:rPr>
          <w:rStyle w:val="FootnoteReference"/>
        </w:rPr>
        <w:footnoteReference w:id="326"/>
      </w:r>
      <w:r>
        <w:t xml:space="preserve">  Litigants sued in state court alleging that Governor Ron DeSantis “hijacked” the redistricting process, by “</w:t>
      </w:r>
      <w:r w:rsidRPr="00867309">
        <w:t xml:space="preserve">unilaterally </w:t>
      </w:r>
      <w:proofErr w:type="spellStart"/>
      <w:r w:rsidRPr="00867309">
        <w:t>declar</w:t>
      </w:r>
      <w:proofErr w:type="spellEnd"/>
      <w:r>
        <w:t>[</w:t>
      </w:r>
      <w:proofErr w:type="spellStart"/>
      <w:r>
        <w:t>ing</w:t>
      </w:r>
      <w:proofErr w:type="spellEnd"/>
      <w:r>
        <w:t>]</w:t>
      </w:r>
      <w:r w:rsidRPr="00867309">
        <w:t xml:space="preserve"> the Fair Districts Amendment unconstitutional</w:t>
      </w:r>
      <w:r>
        <w:t>” and by vetoing</w:t>
      </w:r>
      <w:r w:rsidRPr="00867309">
        <w:t xml:space="preserve"> the Legislature’s congressional plan and </w:t>
      </w:r>
      <w:r>
        <w:t>“</w:t>
      </w:r>
      <w:proofErr w:type="spellStart"/>
      <w:r w:rsidRPr="00867309">
        <w:t>conven</w:t>
      </w:r>
      <w:proofErr w:type="spellEnd"/>
      <w:r>
        <w:t>[</w:t>
      </w:r>
      <w:proofErr w:type="spellStart"/>
      <w:r>
        <w:t>ing</w:t>
      </w:r>
      <w:proofErr w:type="spellEnd"/>
      <w:r>
        <w:t>]</w:t>
      </w:r>
      <w:r w:rsidRPr="00867309">
        <w:t xml:space="preserve"> a special legislative session, leaving the Legislature little choice but to consider and pass his own redistricting </w:t>
      </w:r>
      <w:r w:rsidRPr="00867309">
        <w:lastRenderedPageBreak/>
        <w:t>scheme</w:t>
      </w:r>
      <w:r>
        <w:t>.”</w:t>
      </w:r>
      <w:r w:rsidRPr="0078695B">
        <w:rPr>
          <w:rStyle w:val="FootnoteReference"/>
        </w:rPr>
        <w:footnoteReference w:id="327"/>
      </w:r>
      <w:r>
        <w:t xml:space="preserve">  </w:t>
      </w:r>
      <w:r w:rsidRPr="00610F2E">
        <w:t>Plaintiffs also allege that the DeSantis Plan “intentionally favors the Republican Party at nearly every turn, eliminating three Democratic seats and transforming competitive seats into Republican-leaning ones.</w:t>
      </w:r>
      <w:r w:rsidRPr="0078695B">
        <w:rPr>
          <w:rStyle w:val="FootnoteReference"/>
        </w:rPr>
        <w:footnoteReference w:id="328"/>
      </w:r>
      <w:r>
        <w:t xml:space="preserve">  </w:t>
      </w:r>
      <w:r w:rsidRPr="00610F2E">
        <w:t xml:space="preserve">And in so doing, it needlessly produces </w:t>
      </w:r>
      <w:r w:rsidRPr="00FB61B1">
        <w:t>non</w:t>
      </w:r>
      <w:r>
        <w:t>-</w:t>
      </w:r>
      <w:r w:rsidRPr="00FB61B1">
        <w:t>compact</w:t>
      </w:r>
      <w:r w:rsidRPr="00610F2E">
        <w:t xml:space="preserve"> districts that split geographic and political boundaries.”</w:t>
      </w:r>
      <w:r w:rsidRPr="0078695B">
        <w:rPr>
          <w:rStyle w:val="FootnoteReference"/>
        </w:rPr>
        <w:footnoteReference w:id="329"/>
      </w:r>
    </w:p>
    <w:p w14:paraId="6244EA49" w14:textId="719785A3" w:rsidR="005B7708" w:rsidRDefault="00E9463D" w:rsidP="00E9463D">
      <w:pPr>
        <w:pStyle w:val="BodyText"/>
      </w:pPr>
      <w:r w:rsidRPr="00E9463D">
        <w:rPr>
          <w:bCs/>
        </w:rPr>
        <w:t>As noted earlier, the</w:t>
      </w:r>
      <w:r>
        <w:t xml:space="preserve"> Florida Constitution has direct language prohibiting partisan gerrymandering.</w:t>
      </w:r>
      <w:r w:rsidRPr="0078695B">
        <w:rPr>
          <w:rStyle w:val="FootnoteReference"/>
        </w:rPr>
        <w:footnoteReference w:id="330"/>
      </w:r>
      <w:r>
        <w:t xml:space="preserve">  </w:t>
      </w:r>
      <w:r w:rsidRPr="002B1198">
        <w:t xml:space="preserve">Plaintiffs argue that the DeSantis Plan violates </w:t>
      </w:r>
      <w:r w:rsidRPr="00991242">
        <w:t>Art</w:t>
      </w:r>
      <w:r>
        <w:t>.</w:t>
      </w:r>
      <w:r w:rsidRPr="002B1198">
        <w:t xml:space="preserve"> III, §</w:t>
      </w:r>
      <w:r>
        <w:t> </w:t>
      </w:r>
      <w:r w:rsidRPr="002B1198">
        <w:t>20 of the Fl</w:t>
      </w:r>
      <w:r>
        <w:t>orida</w:t>
      </w:r>
      <w:r w:rsidRPr="002B1198">
        <w:t xml:space="preserve"> Constitution by diminishing minorities’ ability to elect, intentionally abridging and diminishing minority voting strength, intentionally favoring/disfavoring a political party, and violating traditional districting principles such as compactness, and political and geographical boundary splits.</w:t>
      </w:r>
      <w:r w:rsidRPr="0078695B">
        <w:rPr>
          <w:rStyle w:val="FootnoteReference"/>
        </w:rPr>
        <w:footnoteReference w:id="331"/>
      </w:r>
      <w:r>
        <w:t xml:space="preserve">  Because of the very late passage of a plan, this litigation has not resulted</w:t>
      </w:r>
      <w:r w:rsidRPr="00012279">
        <w:t xml:space="preserve"> in a verdic</w:t>
      </w:r>
      <w:r>
        <w:t>t on the merits.</w:t>
      </w:r>
      <w:r w:rsidRPr="0078695B">
        <w:rPr>
          <w:rStyle w:val="FootnoteReference"/>
        </w:rPr>
        <w:footnoteReference w:id="332"/>
      </w:r>
    </w:p>
    <w:p w14:paraId="1D1C9DEC" w14:textId="2D40E328" w:rsidR="005B7708" w:rsidRDefault="005B7708" w:rsidP="005B7708">
      <w:pPr>
        <w:pStyle w:val="Heading4"/>
        <w:numPr>
          <w:ilvl w:val="0"/>
          <w:numId w:val="56"/>
        </w:numPr>
        <w:ind w:left="1440"/>
      </w:pPr>
      <w:r>
        <w:t>Kentucky</w:t>
      </w:r>
    </w:p>
    <w:p w14:paraId="5B7D912F" w14:textId="77777777" w:rsidR="005A65E3" w:rsidRDefault="005A65E3" w:rsidP="005A65E3">
      <w:pPr>
        <w:pStyle w:val="BodyText"/>
      </w:pPr>
      <w:r>
        <w:t>Party control over redistricting was held by one party in Kentucky for the 2020 cycle because the Republican majorities in both chambers were sufficient to override a veto of the Democratic governor.</w:t>
      </w:r>
      <w:r w:rsidRPr="0078695B">
        <w:rPr>
          <w:rStyle w:val="FootnoteReference"/>
        </w:rPr>
        <w:footnoteReference w:id="333"/>
      </w:r>
      <w:r>
        <w:t xml:space="preserve">  The map was like the plan used in the 2010 cycle, with changes focusing on adding Republican voters to a district where </w:t>
      </w:r>
      <w:r w:rsidRPr="00C16B64">
        <w:t>the Democratic incumbent won a narrow contest in 2018.</w:t>
      </w:r>
      <w:r w:rsidRPr="0078695B">
        <w:rPr>
          <w:rStyle w:val="FootnoteReference"/>
        </w:rPr>
        <w:footnoteReference w:id="334"/>
      </w:r>
      <w:r>
        <w:t xml:space="preserve">  </w:t>
      </w:r>
      <w:r w:rsidRPr="00C16B64">
        <w:t>The Democratic Party of Kentucky proceeded to</w:t>
      </w:r>
      <w:r>
        <w:t xml:space="preserve"> sue in state court.</w:t>
      </w:r>
      <w:commentRangeStart w:id="759"/>
      <w:r w:rsidRPr="0078695B">
        <w:rPr>
          <w:rStyle w:val="FootnoteReference"/>
        </w:rPr>
        <w:footnoteReference w:id="335"/>
      </w:r>
      <w:commentRangeEnd w:id="759"/>
      <w:r>
        <w:rPr>
          <w:rStyle w:val="CommentReference"/>
        </w:rPr>
        <w:commentReference w:id="759"/>
      </w:r>
    </w:p>
    <w:p w14:paraId="7B37B02E" w14:textId="77777777" w:rsidR="005A65E3" w:rsidRDefault="005A65E3" w:rsidP="005A65E3">
      <w:pPr>
        <w:pStyle w:val="BodyText"/>
      </w:pPr>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w:t>
      </w:r>
      <w:r w:rsidRPr="0078695B">
        <w:rPr>
          <w:rStyle w:val="FootnoteReference"/>
        </w:rPr>
        <w:footnoteReference w:id="336"/>
      </w:r>
      <w:r>
        <w:t xml:space="preserve"> and </w:t>
      </w:r>
      <w:r w:rsidRPr="00396F41">
        <w:t xml:space="preserve">(2) </w:t>
      </w:r>
      <w:r>
        <w:t xml:space="preserve">that </w:t>
      </w:r>
      <w:r w:rsidRPr="00396F41">
        <w:t xml:space="preserve">the </w:t>
      </w:r>
      <w:r>
        <w:t>“</w:t>
      </w:r>
      <w:r w:rsidRPr="009E6B1A">
        <w:t>mapmakers</w:t>
      </w:r>
      <w:r w:rsidRPr="00B51430">
        <w:t>[]</w:t>
      </w:r>
      <w:r w:rsidRPr="00396F41">
        <w:t xml:space="preserve"> </w:t>
      </w:r>
      <w:proofErr w:type="spellStart"/>
      <w:r w:rsidRPr="00396F41">
        <w:t>violat</w:t>
      </w:r>
      <w:proofErr w:type="spellEnd"/>
      <w:r>
        <w:t>[ed</w:t>
      </w:r>
      <w:r w:rsidRPr="009E6B1A">
        <w:t>]. . .</w:t>
      </w:r>
      <w:r w:rsidRPr="00396F41">
        <w:t>Section 33 of the Kentucky</w:t>
      </w:r>
      <w:r>
        <w:t xml:space="preserve"> </w:t>
      </w:r>
      <w:r w:rsidRPr="00396F41">
        <w:t xml:space="preserve">Constitution </w:t>
      </w:r>
      <w:r w:rsidRPr="00396F41">
        <w:lastRenderedPageBreak/>
        <w:t>by excessively and unnecessarily splitting counties into multiple districts without a legitimate purpose, and impermissibly attaching portions of split counties to others more times than is necessary to achieve districts of roughly equal size.”</w:t>
      </w:r>
      <w:r w:rsidRPr="0078695B">
        <w:rPr>
          <w:rStyle w:val="FootnoteReference"/>
        </w:rPr>
        <w:footnoteReference w:id="337"/>
      </w:r>
      <w:r>
        <w:t xml:space="preserve">  Because the election cycle was underway by the time the case was brought, the state court determined that a </w:t>
      </w:r>
      <w:r w:rsidRPr="00F23B3B">
        <w:t xml:space="preserve">temporary injunction </w:t>
      </w:r>
      <w:r>
        <w:t>would harm election officials in their ability to hold the forthcoming election and that there was not a sufficient showing of harm</w:t>
      </w:r>
      <w:r w:rsidRPr="00762D80">
        <w:t xml:space="preserve"> to justify</w:t>
      </w:r>
      <w:r>
        <w:t xml:space="preserve"> interfering with the use of the plan for the 2022 election.</w:t>
      </w:r>
      <w:r w:rsidRPr="0078695B">
        <w:rPr>
          <w:rStyle w:val="FootnoteReference"/>
        </w:rPr>
        <w:footnoteReference w:id="338"/>
      </w:r>
    </w:p>
    <w:p w14:paraId="178341EF" w14:textId="1766BC92" w:rsidR="00FA4F11" w:rsidRDefault="005A65E3" w:rsidP="005A65E3">
      <w:pPr>
        <w:pStyle w:val="BodyText"/>
      </w:pPr>
      <w:r>
        <w:t xml:space="preserve">Just days after the 2022 midterm election, the Kentucky lower state court delivered its ruling. </w:t>
      </w:r>
      <w:r w:rsidRPr="009E6B1A">
        <w:t xml:space="preserve"> </w:t>
      </w:r>
      <w:r>
        <w:t xml:space="preserve">While it found that the plan </w:t>
      </w:r>
      <w:r w:rsidRPr="005A65E3">
        <w:rPr>
          <w:u w:val="single"/>
        </w:rPr>
        <w:t>was</w:t>
      </w:r>
      <w:r>
        <w:t xml:space="preserve"> a partisan gerrymander, it determined it did not violate the Kentucky Constitution.</w:t>
      </w:r>
      <w:r w:rsidRPr="0078695B">
        <w:rPr>
          <w:rStyle w:val="FootnoteReference"/>
        </w:rPr>
        <w:footnoteReference w:id="339"/>
      </w:r>
      <w:r>
        <w:t xml:space="preserve">  It acknowledged that “[t]</w:t>
      </w:r>
      <w:r w:rsidRPr="000B3394">
        <w:t>he Kentucky Constitution, like most state constitutions, is much more specific than the United States Constitution.</w:t>
      </w:r>
      <w:r>
        <w:t>”</w:t>
      </w:r>
      <w:r w:rsidRPr="0078695B">
        <w:rPr>
          <w:rStyle w:val="FootnoteReference"/>
        </w:rPr>
        <w:footnoteReference w:id="340"/>
      </w:r>
      <w:r>
        <w:t xml:space="preserve">  The court continued, </w:t>
      </w:r>
      <w:r w:rsidRPr="009E6B1A">
        <w:t>“</w:t>
      </w:r>
      <w:r>
        <w:t>[a]</w:t>
      </w:r>
      <w:commentRangeStart w:id="770"/>
      <w:proofErr w:type="spellStart"/>
      <w:r w:rsidRPr="000B3394">
        <w:t>lso</w:t>
      </w:r>
      <w:commentRangeEnd w:id="770"/>
      <w:proofErr w:type="spellEnd"/>
      <w:r>
        <w:rPr>
          <w:rStyle w:val="CommentReference"/>
        </w:rPr>
        <w:commentReference w:id="770"/>
      </w:r>
      <w:r w:rsidRPr="000B3394">
        <w:t>, as recognized by the North Carolina Supreme Court, on the state level, it is easier to craft a set of criteria to evaluate an alleged partisan gerrymander than it is on the federal level.</w:t>
      </w:r>
      <w:r>
        <w:t>”</w:t>
      </w:r>
      <w:r w:rsidRPr="0078695B">
        <w:rPr>
          <w:rStyle w:val="FootnoteReference"/>
        </w:rPr>
        <w:footnoteReference w:id="341"/>
      </w:r>
      <w:r>
        <w:t xml:space="preserve">  However, the court determined that the free and equal clause found in the Kentucky Constitution “does not prohibit partisan gerrymandering because Section 6 has nothing to do with state or Congressional apportionment</w:t>
      </w:r>
      <w:r w:rsidRPr="00B51430">
        <w:t>.”</w:t>
      </w:r>
      <w:r w:rsidRPr="0078695B">
        <w:rPr>
          <w:rStyle w:val="FootnoteReference"/>
        </w:rPr>
        <w:footnoteReference w:id="342"/>
      </w:r>
      <w:r>
        <w:t xml:space="preserve">  The court accepts that other states have used these types of provisions to strike down plans as partisan gerrymanders, and that the plan adopted by Kentucky is indeed a partisan gerrymander, but “declines to add</w:t>
      </w:r>
      <w:r w:rsidRPr="00D845BA">
        <w:t>ress the validity or applicability of other states’ partisan gerrymandering decisions in this action because</w:t>
      </w:r>
      <w:r w:rsidRPr="009E6B1A">
        <w:t>. . .</w:t>
      </w:r>
      <w:r>
        <w:t xml:space="preserve"> </w:t>
      </w:r>
      <w:r w:rsidRPr="00E911E2">
        <w:t>the Kentucky Constitution does not prohibit partisan gerrymandering because it does not apply to apportionment, but rather to interferences with the vote-placement and vote-counting process</w:t>
      </w:r>
      <w:r>
        <w:t>.”</w:t>
      </w:r>
      <w:r w:rsidRPr="0078695B">
        <w:rPr>
          <w:rStyle w:val="FootnoteReference"/>
        </w:rPr>
        <w:footnoteReference w:id="343"/>
      </w:r>
      <w:r>
        <w:t xml:space="preserve">  Plaintiffs retain the option to appeal this decision to the Kentucky Supreme Court.</w:t>
      </w:r>
      <w:r w:rsidRPr="0078695B">
        <w:rPr>
          <w:rStyle w:val="FootnoteReference"/>
        </w:rPr>
        <w:footnoteReference w:id="344"/>
      </w:r>
    </w:p>
    <w:p w14:paraId="6A9ACFC7" w14:textId="6D8CD307" w:rsidR="00FA4F11" w:rsidRDefault="00FA4F11" w:rsidP="00FA4F11">
      <w:pPr>
        <w:pStyle w:val="Heading4"/>
        <w:numPr>
          <w:ilvl w:val="0"/>
          <w:numId w:val="56"/>
        </w:numPr>
        <w:ind w:left="1440"/>
      </w:pPr>
      <w:r>
        <w:lastRenderedPageBreak/>
        <w:t>New Mexico</w:t>
      </w:r>
    </w:p>
    <w:p w14:paraId="74634297" w14:textId="38E264E4" w:rsidR="007E5D63" w:rsidRDefault="007E5D63" w:rsidP="007E5D63">
      <w:pPr>
        <w:pStyle w:val="BodyText"/>
      </w:pPr>
      <w:r>
        <w:t>The 2020 cycle in New Mexico was under party control of the Democrats.</w:t>
      </w:r>
      <w:r w:rsidRPr="0078695B">
        <w:rPr>
          <w:rStyle w:val="FootnoteReference"/>
        </w:rPr>
        <w:footnoteReference w:id="345"/>
      </w:r>
      <w:r>
        <w:t xml:space="preserve">  The state established an advisory commission recently, but plans submitted by the commission can be amended by the legislature.</w:t>
      </w:r>
      <w:ins w:id="774" w:author="Jonathan Cervas" w:date="2023-06-29T15:33:00Z">
        <w:r w:rsidR="004957BF">
          <w:rPr>
            <w:rStyle w:val="FootnoteReference"/>
          </w:rPr>
          <w:footnoteReference w:id="346"/>
        </w:r>
      </w:ins>
      <w:r w:rsidR="00E11495">
        <w:rPr>
          <w:noProof/>
        </w:rPr>
        <w:t xml:space="preserve"> </w:t>
      </w:r>
      <w:r w:rsidR="00E11495">
        <w:rPr>
          <w:noProof/>
        </w:rPr>
        <w:tab/>
      </w:r>
      <w:moveFromRangeStart w:id="778" w:author="Jonathan Cervas" w:date="2023-06-29T15:33:00Z" w:name="move138945211"/>
      <w:moveFrom w:id="779" w:author="Jonathan Cervas" w:date="2023-06-29T15:33:00Z">
        <w:r w:rsidR="00E11495" w:rsidDel="004957BF">
          <w:rPr>
            <w:noProof/>
          </w:rPr>
          <w:t>Republican Party of New Mexico v. Oliver, No. D-506-CV-202200041 at *12-14 (N.M. D. Ct. Jan. 21, 2022).</w:t>
        </w:r>
        <w:r w:rsidDel="004957BF">
          <w:t xml:space="preserve">  </w:t>
        </w:r>
      </w:moveFrom>
      <w:moveFromRangeEnd w:id="778"/>
      <w:r>
        <w:t>The commission adopted three maps, two of which were consistent with traditional redistricting principles and a third which was adopted to “maintain the status quo.”</w:t>
      </w:r>
      <w:r w:rsidRPr="0078695B">
        <w:rPr>
          <w:rStyle w:val="FootnoteReference"/>
        </w:rPr>
        <w:footnoteReference w:id="347"/>
      </w:r>
      <w:r>
        <w:t xml:space="preserve">  Six of seven commission members submitted one of the submitted maps.</w:t>
      </w:r>
      <w:r w:rsidRPr="0078695B">
        <w:rPr>
          <w:rStyle w:val="FootnoteReference"/>
        </w:rPr>
        <w:footnoteReference w:id="348"/>
      </w:r>
      <w:r>
        <w:t xml:space="preserve"> T</w:t>
      </w:r>
      <w:r w:rsidRPr="008F3E7B">
        <w:t xml:space="preserve">he legislature </w:t>
      </w:r>
      <w:r>
        <w:t>adopted none of the commission’s maps.</w:t>
      </w:r>
      <w:r w:rsidRPr="0078695B">
        <w:rPr>
          <w:rStyle w:val="FootnoteReference"/>
        </w:rPr>
        <w:footnoteReference w:id="349"/>
      </w:r>
      <w:r>
        <w:t xml:space="preserve">  It amended one of the plans, which became referred to as the</w:t>
      </w:r>
      <w:r w:rsidRPr="008F3E7B">
        <w:t xml:space="preserve"> “People’s Map</w:t>
      </w:r>
      <w:r>
        <w:t>.”</w:t>
      </w:r>
      <w:r w:rsidRPr="0078695B">
        <w:rPr>
          <w:rStyle w:val="FootnoteReference"/>
        </w:rPr>
        <w:footnoteReference w:id="350"/>
      </w:r>
      <w:r>
        <w:t xml:space="preserve">  In a signing statement, the New Mexico Governor said, </w:t>
      </w:r>
      <w:r w:rsidRPr="00BC7590">
        <w:t>“</w:t>
      </w:r>
      <w:r>
        <w:t>[i]</w:t>
      </w:r>
      <w:r w:rsidRPr="00BC7590">
        <w:t>t is my duty to ratify the will of the majority here, which I believe has established a reasonable baseline for competitive federal elections, in which no one party or candidate may claim any undue advantage.</w:t>
      </w:r>
      <w:r>
        <w:t>”</w:t>
      </w:r>
      <w:r w:rsidRPr="0078695B">
        <w:rPr>
          <w:rStyle w:val="FootnoteReference"/>
        </w:rPr>
        <w:footnoteReference w:id="351"/>
      </w:r>
      <w:r>
        <w:t xml:space="preserve">  </w:t>
      </w:r>
    </w:p>
    <w:p w14:paraId="1EFE7DB0" w14:textId="77777777" w:rsidR="007E5D63" w:rsidRDefault="007E5D63" w:rsidP="007E5D63">
      <w:pPr>
        <w:pStyle w:val="BodyText"/>
      </w:pPr>
      <w:r>
        <w:t xml:space="preserve">The Republican Party of New Mexico objected to the new map and </w:t>
      </w:r>
      <w:r w:rsidRPr="009C0A6F">
        <w:t>challenged it in</w:t>
      </w:r>
      <w:r>
        <w:t xml:space="preserve"> state court.</w:t>
      </w:r>
      <w:r w:rsidRPr="0078695B">
        <w:rPr>
          <w:rStyle w:val="FootnoteReference"/>
        </w:rPr>
        <w:footnoteReference w:id="352"/>
      </w:r>
      <w:r>
        <w:t xml:space="preserve"> </w:t>
      </w:r>
      <w:r w:rsidRPr="006C6B77">
        <w:t xml:space="preserve">Plaintiffs </w:t>
      </w:r>
      <w:r>
        <w:t xml:space="preserve">in </w:t>
      </w:r>
      <w:r w:rsidRPr="007E5D63">
        <w:rPr>
          <w:i/>
          <w:iCs/>
        </w:rPr>
        <w:t>Republican Party of Nex Mexico v. Oliver</w:t>
      </w:r>
      <w:r w:rsidRPr="006C6B77">
        <w:t xml:space="preserve"> filed a complaint alleging that</w:t>
      </w:r>
      <w:r>
        <w:t>:</w:t>
      </w:r>
    </w:p>
    <w:p w14:paraId="242892E5" w14:textId="77777777" w:rsidR="007E5D63" w:rsidRPr="00B51430" w:rsidRDefault="007E5D63" w:rsidP="007E5D63">
      <w:pPr>
        <w:pStyle w:val="UNHLRBodyTextBlockQuote"/>
      </w:pPr>
      <w:r w:rsidRPr="006C6B77">
        <w:t>Senate Bill 1</w:t>
      </w:r>
      <w:r w:rsidRPr="00B51430">
        <w:t>. . .</w:t>
      </w:r>
      <w:r w:rsidRPr="006C6B77">
        <w:t xml:space="preserve">redraws New Mexico’s three congressional districts in contravention of traditional redistricting principles endorsed by the </w:t>
      </w:r>
      <w:r>
        <w:t>s</w:t>
      </w:r>
      <w:r w:rsidRPr="00F912CF">
        <w:t xml:space="preserve">tate </w:t>
      </w:r>
      <w:r>
        <w:t>l</w:t>
      </w:r>
      <w:r w:rsidRPr="009E6B1A">
        <w:t>egislature</w:t>
      </w:r>
      <w:r w:rsidRPr="006C6B77">
        <w:t xml:space="preserve"> and the New Mexico Supreme Court </w:t>
      </w:r>
      <w:proofErr w:type="gramStart"/>
      <w:r w:rsidRPr="006C6B77">
        <w:t>in order to</w:t>
      </w:r>
      <w:proofErr w:type="gramEnd"/>
      <w:r w:rsidRPr="006C6B77">
        <w:t xml:space="preserve"> accomplish a political gerrymander that unconstitutionally dilutes the votes of residents of southeastern New Mexico in order to achieve partisan advantage</w:t>
      </w:r>
      <w:r w:rsidRPr="009E6B1A">
        <w:t>.</w:t>
      </w:r>
      <w:r w:rsidRPr="0078695B">
        <w:rPr>
          <w:rStyle w:val="FootnoteReference"/>
        </w:rPr>
        <w:footnoteReference w:id="353"/>
      </w:r>
      <w:r>
        <w:t xml:space="preserve">  </w:t>
      </w:r>
    </w:p>
    <w:p w14:paraId="0BABD507" w14:textId="7F07AA78" w:rsidR="00FA4F11" w:rsidRDefault="007E5D63" w:rsidP="007E5D63">
      <w:pPr>
        <w:pStyle w:val="UNHLRBodyTextnoindent"/>
      </w:pPr>
      <w:r w:rsidRPr="00B773CA">
        <w:t xml:space="preserve">Plaintiffs argued that </w:t>
      </w:r>
      <w:r>
        <w:t>the plan</w:t>
      </w:r>
      <w:r w:rsidRPr="00B773CA">
        <w:t xml:space="preserve"> is a political gerrymander in violation of Equal Protection</w:t>
      </w:r>
      <w:r>
        <w:t xml:space="preserve"> clause in the New Mexico Constitution.</w:t>
      </w:r>
      <w:r w:rsidRPr="0078695B">
        <w:rPr>
          <w:rStyle w:val="FootnoteReference"/>
        </w:rPr>
        <w:footnoteReference w:id="354"/>
      </w:r>
      <w:r>
        <w:t xml:space="preserve">  Plaintiffs </w:t>
      </w:r>
      <w:r>
        <w:lastRenderedPageBreak/>
        <w:t>claim that “[w]</w:t>
      </w:r>
      <w:r w:rsidRPr="00BF5724">
        <w:t xml:space="preserve">hen drafters of congressional maps use </w:t>
      </w:r>
      <w:r>
        <w:t>‘</w:t>
      </w:r>
      <w:r w:rsidRPr="00BF5724">
        <w:t>illegitimate reasons</w:t>
      </w:r>
      <w:r>
        <w:t>’</w:t>
      </w:r>
      <w:r w:rsidRPr="00BF5724">
        <w:t xml:space="preserve"> to discriminate against regions at the expense of others, including failing to adhere to New Mexico’s </w:t>
      </w:r>
      <w:r>
        <w:t>‘</w:t>
      </w:r>
      <w:r w:rsidRPr="00BF5724">
        <w:t>traditional districting principles,</w:t>
      </w:r>
      <w:r>
        <w:t>’</w:t>
      </w:r>
      <w:r w:rsidRPr="00BF5724">
        <w:t xml:space="preserve"> aggrieved voters may seek redress of this constitutional injury in the courts through an equal protection challenge.</w:t>
      </w:r>
      <w:r>
        <w:t>”</w:t>
      </w:r>
      <w:r w:rsidRPr="0078695B">
        <w:rPr>
          <w:rStyle w:val="FootnoteReference"/>
        </w:rPr>
        <w:footnoteReference w:id="355"/>
      </w:r>
      <w:r>
        <w:t xml:space="preserve">  The case is pending in state court as of November 2022.</w:t>
      </w:r>
      <w:r w:rsidRPr="0078695B">
        <w:rPr>
          <w:rStyle w:val="FootnoteReference"/>
        </w:rPr>
        <w:footnoteReference w:id="356"/>
      </w:r>
    </w:p>
    <w:p w14:paraId="6AA437E4" w14:textId="08CD988D" w:rsidR="00FA4F11" w:rsidRPr="00FA4F11" w:rsidRDefault="00FA4F11" w:rsidP="00FA4F11">
      <w:pPr>
        <w:pStyle w:val="Heading4"/>
        <w:numPr>
          <w:ilvl w:val="0"/>
          <w:numId w:val="56"/>
        </w:numPr>
        <w:ind w:left="1440"/>
      </w:pPr>
      <w:r>
        <w:t>Utah</w:t>
      </w:r>
    </w:p>
    <w:p w14:paraId="24C46327" w14:textId="5C3736F9" w:rsidR="005B7708" w:rsidRDefault="00DC00AE" w:rsidP="00DC00AE">
      <w:pPr>
        <w:pStyle w:val="BodyText"/>
      </w:pPr>
      <w:r>
        <w:t>In 2018, voters of Utah established an independent commission to conduct congressional redistricting.</w:t>
      </w:r>
      <w:bookmarkStart w:id="786" w:name="_Ref138945734"/>
      <w:r w:rsidRPr="0078695B">
        <w:rPr>
          <w:rStyle w:val="FootnoteReference"/>
        </w:rPr>
        <w:footnoteReference w:id="357"/>
      </w:r>
      <w:bookmarkEnd w:id="786"/>
      <w:r>
        <w:t xml:space="preserve">  That commission was created as an advisory commission allowing the legislature to reject a commission plan, but in 2020, the Utah Legislature changed the law regarding congressional redistricting to make the commission fully advisory.</w:t>
      </w:r>
      <w:r w:rsidRPr="0078695B">
        <w:rPr>
          <w:rStyle w:val="FootnoteReference"/>
        </w:rPr>
        <w:footnoteReference w:id="358"/>
      </w:r>
      <w:r>
        <w:t xml:space="preserve">  The legislature ignored the commission’s recommendations and established a plan that was signed by the governor on November 12, 2021.</w:t>
      </w:r>
      <w:r w:rsidRPr="0078695B">
        <w:rPr>
          <w:rStyle w:val="FootnoteReference"/>
        </w:rPr>
        <w:footnoteReference w:id="359"/>
      </w:r>
      <w:r>
        <w:t xml:space="preserve"> </w:t>
      </w:r>
      <w:r w:rsidRPr="00B51430">
        <w:t xml:space="preserve"> </w:t>
      </w:r>
      <w:r>
        <w:t>A lawsuit was filed by the League of Women Voters of Utah in state court.</w:t>
      </w:r>
      <w:r w:rsidRPr="0078695B">
        <w:rPr>
          <w:rStyle w:val="FootnoteReference"/>
        </w:rPr>
        <w:footnoteReference w:id="360"/>
      </w:r>
      <w:r>
        <w:t xml:space="preserve">  The</w:t>
      </w:r>
      <w:r w:rsidRPr="00FC4235">
        <w:t xml:space="preserve"> complaint alleg</w:t>
      </w:r>
      <w:r>
        <w:t>es</w:t>
      </w:r>
      <w:r w:rsidRPr="00FC4235">
        <w:t xml:space="preserve"> that (1) the Utah Legislature’s </w:t>
      </w:r>
      <w:r w:rsidRPr="009E6B1A">
        <w:t>“</w:t>
      </w:r>
      <w:r w:rsidRPr="00FC4235">
        <w:t>2021 Congressional Plan violates multiple provisions of the Utah Constitution, including the Free Elections Clause, the Uniform Operation of Laws Clause, protections of free speech and association, and the right to vote</w:t>
      </w:r>
      <w:r w:rsidRPr="009E6B1A">
        <w:t>”;</w:t>
      </w:r>
      <w:r w:rsidRPr="00FC4235">
        <w:t xml:space="preserve"> and (2) that “the Legislature’s repeal of Proposition 4</w:t>
      </w:r>
      <w:r w:rsidRPr="009E6B1A">
        <w:t>” (</w:t>
      </w:r>
      <w:r w:rsidRPr="00FC4235">
        <w:t>a bipartisan citizen initiative that prohibited partisan gerrymandering</w:t>
      </w:r>
      <w:r w:rsidRPr="009E6B1A">
        <w:t>) “</w:t>
      </w:r>
      <w:r w:rsidRPr="00FC4235">
        <w:t>violated the people’s constitutionally guaranteed lawmaking power and right to alter and reform their government.”</w:t>
      </w:r>
      <w:r w:rsidRPr="0078695B">
        <w:rPr>
          <w:rStyle w:val="FootnoteReference"/>
        </w:rPr>
        <w:footnoteReference w:id="361"/>
      </w:r>
      <w:r>
        <w:t xml:space="preserve">  This case is pending as of November 2022.</w:t>
      </w:r>
      <w:r w:rsidRPr="0078695B">
        <w:rPr>
          <w:rStyle w:val="FootnoteReference"/>
        </w:rPr>
        <w:footnoteReference w:id="362"/>
      </w:r>
    </w:p>
    <w:p w14:paraId="007AE648" w14:textId="6272D44A" w:rsidR="00414F57" w:rsidRDefault="00414F57" w:rsidP="00212B79">
      <w:pPr>
        <w:pStyle w:val="Heading3"/>
      </w:pPr>
      <w:r>
        <w:lastRenderedPageBreak/>
        <w:t>States Where Courts Were Forced to Act Because the Legislature or a Commission Failed to Act in a Timely Fashion</w:t>
      </w:r>
    </w:p>
    <w:p w14:paraId="16F57C0C" w14:textId="6FACF27B" w:rsidR="00FA4F11" w:rsidRPr="00FA4F11" w:rsidRDefault="0060124B" w:rsidP="00FA4F11">
      <w:pPr>
        <w:pStyle w:val="Heading4"/>
        <w:numPr>
          <w:ilvl w:val="0"/>
          <w:numId w:val="57"/>
        </w:numPr>
        <w:ind w:left="1440"/>
      </w:pPr>
      <w:r>
        <w:t>Connecticut</w:t>
      </w:r>
    </w:p>
    <w:p w14:paraId="556FDA6D" w14:textId="77777777" w:rsidR="00C11C4C" w:rsidRPr="00E453A9" w:rsidRDefault="00C11C4C" w:rsidP="00C11C4C">
      <w:pPr>
        <w:pStyle w:val="BodyText"/>
      </w:pPr>
      <w:r>
        <w:t>Connecticut’s Legislature and Governor are both controlled by Democrats.</w:t>
      </w:r>
      <w:r w:rsidRPr="0078695B">
        <w:rPr>
          <w:rStyle w:val="FootnoteReference"/>
        </w:rPr>
        <w:footnoteReference w:id="363"/>
      </w:r>
      <w:r>
        <w:t xml:space="preserve">  If the legislature fails to pass a plan with </w:t>
      </w:r>
      <w:r w:rsidRPr="00FB61B1">
        <w:t>a</w:t>
      </w:r>
      <w:r w:rsidRPr="00A16555">
        <w:t xml:space="preserve"> </w:t>
      </w:r>
      <w:r>
        <w:t>two-thirds majority in both chambers and receive the governor’s signature, the process is transferred to a nine-member backup political commission.</w:t>
      </w:r>
      <w:r w:rsidRPr="0078695B">
        <w:rPr>
          <w:rStyle w:val="FootnoteReference"/>
        </w:rPr>
        <w:footnoteReference w:id="364"/>
      </w:r>
      <w:r>
        <w:t xml:space="preserve">  Because of census data delays, the committee tasked with the legislature’s map drawing missed its September 15</w:t>
      </w:r>
      <w:r w:rsidRPr="00C11C4C">
        <w:rPr>
          <w:vertAlign w:val="superscript"/>
        </w:rPr>
        <w:t>th</w:t>
      </w:r>
      <w:r>
        <w:t xml:space="preserve"> deadline, and the process was shifted to the commission.</w:t>
      </w:r>
      <w:r w:rsidRPr="0078695B">
        <w:rPr>
          <w:rStyle w:val="FootnoteReference"/>
        </w:rPr>
        <w:footnoteReference w:id="365"/>
      </w:r>
      <w:r>
        <w:t xml:space="preserve">  The commission failed to deliver a plan by its statutory deadline, and the Connecticut Supreme Court took over the process and named a special master to draw the state’s five congressional seats.</w:t>
      </w:r>
      <w:r w:rsidRPr="0078695B">
        <w:rPr>
          <w:rStyle w:val="FootnoteReference"/>
        </w:rPr>
        <w:footnoteReference w:id="366"/>
      </w:r>
      <w:r>
        <w:t xml:space="preserve">  The court approved the special master’s map on February 10, 2022.</w:t>
      </w:r>
      <w:r w:rsidRPr="0078695B">
        <w:rPr>
          <w:rStyle w:val="FootnoteReference"/>
        </w:rPr>
        <w:footnoteReference w:id="367"/>
      </w:r>
    </w:p>
    <w:p w14:paraId="418C7295" w14:textId="2F7892E1" w:rsidR="0060124B" w:rsidRPr="00FA4F11" w:rsidRDefault="0060124B" w:rsidP="0060124B">
      <w:pPr>
        <w:pStyle w:val="Heading4"/>
        <w:numPr>
          <w:ilvl w:val="0"/>
          <w:numId w:val="57"/>
        </w:numPr>
        <w:ind w:left="1440"/>
      </w:pPr>
      <w:r>
        <w:t>Minnesota</w:t>
      </w:r>
    </w:p>
    <w:p w14:paraId="03BCF1AD" w14:textId="6EC668A9" w:rsidR="0060124B" w:rsidRDefault="00AB2444" w:rsidP="00AB2444">
      <w:pPr>
        <w:pStyle w:val="BodyText"/>
      </w:pPr>
      <w:r>
        <w:t>Minnesota was under divided government at the time of the 2020 redistricting cycle.</w:t>
      </w:r>
      <w:r w:rsidRPr="0078695B">
        <w:rPr>
          <w:rStyle w:val="FootnoteReference"/>
        </w:rPr>
        <w:footnoteReference w:id="368"/>
      </w:r>
      <w:r>
        <w:t xml:space="preserve">  Democrats controlled the state house and governorship, and Republicans controlled the state senate.</w:t>
      </w:r>
      <w:r w:rsidRPr="0078695B">
        <w:rPr>
          <w:rStyle w:val="FootnoteReference"/>
        </w:rPr>
        <w:footnoteReference w:id="369"/>
      </w:r>
      <w:r>
        <w:t xml:space="preserve">  Because </w:t>
      </w:r>
      <w:r w:rsidRPr="000E4A38">
        <w:t>the redistricting process failed in Minnesota to reach an agreed upon congressional map, the Minnesota Supreme Court took over.</w:t>
      </w:r>
      <w:r w:rsidRPr="0078695B">
        <w:rPr>
          <w:rStyle w:val="FootnoteReference"/>
        </w:rPr>
        <w:footnoteReference w:id="370"/>
      </w:r>
      <w:r>
        <w:t xml:space="preserve">  </w:t>
      </w:r>
      <w:r w:rsidRPr="000E4A38">
        <w:t xml:space="preserve">It named </w:t>
      </w:r>
      <w:r w:rsidRPr="000E4A38">
        <w:lastRenderedPageBreak/>
        <w:t>a five-person panel to develop a map.</w:t>
      </w:r>
      <w:r w:rsidRPr="0078695B">
        <w:rPr>
          <w:rStyle w:val="FootnoteReference"/>
        </w:rPr>
        <w:footnoteReference w:id="371"/>
      </w:r>
      <w:r w:rsidRPr="000E4A38">
        <w:t xml:space="preserve"> </w:t>
      </w:r>
      <w:r>
        <w:t xml:space="preserve"> </w:t>
      </w:r>
      <w:r w:rsidRPr="000E4A38">
        <w:t>That map was adopted by the court on Feb</w:t>
      </w:r>
      <w:r>
        <w:t>ruary 15, 2022.</w:t>
      </w:r>
      <w:r w:rsidRPr="0078695B">
        <w:rPr>
          <w:rStyle w:val="FootnoteReference"/>
        </w:rPr>
        <w:footnoteReference w:id="372"/>
      </w:r>
    </w:p>
    <w:p w14:paraId="3F8456E5" w14:textId="621C795F" w:rsidR="0060124B" w:rsidRPr="00FA4F11" w:rsidRDefault="0060124B" w:rsidP="00AB2444">
      <w:pPr>
        <w:pStyle w:val="Heading4"/>
        <w:numPr>
          <w:ilvl w:val="0"/>
          <w:numId w:val="57"/>
        </w:numPr>
        <w:tabs>
          <w:tab w:val="num" w:pos="475"/>
        </w:tabs>
        <w:ind w:left="1440"/>
      </w:pPr>
      <w:r>
        <w:t>New Hampshire</w:t>
      </w:r>
    </w:p>
    <w:p w14:paraId="17F7BD42" w14:textId="71F48530" w:rsidR="0060124B" w:rsidRDefault="006C56F7" w:rsidP="006C56F7">
      <w:pPr>
        <w:pStyle w:val="BodyText"/>
      </w:pPr>
      <w:r>
        <w:t>The New Hampshire Legislature and Governor are both controlled by Republicans.</w:t>
      </w:r>
      <w:r w:rsidRPr="0078695B">
        <w:rPr>
          <w:rStyle w:val="FootnoteReference"/>
        </w:rPr>
        <w:footnoteReference w:id="373"/>
      </w:r>
      <w:r>
        <w:t xml:space="preserve">  New Hampshire is a closely contested state in </w:t>
      </w:r>
      <w:r w:rsidRPr="00A16555">
        <w:t>state-</w:t>
      </w:r>
      <w:r w:rsidRPr="00F912CF">
        <w:t>wide</w:t>
      </w:r>
      <w:r>
        <w:t xml:space="preserve"> elections.</w:t>
      </w:r>
      <w:r w:rsidRPr="0078695B">
        <w:rPr>
          <w:rStyle w:val="FootnoteReference"/>
        </w:rPr>
        <w:footnoteReference w:id="374"/>
      </w:r>
      <w:r>
        <w:t xml:space="preserve">  The 2020 redistricting cycle ended in a stalemate, which can be traced to the different governing coalitions created by district-based elections for legislators versus those for the governor who run </w:t>
      </w:r>
      <w:r w:rsidRPr="00F912CF">
        <w:t>state-wide</w:t>
      </w:r>
      <w:r>
        <w:t>.</w:t>
      </w:r>
      <w:r w:rsidRPr="0078695B">
        <w:rPr>
          <w:rStyle w:val="FootnoteReference"/>
        </w:rPr>
        <w:footnoteReference w:id="375"/>
      </w:r>
      <w:r>
        <w:t xml:space="preserve">  The Governor vetoed the legislature’s map.</w:t>
      </w:r>
      <w:r w:rsidRPr="0078695B">
        <w:rPr>
          <w:rStyle w:val="FootnoteReference"/>
        </w:rPr>
        <w:footnoteReference w:id="376"/>
      </w:r>
      <w:r>
        <w:t xml:space="preserve">  The Governor stated that “</w:t>
      </w:r>
      <w:r w:rsidRPr="0092703A">
        <w:t>I made it pretty clear, and they didn't want to take that advice, and I don't think my veto on any of those maps shocked them</w:t>
      </w:r>
      <w:r>
        <w:t>.”</w:t>
      </w:r>
      <w:r w:rsidRPr="0078695B">
        <w:rPr>
          <w:rStyle w:val="FootnoteReference"/>
        </w:rPr>
        <w:footnoteReference w:id="377"/>
      </w:r>
      <w:r>
        <w:t xml:space="preserve">  The New Hampshire Supreme Court appointed a special master to draw the two-district congressional map.</w:t>
      </w:r>
      <w:r w:rsidRPr="0078695B">
        <w:rPr>
          <w:rStyle w:val="FootnoteReference"/>
        </w:rPr>
        <w:footnoteReference w:id="378"/>
      </w:r>
      <w:r>
        <w:t xml:space="preserve">  New Hampshire was the final state to ratify its 2022 congressional map.</w:t>
      </w:r>
      <w:r w:rsidRPr="0078695B">
        <w:rPr>
          <w:rStyle w:val="FootnoteReference"/>
        </w:rPr>
        <w:footnoteReference w:id="379"/>
      </w:r>
    </w:p>
    <w:p w14:paraId="438A9F4E" w14:textId="1380C347" w:rsidR="0060124B" w:rsidRDefault="0060124B" w:rsidP="00AB2444">
      <w:pPr>
        <w:pStyle w:val="Heading4"/>
        <w:numPr>
          <w:ilvl w:val="0"/>
          <w:numId w:val="57"/>
        </w:numPr>
        <w:tabs>
          <w:tab w:val="num" w:pos="475"/>
        </w:tabs>
        <w:ind w:left="1440"/>
      </w:pPr>
      <w:r>
        <w:t>Pennsylvania</w:t>
      </w:r>
    </w:p>
    <w:p w14:paraId="5977F637" w14:textId="77777777" w:rsidR="00E74CC8" w:rsidRDefault="00E74CC8" w:rsidP="00E74CC8">
      <w:pPr>
        <w:pStyle w:val="BodyText"/>
      </w:pPr>
      <w:r>
        <w:t xml:space="preserve">During the 2010 round of redistricting, Pennsylvania brought new hope that partisan gerrymandering could be litigated in the state courts.  In that cycle, the Republican legislature and Republican governor agreed on </w:t>
      </w:r>
      <w:r>
        <w:lastRenderedPageBreak/>
        <w:t>a map that was widely condemned as an egregious gerrymander.</w:t>
      </w:r>
      <w:r w:rsidRPr="0078695B">
        <w:rPr>
          <w:rStyle w:val="FootnoteReference"/>
        </w:rPr>
        <w:footnoteReference w:id="380"/>
      </w:r>
      <w:r>
        <w:t xml:space="preserve">  Across three midterm elections, regardless of the vote share received by the Democratic party </w:t>
      </w:r>
      <w:r w:rsidRPr="00991242">
        <w:t>state</w:t>
      </w:r>
      <w:r w:rsidRPr="00FB61B1">
        <w:t>-</w:t>
      </w:r>
      <w:r w:rsidRPr="00A16555">
        <w:t>wide</w:t>
      </w:r>
      <w:r>
        <w:t>, Democrats were limited to winning only five seats of the state’s eighteen, including elections in which it received a majority of the total votes cast for congressional candidates.</w:t>
      </w:r>
      <w:commentRangeStart w:id="804"/>
      <w:commentRangeStart w:id="805"/>
      <w:r w:rsidRPr="0078695B">
        <w:rPr>
          <w:rStyle w:val="FootnoteReference"/>
        </w:rPr>
        <w:footnoteReference w:id="381"/>
      </w:r>
      <w:commentRangeEnd w:id="804"/>
      <w:r>
        <w:rPr>
          <w:rStyle w:val="CommentReference"/>
        </w:rPr>
        <w:commentReference w:id="804"/>
      </w:r>
      <w:commentRangeEnd w:id="805"/>
      <w:r>
        <w:rPr>
          <w:rStyle w:val="CommentReference"/>
        </w:rPr>
        <w:commentReference w:id="805"/>
      </w:r>
    </w:p>
    <w:p w14:paraId="6A2D701F" w14:textId="77777777" w:rsidR="00E74CC8" w:rsidRDefault="00E74CC8" w:rsidP="00E74CC8">
      <w:pPr>
        <w:pStyle w:val="BodyText"/>
      </w:pPr>
      <w:r>
        <w:t xml:space="preserve">In </w:t>
      </w:r>
      <w:r w:rsidRPr="00E74CC8">
        <w:rPr>
          <w:i/>
          <w:iCs/>
        </w:rPr>
        <w:t>League of Women Voters of Pennsylvania. v. Commonwealth</w:t>
      </w:r>
      <w:r>
        <w:t xml:space="preserve">, the Pennsylvania Supreme Court </w:t>
      </w:r>
      <w:r w:rsidRPr="00E74CC8">
        <w:rPr>
          <w:bCs/>
        </w:rPr>
        <w:t>overturned the</w:t>
      </w:r>
      <w:r>
        <w:t xml:space="preserve"> legislatively drawn plan and replaced it with a court</w:t>
      </w:r>
      <w:r w:rsidRPr="00F912CF">
        <w:t>-</w:t>
      </w:r>
      <w:r>
        <w:t>drawn plan.</w:t>
      </w:r>
      <w:r w:rsidRPr="0078695B">
        <w:rPr>
          <w:rStyle w:val="FootnoteReference"/>
        </w:rPr>
        <w:footnoteReference w:id="382"/>
      </w:r>
      <w:r>
        <w:t xml:space="preserve">  It relied on indirect language in the state constitution.</w:t>
      </w:r>
      <w:r w:rsidRPr="0078695B">
        <w:rPr>
          <w:rStyle w:val="FootnoteReference"/>
        </w:rPr>
        <w:footnoteReference w:id="383"/>
      </w:r>
      <w:r>
        <w:t xml:space="preserve">  The Court ruled the plan violated the Free and Equal Elections Clause</w:t>
      </w:r>
      <w:r w:rsidRPr="0078695B">
        <w:rPr>
          <w:rStyle w:val="FootnoteReference"/>
        </w:rPr>
        <w:footnoteReference w:id="384"/>
      </w:r>
      <w:r>
        <w:t xml:space="preserve"> because the enacted plan </w:t>
      </w:r>
      <w:r w:rsidRPr="00B4262E">
        <w:t>“dilutes the votes of those who in prior elections voted for the party not in power to give the party in power a lasting electoral advantage.”</w:t>
      </w:r>
      <w:r w:rsidRPr="0078695B">
        <w:rPr>
          <w:rStyle w:val="FootnoteReference"/>
        </w:rPr>
        <w:footnoteReference w:id="385"/>
      </w:r>
      <w:r>
        <w:t xml:space="preserve">  In the subsequent two elections under the court map, Democrats were able to win nine of the eighteen seats.</w:t>
      </w:r>
      <w:r w:rsidRPr="0078695B">
        <w:rPr>
          <w:rStyle w:val="FootnoteReference"/>
        </w:rPr>
        <w:footnoteReference w:id="386"/>
      </w:r>
    </w:p>
    <w:p w14:paraId="4A4633CD" w14:textId="4E33463A" w:rsidR="0060124B" w:rsidRDefault="00E74CC8" w:rsidP="00E74CC8">
      <w:pPr>
        <w:pStyle w:val="BodyText"/>
      </w:pPr>
      <w:r>
        <w:t>Approaching the 2020 cycle of redistricting, the Republicans retained control of the state legislature, but now the Governor was a member of the Democratic party.</w:t>
      </w:r>
      <w:r w:rsidRPr="0078695B">
        <w:rPr>
          <w:rStyle w:val="FootnoteReference"/>
        </w:rPr>
        <w:footnoteReference w:id="387"/>
      </w:r>
      <w:r>
        <w:t xml:space="preserve">  The Republican legislature approved a plan, but it was vetoed.</w:t>
      </w:r>
      <w:r w:rsidRPr="0078695B">
        <w:rPr>
          <w:rStyle w:val="FootnoteReference"/>
        </w:rPr>
        <w:footnoteReference w:id="388"/>
      </w:r>
      <w:r>
        <w:t xml:space="preserve">  The Pennsylvania Supreme Court was now tasked with implementing a plan.</w:t>
      </w:r>
      <w:r w:rsidRPr="0078695B">
        <w:rPr>
          <w:rStyle w:val="FootnoteReference"/>
        </w:rPr>
        <w:footnoteReference w:id="389"/>
      </w:r>
      <w:r>
        <w:t xml:space="preserve">  It heard testimony and allowed for the interested parties to submit plans.</w:t>
      </w:r>
      <w:r w:rsidRPr="0078695B">
        <w:rPr>
          <w:rStyle w:val="FootnoteReference"/>
        </w:rPr>
        <w:footnoteReference w:id="390"/>
      </w:r>
      <w:r>
        <w:t xml:space="preserve">  It ultimately implemented a plan which was </w:t>
      </w:r>
      <w:r w:rsidRPr="00E74CC8">
        <w:rPr>
          <w:bCs/>
        </w:rPr>
        <w:lastRenderedPageBreak/>
        <w:t>proposed</w:t>
      </w:r>
      <w:r>
        <w:t xml:space="preserve"> by the </w:t>
      </w:r>
      <w:r w:rsidRPr="00E74CC8">
        <w:rPr>
          <w:i/>
          <w:iCs/>
        </w:rPr>
        <w:t>Carter</w:t>
      </w:r>
      <w:r>
        <w:t xml:space="preserve"> plaintiffs, drawn by a professor from Stanford University.</w:t>
      </w:r>
      <w:r w:rsidRPr="0078695B">
        <w:rPr>
          <w:rStyle w:val="FootnoteReference"/>
        </w:rPr>
        <w:footnoteReference w:id="391"/>
      </w:r>
    </w:p>
    <w:p w14:paraId="659F2689" w14:textId="11F2FDBA" w:rsidR="0060124B" w:rsidRPr="00FA4F11" w:rsidRDefault="0060124B" w:rsidP="00AB2444">
      <w:pPr>
        <w:pStyle w:val="Heading4"/>
        <w:numPr>
          <w:ilvl w:val="0"/>
          <w:numId w:val="57"/>
        </w:numPr>
        <w:tabs>
          <w:tab w:val="num" w:pos="475"/>
        </w:tabs>
        <w:ind w:left="1440"/>
      </w:pPr>
      <w:r>
        <w:t>Virginia</w:t>
      </w:r>
    </w:p>
    <w:p w14:paraId="35EADC16" w14:textId="77777777" w:rsidR="00A833DF" w:rsidRPr="00A833DF" w:rsidRDefault="00A833DF" w:rsidP="00A833DF">
      <w:pPr>
        <w:pStyle w:val="BodyText"/>
      </w:pPr>
      <w:r w:rsidRPr="00A833DF">
        <w:t xml:space="preserve">Late in the 2010 round, Virginia’s third congressional district was eventually found by a three-judge federal panel to violate </w:t>
      </w:r>
      <w:r w:rsidRPr="00A833DF">
        <w:rPr>
          <w:i/>
          <w:iCs/>
        </w:rPr>
        <w:t>Shaw’s</w:t>
      </w:r>
      <w:r w:rsidRPr="00A833DF">
        <w:t xml:space="preserve"> racially preponderant motive test, and a new map was drawn by a special master appointed by that court.</w:t>
      </w:r>
      <w:r w:rsidRPr="0078695B">
        <w:rPr>
          <w:rStyle w:val="FootnoteReference"/>
        </w:rPr>
        <w:footnoteReference w:id="392"/>
      </w:r>
      <w:r w:rsidRPr="00A833DF">
        <w:t xml:space="preserve">  In the process, five of Virginia’s eleven congressional districts were redrawn.</w:t>
      </w:r>
      <w:r w:rsidRPr="0078695B">
        <w:rPr>
          <w:rStyle w:val="FootnoteReference"/>
        </w:rPr>
        <w:footnoteReference w:id="393"/>
      </w:r>
      <w:r w:rsidRPr="00A833DF">
        <w:t xml:space="preserve">  Of the five, one retained its Black Democratic incumbent, three remained in Republican control, and the fifth, which had been redrawn with a considerably increased minority population, elected a Black Democrat.</w:t>
      </w:r>
      <w:r w:rsidRPr="0078695B">
        <w:rPr>
          <w:rStyle w:val="FootnoteReference"/>
        </w:rPr>
        <w:footnoteReference w:id="394"/>
      </w:r>
      <w:r w:rsidRPr="00A833DF">
        <w:t xml:space="preserve"> </w:t>
      </w:r>
    </w:p>
    <w:p w14:paraId="5074AFE1" w14:textId="10E8D40D" w:rsidR="0060124B" w:rsidRPr="00A833DF" w:rsidRDefault="00A833DF" w:rsidP="00A833DF">
      <w:pPr>
        <w:pStyle w:val="BodyText"/>
      </w:pPr>
      <w:r w:rsidRPr="00A833DF">
        <w:t>In the 2020 round, Virginia’s newly constituted redistricting commission had an even number of members associated with each party, and it deadlocked, unable to pass a map.</w:t>
      </w:r>
      <w:r w:rsidRPr="0078695B">
        <w:rPr>
          <w:rStyle w:val="FootnoteReference"/>
        </w:rPr>
        <w:footnoteReference w:id="395"/>
      </w:r>
      <w:r w:rsidRPr="00A833DF">
        <w:t xml:space="preserve">  The state court intervened and appointed a team of two special masters to draw a congressional map.</w:t>
      </w:r>
      <w:r w:rsidRPr="0078695B">
        <w:rPr>
          <w:rStyle w:val="FootnoteReference"/>
        </w:rPr>
        <w:footnoteReference w:id="396"/>
      </w:r>
      <w:r w:rsidRPr="00A833DF">
        <w:t xml:space="preserve">  One of these masters was appointed to represent Republican interests, the other to represent Democratic interests, but the special masters amicably cooperated to produce a map drawn with the good government principles </w:t>
      </w:r>
      <w:r w:rsidRPr="00A833DF">
        <w:lastRenderedPageBreak/>
        <w:t>embedded in the state constitution as their overriding considerations, including a concern to avoid partisan vote dilution.</w:t>
      </w:r>
      <w:r w:rsidRPr="0078695B">
        <w:rPr>
          <w:rStyle w:val="FootnoteReference"/>
        </w:rPr>
        <w:footnoteReference w:id="397"/>
      </w:r>
    </w:p>
    <w:p w14:paraId="70BBA93D" w14:textId="6222D9E0" w:rsidR="00414F57" w:rsidRPr="008D703D" w:rsidRDefault="00414F57" w:rsidP="00212B79">
      <w:pPr>
        <w:pStyle w:val="Heading2"/>
        <w:numPr>
          <w:ilvl w:val="1"/>
          <w:numId w:val="6"/>
        </w:numPr>
      </w:pPr>
      <w:bookmarkStart w:id="821" w:name="_Hlk527585366"/>
      <w:bookmarkStart w:id="822" w:name="_Toc138947185"/>
      <w:bookmarkEnd w:id="431"/>
      <w:bookmarkEnd w:id="624"/>
      <w:r>
        <w:t>Evaluating the Consequences of Court Action</w:t>
      </w:r>
      <w:bookmarkEnd w:id="822"/>
    </w:p>
    <w:bookmarkEnd w:id="821"/>
    <w:p w14:paraId="4920D054" w14:textId="77777777" w:rsidR="00A92740" w:rsidRDefault="00A92740" w:rsidP="00A92740">
      <w:pPr>
        <w:pStyle w:val="BodyText"/>
      </w:pPr>
      <w:r w:rsidRPr="00A97C35">
        <w:t>The next issue we take up is evaluating the consequences of state court action</w:t>
      </w:r>
      <w:r>
        <w:t xml:space="preserve">. </w:t>
      </w:r>
    </w:p>
    <w:p w14:paraId="0AE4F305" w14:textId="77777777" w:rsidR="00A92740" w:rsidRDefault="00A92740" w:rsidP="00A92740">
      <w:pPr>
        <w:pStyle w:val="BodyText"/>
      </w:pPr>
      <w:r>
        <w:t>In Table 6, we look at</w:t>
      </w:r>
      <w:r w:rsidRPr="00A97C35">
        <w:t xml:space="preserve"> those states where the state court rejected </w:t>
      </w:r>
      <w:r>
        <w:t xml:space="preserve">a map </w:t>
      </w:r>
      <w:r w:rsidRPr="00A97C35">
        <w:t>as an unconstitutional partisan gerrymander</w:t>
      </w:r>
      <w:r>
        <w:t xml:space="preserve"> after litigation (North Carolina, Maryland, New York, Ohio).</w:t>
      </w:r>
      <w:r w:rsidRPr="0078695B">
        <w:rPr>
          <w:rStyle w:val="FootnoteReference"/>
        </w:rPr>
        <w:footnoteReference w:id="398"/>
      </w:r>
      <w:r>
        <w:t xml:space="preserve">  Here, we compare the court-imposed map with the legislative map it replaced, though Ohio is an exception.  Ohio is a special case since the peculiar provisions in its Constitution did not allow the Ohio Supreme Court to draw a map of its own.</w:t>
      </w:r>
      <w:r w:rsidRPr="0078695B">
        <w:rPr>
          <w:rStyle w:val="FootnoteReference"/>
        </w:rPr>
        <w:footnoteReference w:id="399"/>
      </w:r>
      <w:r>
        <w:t xml:space="preserve">  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w:t>
      </w:r>
      <w:r w:rsidRPr="0078695B">
        <w:rPr>
          <w:rStyle w:val="FootnoteReference"/>
        </w:rPr>
        <w:footnoteReference w:id="400"/>
      </w:r>
      <w:r>
        <w:t xml:space="preserve">  Thus, even though the legislative maps were rejected by the state court, in Ohio</w:t>
      </w:r>
      <w:r w:rsidRPr="00FB61B1">
        <w:t>,</w:t>
      </w:r>
      <w:r>
        <w:t xml:space="preserve"> there is no state court</w:t>
      </w:r>
      <w:r w:rsidRPr="00F912CF">
        <w:t>-</w:t>
      </w:r>
      <w:r>
        <w:t>drawn map to compare against.  We</w:t>
      </w:r>
      <w:r w:rsidRPr="00F912CF">
        <w:t>,</w:t>
      </w:r>
      <w:r>
        <w:t xml:space="preserve"> therefore</w:t>
      </w:r>
      <w:r w:rsidRPr="00F912CF">
        <w:t>,</w:t>
      </w:r>
      <w:r>
        <w:t xml:space="preserve"> compare the map first ruled unconstitutional against the map that was used in the 2022 congressional election in Ohio.</w:t>
      </w:r>
    </w:p>
    <w:p w14:paraId="0C4BCBC1" w14:textId="77777777" w:rsidR="00A92740" w:rsidRDefault="00A92740" w:rsidP="00A92740">
      <w:pPr>
        <w:pStyle w:val="BodyText"/>
      </w:pPr>
      <w:r>
        <w:t xml:space="preserve"> We also evaluate plans </w:t>
      </w:r>
      <w:r w:rsidRPr="00A97C35">
        <w:t>where the failure of the relevant redistricting authority to act in</w:t>
      </w:r>
      <w:r>
        <w:t xml:space="preserve"> </w:t>
      </w:r>
      <w:r w:rsidRPr="00A97C35">
        <w:t>a timely fashion led to the state court adopting a plan</w:t>
      </w:r>
      <w:r>
        <w:t xml:space="preserve"> (Connecticut, Minnesota, New Hampshire, </w:t>
      </w:r>
      <w:r w:rsidRPr="00276A23">
        <w:t>Pennsylvania</w:t>
      </w:r>
      <w:r>
        <w:t xml:space="preserve">, Virginia, </w:t>
      </w:r>
      <w:r w:rsidRPr="00276A23">
        <w:t>Wisconsin)</w:t>
      </w:r>
      <w:r>
        <w:t>.  For New Hampshire and Pennsylvania, we compare the Legislature’s map against the court map.  For Connecticut, Minnesota, Virginia, and Wisconsin, we only show the data in Table 6 for the plan that was used in the 2022 midterm election.</w:t>
      </w:r>
    </w:p>
    <w:p w14:paraId="3A682C81" w14:textId="77777777" w:rsidR="00A92740" w:rsidRDefault="00A92740" w:rsidP="00A92740">
      <w:pPr>
        <w:pStyle w:val="BodyText"/>
      </w:pPr>
      <w:r>
        <w:t xml:space="preserve">For the states where there is a map against which we can compare the court-ordered (or ordered to modify) map, we </w:t>
      </w:r>
      <w:r w:rsidRPr="000E4A38">
        <w:t xml:space="preserve">show in </w:t>
      </w:r>
      <w:r>
        <w:t xml:space="preserve">Table 6 </w:t>
      </w:r>
      <w:r w:rsidRPr="000E4A38">
        <w:t>comparisons of the two maps using metrics provided in Dave’s Redistricting App.</w:t>
      </w:r>
      <w:r>
        <w:t xml:space="preserve">  </w:t>
      </w:r>
      <w:r w:rsidRPr="000E4A38">
        <w:t>For compactness</w:t>
      </w:r>
      <w:r>
        <w:t>,</w:t>
      </w:r>
      <w:r w:rsidRPr="000E4A38">
        <w:t xml:space="preserve"> high values are better.</w:t>
      </w:r>
      <w:r>
        <w:t xml:space="preserve">  </w:t>
      </w:r>
      <w:r w:rsidRPr="000E4A38">
        <w:t>For county splits</w:t>
      </w:r>
      <w:r>
        <w:t>,</w:t>
      </w:r>
      <w:r w:rsidRPr="000E4A38">
        <w:t xml:space="preserve"> low values are better.</w:t>
      </w:r>
      <w:r>
        <w:t xml:space="preserve">  </w:t>
      </w:r>
      <w:r w:rsidRPr="000E4A38">
        <w:t>For partisan bias, the ideal would be a value of zero.</w:t>
      </w:r>
      <w:r>
        <w:t xml:space="preserve">  </w:t>
      </w:r>
      <w:r w:rsidRPr="000E4A38">
        <w:t xml:space="preserve">Substantial (and statistically significant) deviations from zero are </w:t>
      </w:r>
      <w:r w:rsidRPr="000E4A38">
        <w:lastRenderedPageBreak/>
        <w:t>undesirable</w:t>
      </w:r>
      <w:r>
        <w:t xml:space="preserve"> in that metric</w:t>
      </w:r>
      <w:r w:rsidRPr="000E4A38">
        <w:t xml:space="preserve">. </w:t>
      </w:r>
      <w:r>
        <w:t xml:space="preserve"> </w:t>
      </w:r>
      <w:r w:rsidRPr="000E4A38">
        <w:t>The sign on partisan bias tells us which party is advantaged, with positive values representing pro-Republican bias.</w:t>
      </w:r>
    </w:p>
    <w:p w14:paraId="400555C0" w14:textId="3B2D8999" w:rsidR="002A6025" w:rsidRPr="002A6025" w:rsidRDefault="002A6025" w:rsidP="002A6025">
      <w:pPr>
        <w:rPr>
          <w:i/>
          <w:iCs/>
          <w:color w:val="44546A" w:themeColor="text2"/>
          <w:sz w:val="18"/>
          <w:szCs w:val="18"/>
        </w:rPr>
      </w:pPr>
      <w:bookmarkStart w:id="826" w:name="_Ref123138351"/>
      <w:bookmarkStart w:id="827" w:name="_Ref120229773"/>
      <w:r>
        <w:br w:type="page"/>
      </w:r>
    </w:p>
    <w:p w14:paraId="302408FA" w14:textId="456FC3D0" w:rsidR="002A6025" w:rsidRPr="005C1757" w:rsidRDefault="002A6025" w:rsidP="005C1757">
      <w:pPr>
        <w:pStyle w:val="BodyText"/>
        <w:ind w:firstLine="0"/>
        <w:rPr>
          <w:b/>
          <w:bCs/>
        </w:rPr>
      </w:pPr>
      <w:r w:rsidRPr="005C1757">
        <w:rPr>
          <w:b/>
          <w:bCs/>
          <w:i/>
          <w:iCs/>
        </w:rPr>
        <w:lastRenderedPageBreak/>
        <w:t xml:space="preserve">Table </w:t>
      </w:r>
      <w:r w:rsidRPr="005C1757">
        <w:rPr>
          <w:b/>
          <w:bCs/>
          <w:i/>
          <w:iCs/>
        </w:rPr>
        <w:fldChar w:fldCharType="begin"/>
      </w:r>
      <w:r w:rsidRPr="005C1757">
        <w:rPr>
          <w:b/>
          <w:bCs/>
          <w:i/>
          <w:iCs/>
        </w:rPr>
        <w:instrText xml:space="preserve"> SEQ Table \* ARABIC </w:instrText>
      </w:r>
      <w:r w:rsidRPr="005C1757">
        <w:rPr>
          <w:b/>
          <w:bCs/>
          <w:i/>
          <w:iCs/>
        </w:rPr>
        <w:fldChar w:fldCharType="separate"/>
      </w:r>
      <w:r w:rsidRPr="005C1757">
        <w:rPr>
          <w:b/>
          <w:bCs/>
          <w:i/>
          <w:iCs/>
          <w:noProof/>
        </w:rPr>
        <w:t>6</w:t>
      </w:r>
      <w:r w:rsidRPr="005C1757">
        <w:rPr>
          <w:b/>
          <w:bCs/>
          <w:i/>
          <w:iCs/>
          <w:noProof/>
        </w:rPr>
        <w:fldChar w:fldCharType="end"/>
      </w:r>
      <w:bookmarkEnd w:id="826"/>
      <w:bookmarkEnd w:id="827"/>
      <w:r w:rsidRPr="005C1757">
        <w:rPr>
          <w:b/>
          <w:bCs/>
          <w:i/>
          <w:iCs/>
          <w:noProof/>
        </w:rPr>
        <w:t>.</w:t>
      </w:r>
      <w:r w:rsidRPr="005C1757">
        <w:rPr>
          <w:b/>
          <w:bCs/>
        </w:rPr>
        <w:t xml:space="preserve"> Direct Comparisons Between Legislatively Drawn Map and State Court Drawn Remedy Where Such Comparisons are Feasible; Otherwise, Information about the Adopted Map is Given.</w:t>
      </w:r>
      <w:r w:rsidRPr="005C1757">
        <w:rPr>
          <w:rStyle w:val="FootnoteReference"/>
          <w:b/>
          <w:bCs/>
        </w:rPr>
        <w:footnoteReference w:id="401"/>
      </w:r>
    </w:p>
    <w:p w14:paraId="5E356097" w14:textId="77777777" w:rsidR="002A6025" w:rsidRDefault="002A6025" w:rsidP="002A6025">
      <w:pPr>
        <w:pStyle w:val="BodyText"/>
        <w:rPr>
          <w:b/>
          <w:bCs/>
        </w:rPr>
      </w:pP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4"/>
        <w:gridCol w:w="1002"/>
        <w:gridCol w:w="1001"/>
        <w:gridCol w:w="1001"/>
        <w:gridCol w:w="1001"/>
        <w:gridCol w:w="1001"/>
      </w:tblGrid>
      <w:tr w:rsidR="002A6025" w:rsidRPr="002A6025" w14:paraId="7DF255F0" w14:textId="77777777" w:rsidTr="00E01FB1">
        <w:trPr>
          <w:jc w:val="center"/>
        </w:trPr>
        <w:tc>
          <w:tcPr>
            <w:tcW w:w="1459" w:type="pct"/>
            <w:vAlign w:val="center"/>
          </w:tcPr>
          <w:p w14:paraId="71793D87" w14:textId="77777777" w:rsidR="002A6025" w:rsidRPr="00E01FB1" w:rsidRDefault="002A6025" w:rsidP="00E01FB1">
            <w:pPr>
              <w:pStyle w:val="NoSpacing"/>
              <w:rPr>
                <w:b/>
                <w:bCs/>
                <w:sz w:val="19"/>
                <w:szCs w:val="22"/>
              </w:rPr>
            </w:pPr>
            <w:r w:rsidRPr="00E01FB1">
              <w:rPr>
                <w:b/>
                <w:bCs/>
                <w:sz w:val="19"/>
                <w:szCs w:val="22"/>
              </w:rPr>
              <w:t>State</w:t>
            </w:r>
          </w:p>
        </w:tc>
        <w:tc>
          <w:tcPr>
            <w:tcW w:w="708" w:type="pct"/>
            <w:vAlign w:val="center"/>
          </w:tcPr>
          <w:p w14:paraId="533A54A9" w14:textId="77777777" w:rsidR="002A6025" w:rsidRPr="00E01FB1" w:rsidRDefault="002A6025" w:rsidP="00E01FB1">
            <w:pPr>
              <w:pStyle w:val="NoSpacing"/>
              <w:jc w:val="center"/>
              <w:rPr>
                <w:b/>
                <w:bCs/>
                <w:sz w:val="19"/>
                <w:szCs w:val="22"/>
              </w:rPr>
            </w:pPr>
            <w:r w:rsidRPr="00E01FB1">
              <w:rPr>
                <w:b/>
                <w:bCs/>
                <w:sz w:val="19"/>
                <w:szCs w:val="22"/>
              </w:rPr>
              <w:t>Total County Splits</w:t>
            </w:r>
          </w:p>
        </w:tc>
        <w:tc>
          <w:tcPr>
            <w:tcW w:w="708" w:type="pct"/>
            <w:vAlign w:val="center"/>
          </w:tcPr>
          <w:p w14:paraId="7FCEB188" w14:textId="27269870" w:rsidR="002A6025" w:rsidRPr="00E01FB1" w:rsidRDefault="002A6025" w:rsidP="00E01FB1">
            <w:pPr>
              <w:pStyle w:val="NoSpacing"/>
              <w:jc w:val="center"/>
              <w:rPr>
                <w:b/>
                <w:bCs/>
                <w:sz w:val="19"/>
                <w:szCs w:val="22"/>
              </w:rPr>
            </w:pPr>
            <w:r w:rsidRPr="00E01FB1">
              <w:rPr>
                <w:b/>
                <w:bCs/>
                <w:sz w:val="19"/>
                <w:szCs w:val="22"/>
              </w:rPr>
              <w:t>Compact</w:t>
            </w:r>
            <w:r w:rsidR="005C1757">
              <w:rPr>
                <w:b/>
                <w:bCs/>
                <w:sz w:val="19"/>
                <w:szCs w:val="22"/>
              </w:rPr>
              <w:t>-</w:t>
            </w:r>
            <w:r w:rsidRPr="00E01FB1">
              <w:rPr>
                <w:b/>
                <w:bCs/>
                <w:sz w:val="19"/>
                <w:szCs w:val="22"/>
              </w:rPr>
              <w:t>ness</w:t>
            </w:r>
          </w:p>
        </w:tc>
        <w:tc>
          <w:tcPr>
            <w:tcW w:w="708" w:type="pct"/>
            <w:vAlign w:val="center"/>
          </w:tcPr>
          <w:p w14:paraId="377D9BF4" w14:textId="77777777" w:rsidR="002A6025" w:rsidRPr="00E01FB1" w:rsidRDefault="002A6025" w:rsidP="00E01FB1">
            <w:pPr>
              <w:pStyle w:val="NoSpacing"/>
              <w:jc w:val="center"/>
              <w:rPr>
                <w:b/>
                <w:bCs/>
                <w:sz w:val="19"/>
                <w:szCs w:val="22"/>
              </w:rPr>
            </w:pPr>
            <w:r w:rsidRPr="00E01FB1">
              <w:rPr>
                <w:b/>
                <w:bCs/>
                <w:sz w:val="19"/>
                <w:szCs w:val="22"/>
              </w:rPr>
              <w:t>Votes Bias</w:t>
            </w:r>
          </w:p>
        </w:tc>
        <w:tc>
          <w:tcPr>
            <w:tcW w:w="708" w:type="pct"/>
            <w:vAlign w:val="center"/>
          </w:tcPr>
          <w:p w14:paraId="68D4A8B2" w14:textId="77777777" w:rsidR="002A6025" w:rsidRPr="00E01FB1" w:rsidRDefault="002A6025" w:rsidP="00E01FB1">
            <w:pPr>
              <w:pStyle w:val="NoSpacing"/>
              <w:jc w:val="center"/>
              <w:rPr>
                <w:b/>
                <w:bCs/>
                <w:sz w:val="19"/>
                <w:szCs w:val="22"/>
              </w:rPr>
            </w:pPr>
            <w:r w:rsidRPr="00E01FB1">
              <w:rPr>
                <w:b/>
                <w:bCs/>
                <w:sz w:val="19"/>
                <w:szCs w:val="22"/>
              </w:rPr>
              <w:t>Biden Seats</w:t>
            </w:r>
          </w:p>
        </w:tc>
        <w:tc>
          <w:tcPr>
            <w:tcW w:w="708" w:type="pct"/>
            <w:vAlign w:val="center"/>
          </w:tcPr>
          <w:p w14:paraId="41589253" w14:textId="77777777" w:rsidR="002A6025" w:rsidRPr="00E01FB1" w:rsidRDefault="002A6025" w:rsidP="00E01FB1">
            <w:pPr>
              <w:pStyle w:val="NoSpacing"/>
              <w:jc w:val="center"/>
              <w:rPr>
                <w:b/>
                <w:bCs/>
                <w:sz w:val="19"/>
                <w:szCs w:val="22"/>
              </w:rPr>
            </w:pPr>
            <w:r w:rsidRPr="00E01FB1">
              <w:rPr>
                <w:b/>
                <w:bCs/>
                <w:sz w:val="19"/>
                <w:szCs w:val="22"/>
              </w:rPr>
              <w:t>2022 Seats</w:t>
            </w:r>
          </w:p>
        </w:tc>
      </w:tr>
      <w:tr w:rsidR="002A6025" w:rsidRPr="00783292" w14:paraId="49F26364" w14:textId="77777777" w:rsidTr="00E01FB1">
        <w:trPr>
          <w:jc w:val="center"/>
        </w:trPr>
        <w:tc>
          <w:tcPr>
            <w:tcW w:w="1459" w:type="pct"/>
            <w:shd w:val="clear" w:color="auto" w:fill="D9D9D9" w:themeFill="background1" w:themeFillShade="D9"/>
            <w:vAlign w:val="center"/>
          </w:tcPr>
          <w:p w14:paraId="54D7C595" w14:textId="77777777" w:rsidR="002A6025" w:rsidRPr="00E01FB1" w:rsidRDefault="002A6025" w:rsidP="00E01FB1">
            <w:pPr>
              <w:pStyle w:val="NoSpacing"/>
              <w:rPr>
                <w:i/>
                <w:iCs/>
                <w:sz w:val="16"/>
                <w:szCs w:val="16"/>
              </w:rPr>
            </w:pPr>
            <w:r w:rsidRPr="00E01FB1">
              <w:rPr>
                <w:i/>
                <w:iCs/>
                <w:sz w:val="16"/>
                <w:szCs w:val="16"/>
              </w:rPr>
              <w:t xml:space="preserve">Maryland Legislature </w:t>
            </w:r>
          </w:p>
        </w:tc>
        <w:tc>
          <w:tcPr>
            <w:tcW w:w="708" w:type="pct"/>
            <w:shd w:val="clear" w:color="auto" w:fill="D9D9D9" w:themeFill="background1" w:themeFillShade="D9"/>
            <w:vAlign w:val="center"/>
          </w:tcPr>
          <w:p w14:paraId="74C3C675" w14:textId="77777777" w:rsidR="002A6025" w:rsidRPr="00783292" w:rsidRDefault="002A6025" w:rsidP="00E01FB1">
            <w:pPr>
              <w:pStyle w:val="NoSpacing"/>
              <w:jc w:val="center"/>
              <w:rPr>
                <w:sz w:val="16"/>
                <w:szCs w:val="16"/>
              </w:rPr>
            </w:pPr>
            <w:r>
              <w:rPr>
                <w:sz w:val="16"/>
                <w:szCs w:val="16"/>
              </w:rPr>
              <w:t>14</w:t>
            </w:r>
          </w:p>
        </w:tc>
        <w:tc>
          <w:tcPr>
            <w:tcW w:w="708" w:type="pct"/>
            <w:shd w:val="clear" w:color="auto" w:fill="D9D9D9" w:themeFill="background1" w:themeFillShade="D9"/>
            <w:vAlign w:val="center"/>
          </w:tcPr>
          <w:p w14:paraId="15A174D6" w14:textId="77777777" w:rsidR="002A6025" w:rsidRPr="00783292" w:rsidRDefault="002A6025" w:rsidP="00E01FB1">
            <w:pPr>
              <w:pStyle w:val="NoSpacing"/>
              <w:jc w:val="center"/>
              <w:rPr>
                <w:sz w:val="16"/>
                <w:szCs w:val="16"/>
              </w:rPr>
            </w:pPr>
            <w:r>
              <w:rPr>
                <w:sz w:val="16"/>
                <w:szCs w:val="16"/>
              </w:rPr>
              <w:t>23</w:t>
            </w:r>
          </w:p>
        </w:tc>
        <w:tc>
          <w:tcPr>
            <w:tcW w:w="708" w:type="pct"/>
            <w:shd w:val="clear" w:color="auto" w:fill="D9D9D9" w:themeFill="background1" w:themeFillShade="D9"/>
            <w:vAlign w:val="center"/>
          </w:tcPr>
          <w:p w14:paraId="6E0BF2CE" w14:textId="77777777" w:rsidR="002A6025" w:rsidRPr="00783292" w:rsidRDefault="002A6025" w:rsidP="00E01FB1">
            <w:pPr>
              <w:pStyle w:val="NoSpacing"/>
              <w:jc w:val="center"/>
              <w:rPr>
                <w:sz w:val="16"/>
                <w:szCs w:val="16"/>
              </w:rPr>
            </w:pPr>
            <w:r>
              <w:rPr>
                <w:sz w:val="16"/>
                <w:szCs w:val="16"/>
              </w:rPr>
              <w:t>0.55%</w:t>
            </w:r>
          </w:p>
        </w:tc>
        <w:tc>
          <w:tcPr>
            <w:tcW w:w="708" w:type="pct"/>
            <w:shd w:val="clear" w:color="auto" w:fill="D9D9D9" w:themeFill="background1" w:themeFillShade="D9"/>
            <w:vAlign w:val="center"/>
          </w:tcPr>
          <w:p w14:paraId="5B6ECA76" w14:textId="77777777" w:rsidR="002A6025" w:rsidRPr="00783292" w:rsidRDefault="002A6025" w:rsidP="00E01FB1">
            <w:pPr>
              <w:pStyle w:val="NoSpacing"/>
              <w:jc w:val="center"/>
              <w:rPr>
                <w:sz w:val="16"/>
                <w:szCs w:val="16"/>
              </w:rPr>
            </w:pPr>
            <w:r>
              <w:rPr>
                <w:sz w:val="16"/>
                <w:szCs w:val="16"/>
              </w:rPr>
              <w:t>8</w:t>
            </w:r>
          </w:p>
        </w:tc>
        <w:tc>
          <w:tcPr>
            <w:tcW w:w="708" w:type="pct"/>
            <w:shd w:val="clear" w:color="auto" w:fill="D9D9D9" w:themeFill="background1" w:themeFillShade="D9"/>
            <w:vAlign w:val="center"/>
          </w:tcPr>
          <w:p w14:paraId="4459F3FF" w14:textId="77777777" w:rsidR="002A6025" w:rsidRPr="00783292" w:rsidRDefault="002A6025" w:rsidP="00E01FB1">
            <w:pPr>
              <w:pStyle w:val="NoSpacing"/>
              <w:jc w:val="center"/>
              <w:rPr>
                <w:sz w:val="16"/>
                <w:szCs w:val="16"/>
              </w:rPr>
            </w:pPr>
            <w:r>
              <w:rPr>
                <w:sz w:val="16"/>
                <w:szCs w:val="16"/>
              </w:rPr>
              <w:t>-</w:t>
            </w:r>
          </w:p>
        </w:tc>
      </w:tr>
      <w:tr w:rsidR="002A6025" w:rsidRPr="00783292" w14:paraId="0B1F2149" w14:textId="77777777" w:rsidTr="00E01FB1">
        <w:trPr>
          <w:jc w:val="center"/>
        </w:trPr>
        <w:tc>
          <w:tcPr>
            <w:tcW w:w="1459" w:type="pct"/>
            <w:vAlign w:val="center"/>
          </w:tcPr>
          <w:p w14:paraId="72DBC06D" w14:textId="77777777" w:rsidR="002A6025" w:rsidRPr="00E01FB1" w:rsidRDefault="002A6025" w:rsidP="00E01FB1">
            <w:pPr>
              <w:pStyle w:val="NoSpacing"/>
              <w:rPr>
                <w:i/>
                <w:iCs/>
                <w:sz w:val="16"/>
                <w:szCs w:val="16"/>
              </w:rPr>
            </w:pPr>
            <w:r w:rsidRPr="00E01FB1">
              <w:rPr>
                <w:i/>
                <w:iCs/>
                <w:sz w:val="16"/>
                <w:szCs w:val="16"/>
              </w:rPr>
              <w:t>Maryland Leg. Remedy</w:t>
            </w:r>
          </w:p>
        </w:tc>
        <w:tc>
          <w:tcPr>
            <w:tcW w:w="708" w:type="pct"/>
            <w:vAlign w:val="center"/>
          </w:tcPr>
          <w:p w14:paraId="73721247" w14:textId="77777777" w:rsidR="002A6025" w:rsidRPr="00783292" w:rsidRDefault="002A6025" w:rsidP="00E01FB1">
            <w:pPr>
              <w:pStyle w:val="NoSpacing"/>
              <w:jc w:val="center"/>
              <w:rPr>
                <w:sz w:val="16"/>
                <w:szCs w:val="16"/>
              </w:rPr>
            </w:pPr>
            <w:r>
              <w:rPr>
                <w:sz w:val="16"/>
                <w:szCs w:val="16"/>
              </w:rPr>
              <w:t>9</w:t>
            </w:r>
          </w:p>
        </w:tc>
        <w:tc>
          <w:tcPr>
            <w:tcW w:w="708" w:type="pct"/>
            <w:vAlign w:val="center"/>
          </w:tcPr>
          <w:p w14:paraId="7A341138" w14:textId="77777777" w:rsidR="002A6025" w:rsidRPr="00783292" w:rsidRDefault="002A6025" w:rsidP="00E01FB1">
            <w:pPr>
              <w:pStyle w:val="NoSpacing"/>
              <w:jc w:val="center"/>
              <w:rPr>
                <w:sz w:val="16"/>
                <w:szCs w:val="16"/>
              </w:rPr>
            </w:pPr>
            <w:r>
              <w:rPr>
                <w:sz w:val="16"/>
                <w:szCs w:val="16"/>
              </w:rPr>
              <w:t>41</w:t>
            </w:r>
          </w:p>
        </w:tc>
        <w:tc>
          <w:tcPr>
            <w:tcW w:w="708" w:type="pct"/>
            <w:vAlign w:val="center"/>
          </w:tcPr>
          <w:p w14:paraId="3A85930C" w14:textId="77777777" w:rsidR="002A6025" w:rsidRPr="00783292" w:rsidRDefault="002A6025" w:rsidP="00E01FB1">
            <w:pPr>
              <w:pStyle w:val="NoSpacing"/>
              <w:jc w:val="center"/>
              <w:rPr>
                <w:sz w:val="16"/>
                <w:szCs w:val="16"/>
              </w:rPr>
            </w:pPr>
            <w:r>
              <w:rPr>
                <w:sz w:val="16"/>
                <w:szCs w:val="16"/>
              </w:rPr>
              <w:t>0.16%</w:t>
            </w:r>
          </w:p>
        </w:tc>
        <w:tc>
          <w:tcPr>
            <w:tcW w:w="708" w:type="pct"/>
            <w:vAlign w:val="center"/>
          </w:tcPr>
          <w:p w14:paraId="3166F705" w14:textId="77777777" w:rsidR="002A6025" w:rsidRPr="00783292" w:rsidRDefault="002A6025" w:rsidP="00E01FB1">
            <w:pPr>
              <w:pStyle w:val="NoSpacing"/>
              <w:jc w:val="center"/>
              <w:rPr>
                <w:sz w:val="16"/>
                <w:szCs w:val="16"/>
              </w:rPr>
            </w:pPr>
            <w:r>
              <w:rPr>
                <w:sz w:val="16"/>
                <w:szCs w:val="16"/>
              </w:rPr>
              <w:t>7</w:t>
            </w:r>
          </w:p>
        </w:tc>
        <w:tc>
          <w:tcPr>
            <w:tcW w:w="708" w:type="pct"/>
            <w:vAlign w:val="center"/>
          </w:tcPr>
          <w:p w14:paraId="561F557B" w14:textId="77777777" w:rsidR="002A6025" w:rsidRPr="00783292" w:rsidRDefault="002A6025" w:rsidP="00E01FB1">
            <w:pPr>
              <w:pStyle w:val="NoSpacing"/>
              <w:jc w:val="center"/>
              <w:rPr>
                <w:sz w:val="16"/>
                <w:szCs w:val="16"/>
              </w:rPr>
            </w:pPr>
            <w:r>
              <w:rPr>
                <w:sz w:val="16"/>
                <w:szCs w:val="16"/>
              </w:rPr>
              <w:t>7</w:t>
            </w:r>
          </w:p>
        </w:tc>
      </w:tr>
      <w:tr w:rsidR="002A6025" w:rsidRPr="00783292" w14:paraId="47D90BBF" w14:textId="77777777" w:rsidTr="00E01FB1">
        <w:trPr>
          <w:jc w:val="center"/>
        </w:trPr>
        <w:tc>
          <w:tcPr>
            <w:tcW w:w="1459" w:type="pct"/>
            <w:shd w:val="clear" w:color="auto" w:fill="D9D9D9" w:themeFill="background1" w:themeFillShade="D9"/>
            <w:vAlign w:val="center"/>
          </w:tcPr>
          <w:p w14:paraId="444C9994" w14:textId="77777777" w:rsidR="002A6025" w:rsidRPr="00E01FB1" w:rsidRDefault="002A6025" w:rsidP="00E01FB1">
            <w:pPr>
              <w:pStyle w:val="NoSpacing"/>
              <w:rPr>
                <w:i/>
                <w:iCs/>
                <w:sz w:val="16"/>
                <w:szCs w:val="16"/>
              </w:rPr>
            </w:pPr>
            <w:r w:rsidRPr="00E01FB1">
              <w:rPr>
                <w:i/>
                <w:iCs/>
                <w:sz w:val="16"/>
                <w:szCs w:val="16"/>
              </w:rPr>
              <w:t>North Carolina Legislature</w:t>
            </w:r>
          </w:p>
        </w:tc>
        <w:tc>
          <w:tcPr>
            <w:tcW w:w="708" w:type="pct"/>
            <w:shd w:val="clear" w:color="auto" w:fill="D9D9D9" w:themeFill="background1" w:themeFillShade="D9"/>
            <w:vAlign w:val="center"/>
          </w:tcPr>
          <w:p w14:paraId="49AC951D" w14:textId="77777777" w:rsidR="002A6025" w:rsidRPr="00783292" w:rsidRDefault="002A6025" w:rsidP="00E01FB1">
            <w:pPr>
              <w:pStyle w:val="NoSpacing"/>
              <w:jc w:val="center"/>
              <w:rPr>
                <w:sz w:val="16"/>
                <w:szCs w:val="16"/>
              </w:rPr>
            </w:pPr>
            <w:r>
              <w:rPr>
                <w:sz w:val="16"/>
                <w:szCs w:val="16"/>
              </w:rPr>
              <w:t>14</w:t>
            </w:r>
          </w:p>
        </w:tc>
        <w:tc>
          <w:tcPr>
            <w:tcW w:w="708" w:type="pct"/>
            <w:shd w:val="clear" w:color="auto" w:fill="D9D9D9" w:themeFill="background1" w:themeFillShade="D9"/>
            <w:vAlign w:val="center"/>
          </w:tcPr>
          <w:p w14:paraId="7CE144E9" w14:textId="77777777" w:rsidR="002A6025" w:rsidRPr="00783292" w:rsidRDefault="002A6025" w:rsidP="00E01FB1">
            <w:pPr>
              <w:pStyle w:val="NoSpacing"/>
              <w:jc w:val="center"/>
              <w:rPr>
                <w:sz w:val="16"/>
                <w:szCs w:val="16"/>
              </w:rPr>
            </w:pPr>
            <w:r>
              <w:rPr>
                <w:sz w:val="16"/>
                <w:szCs w:val="16"/>
              </w:rPr>
              <w:t>51</w:t>
            </w:r>
          </w:p>
        </w:tc>
        <w:tc>
          <w:tcPr>
            <w:tcW w:w="708" w:type="pct"/>
            <w:shd w:val="clear" w:color="auto" w:fill="D9D9D9" w:themeFill="background1" w:themeFillShade="D9"/>
            <w:vAlign w:val="center"/>
          </w:tcPr>
          <w:p w14:paraId="691D9481" w14:textId="77777777" w:rsidR="002A6025" w:rsidRPr="00783292" w:rsidRDefault="002A6025" w:rsidP="00E01FB1">
            <w:pPr>
              <w:pStyle w:val="NoSpacing"/>
              <w:jc w:val="center"/>
              <w:rPr>
                <w:sz w:val="16"/>
                <w:szCs w:val="16"/>
              </w:rPr>
            </w:pPr>
            <w:r w:rsidRPr="00B5228C">
              <w:rPr>
                <w:sz w:val="16"/>
                <w:szCs w:val="16"/>
              </w:rPr>
              <w:t>3.92%</w:t>
            </w:r>
          </w:p>
        </w:tc>
        <w:tc>
          <w:tcPr>
            <w:tcW w:w="708" w:type="pct"/>
            <w:shd w:val="clear" w:color="auto" w:fill="D9D9D9" w:themeFill="background1" w:themeFillShade="D9"/>
            <w:vAlign w:val="center"/>
          </w:tcPr>
          <w:p w14:paraId="2ED70E6D" w14:textId="77777777" w:rsidR="002A6025" w:rsidRPr="00783292" w:rsidRDefault="002A6025" w:rsidP="00E01FB1">
            <w:pPr>
              <w:pStyle w:val="NoSpacing"/>
              <w:jc w:val="center"/>
              <w:rPr>
                <w:sz w:val="16"/>
                <w:szCs w:val="16"/>
              </w:rPr>
            </w:pPr>
            <w:r>
              <w:rPr>
                <w:sz w:val="16"/>
                <w:szCs w:val="16"/>
              </w:rPr>
              <w:t>4</w:t>
            </w:r>
          </w:p>
        </w:tc>
        <w:tc>
          <w:tcPr>
            <w:tcW w:w="708" w:type="pct"/>
            <w:shd w:val="clear" w:color="auto" w:fill="D9D9D9" w:themeFill="background1" w:themeFillShade="D9"/>
            <w:vAlign w:val="center"/>
          </w:tcPr>
          <w:p w14:paraId="0B514537" w14:textId="77777777" w:rsidR="002A6025" w:rsidRPr="00783292" w:rsidRDefault="002A6025" w:rsidP="00E01FB1">
            <w:pPr>
              <w:pStyle w:val="NoSpacing"/>
              <w:jc w:val="center"/>
              <w:rPr>
                <w:sz w:val="16"/>
                <w:szCs w:val="16"/>
              </w:rPr>
            </w:pPr>
            <w:r>
              <w:rPr>
                <w:sz w:val="16"/>
                <w:szCs w:val="16"/>
              </w:rPr>
              <w:t>-</w:t>
            </w:r>
          </w:p>
        </w:tc>
      </w:tr>
      <w:tr w:rsidR="002A6025" w:rsidRPr="00783292" w14:paraId="1384660B" w14:textId="77777777" w:rsidTr="00E01FB1">
        <w:trPr>
          <w:jc w:val="center"/>
        </w:trPr>
        <w:tc>
          <w:tcPr>
            <w:tcW w:w="1459" w:type="pct"/>
            <w:vAlign w:val="center"/>
          </w:tcPr>
          <w:p w14:paraId="6CA48423" w14:textId="77777777" w:rsidR="002A6025" w:rsidRPr="00E01FB1" w:rsidRDefault="002A6025" w:rsidP="00E01FB1">
            <w:pPr>
              <w:pStyle w:val="NoSpacing"/>
              <w:rPr>
                <w:i/>
                <w:iCs/>
                <w:sz w:val="16"/>
                <w:szCs w:val="16"/>
              </w:rPr>
            </w:pPr>
            <w:r w:rsidRPr="00E01FB1">
              <w:rPr>
                <w:i/>
                <w:iCs/>
                <w:sz w:val="16"/>
                <w:szCs w:val="16"/>
              </w:rPr>
              <w:t>North Carolina Court Remedy</w:t>
            </w:r>
          </w:p>
        </w:tc>
        <w:tc>
          <w:tcPr>
            <w:tcW w:w="708" w:type="pct"/>
            <w:vAlign w:val="center"/>
          </w:tcPr>
          <w:p w14:paraId="7E6E262D" w14:textId="77777777" w:rsidR="002A6025" w:rsidRPr="00783292" w:rsidRDefault="002A6025" w:rsidP="00E01FB1">
            <w:pPr>
              <w:pStyle w:val="NoSpacing"/>
              <w:jc w:val="center"/>
              <w:rPr>
                <w:sz w:val="16"/>
                <w:szCs w:val="16"/>
              </w:rPr>
            </w:pPr>
            <w:r>
              <w:rPr>
                <w:sz w:val="16"/>
                <w:szCs w:val="16"/>
              </w:rPr>
              <w:t>13</w:t>
            </w:r>
          </w:p>
        </w:tc>
        <w:tc>
          <w:tcPr>
            <w:tcW w:w="708" w:type="pct"/>
            <w:vAlign w:val="center"/>
          </w:tcPr>
          <w:p w14:paraId="62BB891A" w14:textId="77777777" w:rsidR="002A6025" w:rsidRPr="00783292" w:rsidRDefault="002A6025" w:rsidP="00E01FB1">
            <w:pPr>
              <w:pStyle w:val="NoSpacing"/>
              <w:jc w:val="center"/>
              <w:rPr>
                <w:sz w:val="16"/>
                <w:szCs w:val="16"/>
              </w:rPr>
            </w:pPr>
            <w:r>
              <w:rPr>
                <w:sz w:val="16"/>
                <w:szCs w:val="16"/>
              </w:rPr>
              <w:t>59</w:t>
            </w:r>
          </w:p>
        </w:tc>
        <w:tc>
          <w:tcPr>
            <w:tcW w:w="708" w:type="pct"/>
            <w:vAlign w:val="center"/>
          </w:tcPr>
          <w:p w14:paraId="4F8794EB" w14:textId="77777777" w:rsidR="002A6025" w:rsidRPr="00783292" w:rsidRDefault="002A6025" w:rsidP="00E01FB1">
            <w:pPr>
              <w:pStyle w:val="NoSpacing"/>
              <w:jc w:val="center"/>
              <w:rPr>
                <w:sz w:val="16"/>
                <w:szCs w:val="16"/>
              </w:rPr>
            </w:pPr>
            <w:r>
              <w:rPr>
                <w:sz w:val="16"/>
                <w:szCs w:val="16"/>
              </w:rPr>
              <w:t>0.35%</w:t>
            </w:r>
          </w:p>
        </w:tc>
        <w:tc>
          <w:tcPr>
            <w:tcW w:w="708" w:type="pct"/>
            <w:vAlign w:val="center"/>
          </w:tcPr>
          <w:p w14:paraId="1F68D97C" w14:textId="77777777" w:rsidR="002A6025" w:rsidRPr="00783292" w:rsidRDefault="002A6025" w:rsidP="00E01FB1">
            <w:pPr>
              <w:pStyle w:val="NoSpacing"/>
              <w:jc w:val="center"/>
              <w:rPr>
                <w:sz w:val="16"/>
                <w:szCs w:val="16"/>
              </w:rPr>
            </w:pPr>
            <w:r>
              <w:rPr>
                <w:sz w:val="16"/>
                <w:szCs w:val="16"/>
              </w:rPr>
              <w:t>7</w:t>
            </w:r>
          </w:p>
        </w:tc>
        <w:tc>
          <w:tcPr>
            <w:tcW w:w="708" w:type="pct"/>
            <w:vAlign w:val="center"/>
          </w:tcPr>
          <w:p w14:paraId="146C22EC" w14:textId="77777777" w:rsidR="002A6025" w:rsidRPr="00783292" w:rsidRDefault="002A6025" w:rsidP="00E01FB1">
            <w:pPr>
              <w:pStyle w:val="NoSpacing"/>
              <w:jc w:val="center"/>
              <w:rPr>
                <w:sz w:val="16"/>
                <w:szCs w:val="16"/>
              </w:rPr>
            </w:pPr>
            <w:r>
              <w:rPr>
                <w:sz w:val="16"/>
                <w:szCs w:val="16"/>
              </w:rPr>
              <w:t>7</w:t>
            </w:r>
          </w:p>
        </w:tc>
      </w:tr>
      <w:tr w:rsidR="002A6025" w:rsidRPr="00783292" w14:paraId="56A90724" w14:textId="77777777" w:rsidTr="00E01FB1">
        <w:trPr>
          <w:jc w:val="center"/>
        </w:trPr>
        <w:tc>
          <w:tcPr>
            <w:tcW w:w="1459" w:type="pct"/>
            <w:shd w:val="clear" w:color="auto" w:fill="auto"/>
            <w:vAlign w:val="center"/>
          </w:tcPr>
          <w:p w14:paraId="594B7136" w14:textId="77777777" w:rsidR="002A6025" w:rsidRPr="00E01FB1" w:rsidRDefault="002A6025" w:rsidP="00E01FB1">
            <w:pPr>
              <w:pStyle w:val="NoSpacing"/>
              <w:rPr>
                <w:i/>
                <w:iCs/>
                <w:sz w:val="16"/>
                <w:szCs w:val="16"/>
              </w:rPr>
            </w:pPr>
            <w:r w:rsidRPr="00E01FB1">
              <w:rPr>
                <w:i/>
                <w:iCs/>
                <w:sz w:val="16"/>
                <w:szCs w:val="16"/>
              </w:rPr>
              <w:t>New Hampshire Legislature</w:t>
            </w:r>
          </w:p>
        </w:tc>
        <w:tc>
          <w:tcPr>
            <w:tcW w:w="708" w:type="pct"/>
            <w:shd w:val="clear" w:color="auto" w:fill="auto"/>
            <w:vAlign w:val="center"/>
          </w:tcPr>
          <w:p w14:paraId="3E430DD1" w14:textId="77777777" w:rsidR="002A6025" w:rsidRDefault="002A6025" w:rsidP="00E01FB1">
            <w:pPr>
              <w:pStyle w:val="NoSpacing"/>
              <w:jc w:val="center"/>
              <w:rPr>
                <w:sz w:val="16"/>
                <w:szCs w:val="16"/>
              </w:rPr>
            </w:pPr>
            <w:r>
              <w:rPr>
                <w:sz w:val="16"/>
                <w:szCs w:val="16"/>
              </w:rPr>
              <w:t>3</w:t>
            </w:r>
          </w:p>
        </w:tc>
        <w:tc>
          <w:tcPr>
            <w:tcW w:w="708" w:type="pct"/>
            <w:shd w:val="clear" w:color="auto" w:fill="auto"/>
            <w:vAlign w:val="center"/>
          </w:tcPr>
          <w:p w14:paraId="2D75E5AA" w14:textId="77777777" w:rsidR="002A6025" w:rsidRDefault="002A6025" w:rsidP="00E01FB1">
            <w:pPr>
              <w:pStyle w:val="NoSpacing"/>
              <w:jc w:val="center"/>
              <w:rPr>
                <w:sz w:val="16"/>
                <w:szCs w:val="16"/>
              </w:rPr>
            </w:pPr>
            <w:r>
              <w:rPr>
                <w:sz w:val="16"/>
                <w:szCs w:val="16"/>
              </w:rPr>
              <w:t>43</w:t>
            </w:r>
          </w:p>
        </w:tc>
        <w:tc>
          <w:tcPr>
            <w:tcW w:w="708" w:type="pct"/>
            <w:shd w:val="clear" w:color="auto" w:fill="auto"/>
            <w:vAlign w:val="center"/>
          </w:tcPr>
          <w:p w14:paraId="1EF88353" w14:textId="77777777" w:rsidR="002A6025" w:rsidRDefault="002A6025" w:rsidP="00E01FB1">
            <w:pPr>
              <w:pStyle w:val="NoSpacing"/>
              <w:jc w:val="center"/>
              <w:rPr>
                <w:sz w:val="16"/>
                <w:szCs w:val="16"/>
              </w:rPr>
            </w:pPr>
            <w:r>
              <w:rPr>
                <w:sz w:val="16"/>
                <w:szCs w:val="16"/>
              </w:rPr>
              <w:t>-0.15%</w:t>
            </w:r>
          </w:p>
        </w:tc>
        <w:tc>
          <w:tcPr>
            <w:tcW w:w="708" w:type="pct"/>
            <w:shd w:val="clear" w:color="auto" w:fill="auto"/>
            <w:vAlign w:val="center"/>
          </w:tcPr>
          <w:p w14:paraId="3ED2D574" w14:textId="77777777" w:rsidR="002A6025" w:rsidRDefault="002A6025" w:rsidP="00E01FB1">
            <w:pPr>
              <w:pStyle w:val="NoSpacing"/>
              <w:jc w:val="center"/>
              <w:rPr>
                <w:sz w:val="16"/>
                <w:szCs w:val="16"/>
              </w:rPr>
            </w:pPr>
            <w:r>
              <w:rPr>
                <w:sz w:val="16"/>
                <w:szCs w:val="16"/>
              </w:rPr>
              <w:t>2</w:t>
            </w:r>
          </w:p>
        </w:tc>
        <w:tc>
          <w:tcPr>
            <w:tcW w:w="708" w:type="pct"/>
            <w:shd w:val="clear" w:color="auto" w:fill="auto"/>
            <w:vAlign w:val="center"/>
          </w:tcPr>
          <w:p w14:paraId="395395DD" w14:textId="77777777" w:rsidR="002A6025" w:rsidRPr="00783292" w:rsidRDefault="002A6025" w:rsidP="00E01FB1">
            <w:pPr>
              <w:pStyle w:val="NoSpacing"/>
              <w:jc w:val="center"/>
              <w:rPr>
                <w:sz w:val="16"/>
                <w:szCs w:val="16"/>
              </w:rPr>
            </w:pPr>
            <w:r>
              <w:rPr>
                <w:sz w:val="16"/>
                <w:szCs w:val="16"/>
              </w:rPr>
              <w:t>-</w:t>
            </w:r>
          </w:p>
        </w:tc>
      </w:tr>
      <w:tr w:rsidR="002A6025" w:rsidRPr="00783292" w14:paraId="75DDFF7C" w14:textId="77777777" w:rsidTr="00E01FB1">
        <w:trPr>
          <w:jc w:val="center"/>
        </w:trPr>
        <w:tc>
          <w:tcPr>
            <w:tcW w:w="1459" w:type="pct"/>
            <w:vAlign w:val="center"/>
          </w:tcPr>
          <w:p w14:paraId="2D83D156" w14:textId="77777777" w:rsidR="002A6025" w:rsidRPr="00E01FB1" w:rsidRDefault="002A6025" w:rsidP="00E01FB1">
            <w:pPr>
              <w:pStyle w:val="NoSpacing"/>
              <w:rPr>
                <w:i/>
                <w:iCs/>
                <w:sz w:val="16"/>
                <w:szCs w:val="16"/>
              </w:rPr>
            </w:pPr>
            <w:r w:rsidRPr="00E01FB1">
              <w:rPr>
                <w:i/>
                <w:iCs/>
                <w:sz w:val="16"/>
                <w:szCs w:val="16"/>
              </w:rPr>
              <w:t>New Hampshire Court</w:t>
            </w:r>
          </w:p>
        </w:tc>
        <w:tc>
          <w:tcPr>
            <w:tcW w:w="708" w:type="pct"/>
            <w:vAlign w:val="center"/>
          </w:tcPr>
          <w:p w14:paraId="3502A13E" w14:textId="77777777" w:rsidR="002A6025" w:rsidRDefault="002A6025" w:rsidP="00E01FB1">
            <w:pPr>
              <w:pStyle w:val="NoSpacing"/>
              <w:jc w:val="center"/>
              <w:rPr>
                <w:sz w:val="16"/>
                <w:szCs w:val="16"/>
              </w:rPr>
            </w:pPr>
            <w:r>
              <w:rPr>
                <w:sz w:val="16"/>
                <w:szCs w:val="16"/>
              </w:rPr>
              <w:t>5</w:t>
            </w:r>
          </w:p>
        </w:tc>
        <w:tc>
          <w:tcPr>
            <w:tcW w:w="708" w:type="pct"/>
            <w:vAlign w:val="center"/>
          </w:tcPr>
          <w:p w14:paraId="40F08890" w14:textId="77777777" w:rsidR="002A6025" w:rsidRDefault="002A6025" w:rsidP="00E01FB1">
            <w:pPr>
              <w:pStyle w:val="NoSpacing"/>
              <w:jc w:val="center"/>
              <w:rPr>
                <w:sz w:val="16"/>
                <w:szCs w:val="16"/>
              </w:rPr>
            </w:pPr>
            <w:r>
              <w:rPr>
                <w:sz w:val="16"/>
                <w:szCs w:val="16"/>
              </w:rPr>
              <w:t>26</w:t>
            </w:r>
          </w:p>
        </w:tc>
        <w:tc>
          <w:tcPr>
            <w:tcW w:w="708" w:type="pct"/>
            <w:vAlign w:val="center"/>
          </w:tcPr>
          <w:p w14:paraId="66B3C943" w14:textId="77777777" w:rsidR="002A6025" w:rsidRDefault="002A6025" w:rsidP="00E01FB1">
            <w:pPr>
              <w:pStyle w:val="NoSpacing"/>
              <w:jc w:val="center"/>
              <w:rPr>
                <w:sz w:val="16"/>
                <w:szCs w:val="16"/>
              </w:rPr>
            </w:pPr>
            <w:r>
              <w:rPr>
                <w:sz w:val="16"/>
                <w:szCs w:val="16"/>
              </w:rPr>
              <w:t>-0.00%</w:t>
            </w:r>
          </w:p>
        </w:tc>
        <w:tc>
          <w:tcPr>
            <w:tcW w:w="708" w:type="pct"/>
            <w:vAlign w:val="center"/>
          </w:tcPr>
          <w:p w14:paraId="1A3CFE16" w14:textId="77777777" w:rsidR="002A6025" w:rsidRDefault="002A6025" w:rsidP="00E01FB1">
            <w:pPr>
              <w:pStyle w:val="NoSpacing"/>
              <w:jc w:val="center"/>
              <w:rPr>
                <w:sz w:val="16"/>
                <w:szCs w:val="16"/>
              </w:rPr>
            </w:pPr>
            <w:r>
              <w:rPr>
                <w:sz w:val="16"/>
                <w:szCs w:val="16"/>
              </w:rPr>
              <w:t>2</w:t>
            </w:r>
          </w:p>
        </w:tc>
        <w:tc>
          <w:tcPr>
            <w:tcW w:w="708" w:type="pct"/>
            <w:vAlign w:val="center"/>
          </w:tcPr>
          <w:p w14:paraId="30EC574D" w14:textId="77777777" w:rsidR="002A6025" w:rsidRPr="00783292" w:rsidRDefault="002A6025" w:rsidP="00E01FB1">
            <w:pPr>
              <w:pStyle w:val="NoSpacing"/>
              <w:jc w:val="center"/>
              <w:rPr>
                <w:sz w:val="16"/>
                <w:szCs w:val="16"/>
              </w:rPr>
            </w:pPr>
            <w:r>
              <w:rPr>
                <w:sz w:val="16"/>
                <w:szCs w:val="16"/>
              </w:rPr>
              <w:t>2</w:t>
            </w:r>
          </w:p>
        </w:tc>
      </w:tr>
      <w:tr w:rsidR="002A6025" w:rsidRPr="00783292" w14:paraId="19020593" w14:textId="77777777" w:rsidTr="00E01FB1">
        <w:trPr>
          <w:jc w:val="center"/>
        </w:trPr>
        <w:tc>
          <w:tcPr>
            <w:tcW w:w="1459" w:type="pct"/>
            <w:shd w:val="clear" w:color="auto" w:fill="D9D9D9" w:themeFill="background1" w:themeFillShade="D9"/>
            <w:vAlign w:val="center"/>
          </w:tcPr>
          <w:p w14:paraId="609F2212" w14:textId="77777777" w:rsidR="002A6025" w:rsidRPr="00E01FB1" w:rsidRDefault="002A6025" w:rsidP="00E01FB1">
            <w:pPr>
              <w:pStyle w:val="NoSpacing"/>
              <w:rPr>
                <w:i/>
                <w:iCs/>
                <w:sz w:val="16"/>
                <w:szCs w:val="16"/>
              </w:rPr>
            </w:pPr>
            <w:r w:rsidRPr="00E01FB1">
              <w:rPr>
                <w:i/>
                <w:iCs/>
                <w:sz w:val="16"/>
                <w:szCs w:val="16"/>
              </w:rPr>
              <w:t>New York Legislature</w:t>
            </w:r>
          </w:p>
        </w:tc>
        <w:tc>
          <w:tcPr>
            <w:tcW w:w="708" w:type="pct"/>
            <w:shd w:val="clear" w:color="auto" w:fill="D9D9D9" w:themeFill="background1" w:themeFillShade="D9"/>
            <w:vAlign w:val="center"/>
          </w:tcPr>
          <w:p w14:paraId="53EAE747" w14:textId="77777777" w:rsidR="002A6025" w:rsidRPr="00783292" w:rsidRDefault="002A6025" w:rsidP="00E01FB1">
            <w:pPr>
              <w:pStyle w:val="NoSpacing"/>
              <w:jc w:val="center"/>
              <w:rPr>
                <w:sz w:val="16"/>
                <w:szCs w:val="16"/>
              </w:rPr>
            </w:pPr>
            <w:r>
              <w:rPr>
                <w:sz w:val="16"/>
                <w:szCs w:val="16"/>
              </w:rPr>
              <w:t>56</w:t>
            </w:r>
          </w:p>
        </w:tc>
        <w:tc>
          <w:tcPr>
            <w:tcW w:w="708" w:type="pct"/>
            <w:shd w:val="clear" w:color="auto" w:fill="D9D9D9" w:themeFill="background1" w:themeFillShade="D9"/>
            <w:vAlign w:val="center"/>
          </w:tcPr>
          <w:p w14:paraId="75B7675B" w14:textId="77777777" w:rsidR="002A6025" w:rsidRPr="00783292" w:rsidRDefault="002A6025" w:rsidP="00E01FB1">
            <w:pPr>
              <w:pStyle w:val="NoSpacing"/>
              <w:jc w:val="center"/>
              <w:rPr>
                <w:sz w:val="16"/>
                <w:szCs w:val="16"/>
              </w:rPr>
            </w:pPr>
            <w:r>
              <w:rPr>
                <w:sz w:val="16"/>
                <w:szCs w:val="16"/>
              </w:rPr>
              <w:t>40</w:t>
            </w:r>
          </w:p>
        </w:tc>
        <w:tc>
          <w:tcPr>
            <w:tcW w:w="708" w:type="pct"/>
            <w:shd w:val="clear" w:color="auto" w:fill="D9D9D9" w:themeFill="background1" w:themeFillShade="D9"/>
            <w:vAlign w:val="center"/>
          </w:tcPr>
          <w:p w14:paraId="180502BA" w14:textId="77777777" w:rsidR="002A6025" w:rsidRPr="00783292" w:rsidRDefault="002A6025" w:rsidP="00E01FB1">
            <w:pPr>
              <w:pStyle w:val="NoSpacing"/>
              <w:jc w:val="center"/>
              <w:rPr>
                <w:sz w:val="16"/>
                <w:szCs w:val="16"/>
              </w:rPr>
            </w:pPr>
            <w:r>
              <w:rPr>
                <w:sz w:val="16"/>
                <w:szCs w:val="16"/>
              </w:rPr>
              <w:t>0.12%</w:t>
            </w:r>
          </w:p>
        </w:tc>
        <w:tc>
          <w:tcPr>
            <w:tcW w:w="708" w:type="pct"/>
            <w:shd w:val="clear" w:color="auto" w:fill="D9D9D9" w:themeFill="background1" w:themeFillShade="D9"/>
            <w:vAlign w:val="center"/>
          </w:tcPr>
          <w:p w14:paraId="13464601" w14:textId="77777777" w:rsidR="002A6025" w:rsidRPr="00783292" w:rsidRDefault="002A6025" w:rsidP="00E01FB1">
            <w:pPr>
              <w:pStyle w:val="NoSpacing"/>
              <w:jc w:val="center"/>
              <w:rPr>
                <w:sz w:val="16"/>
                <w:szCs w:val="16"/>
              </w:rPr>
            </w:pPr>
            <w:r>
              <w:rPr>
                <w:sz w:val="16"/>
                <w:szCs w:val="16"/>
              </w:rPr>
              <w:t>22</w:t>
            </w:r>
          </w:p>
        </w:tc>
        <w:tc>
          <w:tcPr>
            <w:tcW w:w="708" w:type="pct"/>
            <w:shd w:val="clear" w:color="auto" w:fill="D9D9D9" w:themeFill="background1" w:themeFillShade="D9"/>
            <w:vAlign w:val="center"/>
          </w:tcPr>
          <w:p w14:paraId="09F86331" w14:textId="77777777" w:rsidR="002A6025" w:rsidRPr="00783292" w:rsidRDefault="002A6025" w:rsidP="00E01FB1">
            <w:pPr>
              <w:pStyle w:val="NoSpacing"/>
              <w:jc w:val="center"/>
              <w:rPr>
                <w:sz w:val="16"/>
                <w:szCs w:val="16"/>
              </w:rPr>
            </w:pPr>
            <w:r>
              <w:rPr>
                <w:sz w:val="16"/>
                <w:szCs w:val="16"/>
              </w:rPr>
              <w:t>-</w:t>
            </w:r>
          </w:p>
        </w:tc>
      </w:tr>
      <w:tr w:rsidR="002A6025" w:rsidRPr="00783292" w14:paraId="78ED267D" w14:textId="77777777" w:rsidTr="00E01FB1">
        <w:trPr>
          <w:jc w:val="center"/>
        </w:trPr>
        <w:tc>
          <w:tcPr>
            <w:tcW w:w="1459" w:type="pct"/>
            <w:vAlign w:val="center"/>
          </w:tcPr>
          <w:p w14:paraId="7D9CA9C5" w14:textId="77777777" w:rsidR="002A6025" w:rsidRPr="00E01FB1" w:rsidRDefault="002A6025" w:rsidP="00E01FB1">
            <w:pPr>
              <w:pStyle w:val="NoSpacing"/>
              <w:rPr>
                <w:i/>
                <w:iCs/>
                <w:sz w:val="16"/>
                <w:szCs w:val="16"/>
              </w:rPr>
            </w:pPr>
            <w:r w:rsidRPr="00E01FB1">
              <w:rPr>
                <w:i/>
                <w:iCs/>
                <w:sz w:val="16"/>
                <w:szCs w:val="16"/>
              </w:rPr>
              <w:t>New York Court Remedy</w:t>
            </w:r>
          </w:p>
        </w:tc>
        <w:tc>
          <w:tcPr>
            <w:tcW w:w="708" w:type="pct"/>
            <w:vAlign w:val="center"/>
          </w:tcPr>
          <w:p w14:paraId="7E29F4CE" w14:textId="77777777" w:rsidR="002A6025" w:rsidRPr="00783292" w:rsidRDefault="002A6025" w:rsidP="00E01FB1">
            <w:pPr>
              <w:pStyle w:val="NoSpacing"/>
              <w:jc w:val="center"/>
              <w:rPr>
                <w:sz w:val="16"/>
                <w:szCs w:val="16"/>
              </w:rPr>
            </w:pPr>
            <w:r>
              <w:rPr>
                <w:sz w:val="16"/>
                <w:szCs w:val="16"/>
              </w:rPr>
              <w:t>26</w:t>
            </w:r>
          </w:p>
        </w:tc>
        <w:tc>
          <w:tcPr>
            <w:tcW w:w="708" w:type="pct"/>
            <w:vAlign w:val="center"/>
          </w:tcPr>
          <w:p w14:paraId="2AA187FC" w14:textId="77777777" w:rsidR="002A6025" w:rsidRPr="00783292" w:rsidRDefault="002A6025" w:rsidP="00E01FB1">
            <w:pPr>
              <w:pStyle w:val="NoSpacing"/>
              <w:jc w:val="center"/>
              <w:rPr>
                <w:sz w:val="16"/>
                <w:szCs w:val="16"/>
              </w:rPr>
            </w:pPr>
            <w:r>
              <w:rPr>
                <w:sz w:val="16"/>
                <w:szCs w:val="16"/>
              </w:rPr>
              <w:t>60</w:t>
            </w:r>
          </w:p>
        </w:tc>
        <w:tc>
          <w:tcPr>
            <w:tcW w:w="708" w:type="pct"/>
            <w:vAlign w:val="center"/>
          </w:tcPr>
          <w:p w14:paraId="11EA9FD9" w14:textId="77777777" w:rsidR="002A6025" w:rsidRPr="00783292" w:rsidRDefault="002A6025" w:rsidP="00E01FB1">
            <w:pPr>
              <w:pStyle w:val="NoSpacing"/>
              <w:jc w:val="center"/>
              <w:rPr>
                <w:sz w:val="16"/>
                <w:szCs w:val="16"/>
              </w:rPr>
            </w:pPr>
            <w:r>
              <w:rPr>
                <w:sz w:val="16"/>
                <w:szCs w:val="16"/>
              </w:rPr>
              <w:t>0.87%</w:t>
            </w:r>
          </w:p>
        </w:tc>
        <w:tc>
          <w:tcPr>
            <w:tcW w:w="708" w:type="pct"/>
            <w:vAlign w:val="center"/>
          </w:tcPr>
          <w:p w14:paraId="7102FE61" w14:textId="77777777" w:rsidR="002A6025" w:rsidRPr="00783292" w:rsidRDefault="002A6025" w:rsidP="00E01FB1">
            <w:pPr>
              <w:pStyle w:val="NoSpacing"/>
              <w:jc w:val="center"/>
              <w:rPr>
                <w:sz w:val="16"/>
                <w:szCs w:val="16"/>
              </w:rPr>
            </w:pPr>
            <w:r>
              <w:rPr>
                <w:sz w:val="16"/>
                <w:szCs w:val="16"/>
              </w:rPr>
              <w:t>21</w:t>
            </w:r>
          </w:p>
        </w:tc>
        <w:tc>
          <w:tcPr>
            <w:tcW w:w="708" w:type="pct"/>
            <w:vAlign w:val="center"/>
          </w:tcPr>
          <w:p w14:paraId="1AE5B212" w14:textId="77777777" w:rsidR="002A6025" w:rsidRPr="00783292" w:rsidRDefault="002A6025" w:rsidP="00E01FB1">
            <w:pPr>
              <w:pStyle w:val="NoSpacing"/>
              <w:jc w:val="center"/>
              <w:rPr>
                <w:sz w:val="16"/>
                <w:szCs w:val="16"/>
              </w:rPr>
            </w:pPr>
            <w:r>
              <w:rPr>
                <w:sz w:val="16"/>
                <w:szCs w:val="16"/>
              </w:rPr>
              <w:t>15</w:t>
            </w:r>
          </w:p>
        </w:tc>
      </w:tr>
      <w:tr w:rsidR="002A6025" w:rsidRPr="00783292" w14:paraId="1A7EE47B" w14:textId="77777777" w:rsidTr="00E01FB1">
        <w:trPr>
          <w:jc w:val="center"/>
        </w:trPr>
        <w:tc>
          <w:tcPr>
            <w:tcW w:w="1459" w:type="pct"/>
            <w:shd w:val="clear" w:color="auto" w:fill="D9D9D9" w:themeFill="background1" w:themeFillShade="D9"/>
            <w:vAlign w:val="center"/>
          </w:tcPr>
          <w:p w14:paraId="3CEA9454" w14:textId="77777777" w:rsidR="002A6025" w:rsidRPr="00E01FB1" w:rsidRDefault="002A6025" w:rsidP="00E01FB1">
            <w:pPr>
              <w:pStyle w:val="NoSpacing"/>
              <w:rPr>
                <w:i/>
                <w:iCs/>
                <w:sz w:val="16"/>
                <w:szCs w:val="16"/>
              </w:rPr>
            </w:pPr>
            <w:r w:rsidRPr="00E01FB1">
              <w:rPr>
                <w:i/>
                <w:iCs/>
                <w:sz w:val="16"/>
                <w:szCs w:val="16"/>
              </w:rPr>
              <w:t>Ohio Legislature</w:t>
            </w:r>
          </w:p>
        </w:tc>
        <w:tc>
          <w:tcPr>
            <w:tcW w:w="708" w:type="pct"/>
            <w:shd w:val="clear" w:color="auto" w:fill="D9D9D9" w:themeFill="background1" w:themeFillShade="D9"/>
            <w:vAlign w:val="center"/>
          </w:tcPr>
          <w:p w14:paraId="0E492B5E" w14:textId="77777777" w:rsidR="002A6025" w:rsidRPr="00783292" w:rsidRDefault="002A6025" w:rsidP="00E01FB1">
            <w:pPr>
              <w:pStyle w:val="NoSpacing"/>
              <w:jc w:val="center"/>
              <w:rPr>
                <w:sz w:val="16"/>
                <w:szCs w:val="16"/>
              </w:rPr>
            </w:pPr>
            <w:r>
              <w:rPr>
                <w:sz w:val="16"/>
                <w:szCs w:val="16"/>
              </w:rPr>
              <w:t>14</w:t>
            </w:r>
          </w:p>
        </w:tc>
        <w:tc>
          <w:tcPr>
            <w:tcW w:w="708" w:type="pct"/>
            <w:shd w:val="clear" w:color="auto" w:fill="D9D9D9" w:themeFill="background1" w:themeFillShade="D9"/>
            <w:vAlign w:val="center"/>
          </w:tcPr>
          <w:p w14:paraId="28116840" w14:textId="77777777" w:rsidR="002A6025" w:rsidRPr="00783292" w:rsidRDefault="002A6025" w:rsidP="00E01FB1">
            <w:pPr>
              <w:pStyle w:val="NoSpacing"/>
              <w:jc w:val="center"/>
              <w:rPr>
                <w:sz w:val="16"/>
                <w:szCs w:val="16"/>
              </w:rPr>
            </w:pPr>
            <w:r>
              <w:rPr>
                <w:sz w:val="16"/>
                <w:szCs w:val="16"/>
              </w:rPr>
              <w:t>47</w:t>
            </w:r>
          </w:p>
        </w:tc>
        <w:tc>
          <w:tcPr>
            <w:tcW w:w="708" w:type="pct"/>
            <w:shd w:val="clear" w:color="auto" w:fill="D9D9D9" w:themeFill="background1" w:themeFillShade="D9"/>
            <w:vAlign w:val="center"/>
          </w:tcPr>
          <w:p w14:paraId="3ED93472" w14:textId="77777777" w:rsidR="002A6025" w:rsidRPr="00783292" w:rsidRDefault="002A6025" w:rsidP="00E01FB1">
            <w:pPr>
              <w:pStyle w:val="NoSpacing"/>
              <w:jc w:val="center"/>
              <w:rPr>
                <w:sz w:val="16"/>
                <w:szCs w:val="16"/>
              </w:rPr>
            </w:pPr>
            <w:r>
              <w:rPr>
                <w:sz w:val="16"/>
                <w:szCs w:val="16"/>
              </w:rPr>
              <w:t>2.08%</w:t>
            </w:r>
          </w:p>
        </w:tc>
        <w:tc>
          <w:tcPr>
            <w:tcW w:w="708" w:type="pct"/>
            <w:shd w:val="clear" w:color="auto" w:fill="D9D9D9" w:themeFill="background1" w:themeFillShade="D9"/>
            <w:vAlign w:val="center"/>
          </w:tcPr>
          <w:p w14:paraId="2DBDC10C" w14:textId="77777777" w:rsidR="002A6025" w:rsidRPr="00783292" w:rsidRDefault="002A6025" w:rsidP="00E01FB1">
            <w:pPr>
              <w:pStyle w:val="NoSpacing"/>
              <w:jc w:val="center"/>
              <w:rPr>
                <w:sz w:val="16"/>
                <w:szCs w:val="16"/>
              </w:rPr>
            </w:pPr>
            <w:r>
              <w:rPr>
                <w:sz w:val="16"/>
                <w:szCs w:val="16"/>
              </w:rPr>
              <w:t>4</w:t>
            </w:r>
          </w:p>
        </w:tc>
        <w:tc>
          <w:tcPr>
            <w:tcW w:w="708" w:type="pct"/>
            <w:shd w:val="clear" w:color="auto" w:fill="D9D9D9" w:themeFill="background1" w:themeFillShade="D9"/>
            <w:vAlign w:val="center"/>
          </w:tcPr>
          <w:p w14:paraId="63A3B5B6" w14:textId="77777777" w:rsidR="002A6025" w:rsidRPr="00783292" w:rsidRDefault="002A6025" w:rsidP="00E01FB1">
            <w:pPr>
              <w:pStyle w:val="NoSpacing"/>
              <w:jc w:val="center"/>
              <w:rPr>
                <w:sz w:val="16"/>
                <w:szCs w:val="16"/>
              </w:rPr>
            </w:pPr>
            <w:r>
              <w:rPr>
                <w:sz w:val="16"/>
                <w:szCs w:val="16"/>
              </w:rPr>
              <w:t>-</w:t>
            </w:r>
          </w:p>
        </w:tc>
      </w:tr>
      <w:tr w:rsidR="002A6025" w:rsidRPr="00783292" w14:paraId="09B1CFD3" w14:textId="77777777" w:rsidTr="00E01FB1">
        <w:trPr>
          <w:jc w:val="center"/>
        </w:trPr>
        <w:tc>
          <w:tcPr>
            <w:tcW w:w="1459" w:type="pct"/>
            <w:vAlign w:val="center"/>
          </w:tcPr>
          <w:p w14:paraId="1110029A" w14:textId="77777777" w:rsidR="002A6025" w:rsidRPr="00E01FB1" w:rsidRDefault="002A6025" w:rsidP="00E01FB1">
            <w:pPr>
              <w:pStyle w:val="NoSpacing"/>
              <w:rPr>
                <w:i/>
                <w:iCs/>
                <w:sz w:val="16"/>
                <w:szCs w:val="16"/>
              </w:rPr>
            </w:pPr>
            <w:r w:rsidRPr="00E01FB1">
              <w:rPr>
                <w:i/>
                <w:iCs/>
                <w:sz w:val="16"/>
                <w:szCs w:val="16"/>
              </w:rPr>
              <w:t>Ohio Comm. I</w:t>
            </w:r>
          </w:p>
        </w:tc>
        <w:tc>
          <w:tcPr>
            <w:tcW w:w="708" w:type="pct"/>
            <w:vAlign w:val="center"/>
          </w:tcPr>
          <w:p w14:paraId="2E407F1A" w14:textId="77777777" w:rsidR="002A6025" w:rsidRPr="00783292" w:rsidRDefault="002A6025" w:rsidP="00E01FB1">
            <w:pPr>
              <w:pStyle w:val="NoSpacing"/>
              <w:jc w:val="center"/>
              <w:rPr>
                <w:sz w:val="16"/>
                <w:szCs w:val="16"/>
              </w:rPr>
            </w:pPr>
            <w:r>
              <w:rPr>
                <w:sz w:val="16"/>
                <w:szCs w:val="16"/>
              </w:rPr>
              <w:t>14</w:t>
            </w:r>
          </w:p>
        </w:tc>
        <w:tc>
          <w:tcPr>
            <w:tcW w:w="708" w:type="pct"/>
            <w:vAlign w:val="center"/>
          </w:tcPr>
          <w:p w14:paraId="7B58C1E9" w14:textId="77777777" w:rsidR="002A6025" w:rsidRPr="00783292" w:rsidRDefault="002A6025" w:rsidP="00E01FB1">
            <w:pPr>
              <w:pStyle w:val="NoSpacing"/>
              <w:jc w:val="center"/>
              <w:rPr>
                <w:sz w:val="16"/>
                <w:szCs w:val="16"/>
              </w:rPr>
            </w:pPr>
            <w:r>
              <w:rPr>
                <w:sz w:val="16"/>
                <w:szCs w:val="16"/>
              </w:rPr>
              <w:t>52</w:t>
            </w:r>
          </w:p>
        </w:tc>
        <w:tc>
          <w:tcPr>
            <w:tcW w:w="708" w:type="pct"/>
            <w:vAlign w:val="center"/>
          </w:tcPr>
          <w:p w14:paraId="17141410" w14:textId="77777777" w:rsidR="002A6025" w:rsidRPr="00783292" w:rsidRDefault="002A6025" w:rsidP="00E01FB1">
            <w:pPr>
              <w:pStyle w:val="NoSpacing"/>
              <w:jc w:val="center"/>
              <w:rPr>
                <w:sz w:val="16"/>
                <w:szCs w:val="16"/>
              </w:rPr>
            </w:pPr>
            <w:r>
              <w:rPr>
                <w:sz w:val="16"/>
                <w:szCs w:val="16"/>
              </w:rPr>
              <w:t>1.68%</w:t>
            </w:r>
          </w:p>
        </w:tc>
        <w:tc>
          <w:tcPr>
            <w:tcW w:w="708" w:type="pct"/>
            <w:vAlign w:val="center"/>
          </w:tcPr>
          <w:p w14:paraId="78526C92" w14:textId="77777777" w:rsidR="002A6025" w:rsidRPr="00783292" w:rsidRDefault="002A6025" w:rsidP="00E01FB1">
            <w:pPr>
              <w:pStyle w:val="NoSpacing"/>
              <w:jc w:val="center"/>
              <w:rPr>
                <w:sz w:val="16"/>
                <w:szCs w:val="16"/>
              </w:rPr>
            </w:pPr>
            <w:r>
              <w:rPr>
                <w:sz w:val="16"/>
                <w:szCs w:val="16"/>
              </w:rPr>
              <w:t>4</w:t>
            </w:r>
          </w:p>
        </w:tc>
        <w:tc>
          <w:tcPr>
            <w:tcW w:w="708" w:type="pct"/>
            <w:vAlign w:val="center"/>
          </w:tcPr>
          <w:p w14:paraId="0D1C172D" w14:textId="77777777" w:rsidR="002A6025" w:rsidRPr="00783292" w:rsidRDefault="002A6025" w:rsidP="00E01FB1">
            <w:pPr>
              <w:pStyle w:val="NoSpacing"/>
              <w:jc w:val="center"/>
              <w:rPr>
                <w:sz w:val="16"/>
                <w:szCs w:val="16"/>
              </w:rPr>
            </w:pPr>
            <w:r>
              <w:rPr>
                <w:sz w:val="16"/>
                <w:szCs w:val="16"/>
              </w:rPr>
              <w:t>5</w:t>
            </w:r>
          </w:p>
        </w:tc>
      </w:tr>
      <w:tr w:rsidR="002A6025" w:rsidRPr="00783292" w14:paraId="72AE1CA3" w14:textId="77777777" w:rsidTr="00E01FB1">
        <w:trPr>
          <w:jc w:val="center"/>
        </w:trPr>
        <w:tc>
          <w:tcPr>
            <w:tcW w:w="1459" w:type="pct"/>
            <w:shd w:val="clear" w:color="auto" w:fill="D9D9D9" w:themeFill="background1" w:themeFillShade="D9"/>
            <w:vAlign w:val="center"/>
          </w:tcPr>
          <w:p w14:paraId="057E8728" w14:textId="77777777" w:rsidR="002A6025" w:rsidRPr="00E01FB1" w:rsidRDefault="002A6025" w:rsidP="00E01FB1">
            <w:pPr>
              <w:pStyle w:val="NoSpacing"/>
              <w:rPr>
                <w:i/>
                <w:iCs/>
                <w:sz w:val="16"/>
                <w:szCs w:val="16"/>
              </w:rPr>
            </w:pPr>
            <w:r w:rsidRPr="00E01FB1">
              <w:rPr>
                <w:i/>
                <w:iCs/>
                <w:sz w:val="16"/>
                <w:szCs w:val="16"/>
              </w:rPr>
              <w:t>Pennsylvania Legislature</w:t>
            </w:r>
          </w:p>
        </w:tc>
        <w:tc>
          <w:tcPr>
            <w:tcW w:w="708" w:type="pct"/>
            <w:shd w:val="clear" w:color="auto" w:fill="D9D9D9" w:themeFill="background1" w:themeFillShade="D9"/>
            <w:vAlign w:val="center"/>
          </w:tcPr>
          <w:p w14:paraId="6213B12B" w14:textId="77777777" w:rsidR="002A6025" w:rsidRPr="00783292" w:rsidRDefault="002A6025" w:rsidP="00E01FB1">
            <w:pPr>
              <w:pStyle w:val="NoSpacing"/>
              <w:jc w:val="center"/>
              <w:rPr>
                <w:sz w:val="16"/>
                <w:szCs w:val="16"/>
              </w:rPr>
            </w:pPr>
            <w:r>
              <w:rPr>
                <w:sz w:val="16"/>
                <w:szCs w:val="16"/>
              </w:rPr>
              <w:t>18</w:t>
            </w:r>
          </w:p>
        </w:tc>
        <w:tc>
          <w:tcPr>
            <w:tcW w:w="708" w:type="pct"/>
            <w:shd w:val="clear" w:color="auto" w:fill="D9D9D9" w:themeFill="background1" w:themeFillShade="D9"/>
            <w:vAlign w:val="center"/>
          </w:tcPr>
          <w:p w14:paraId="28809BD5" w14:textId="77777777" w:rsidR="002A6025" w:rsidRPr="00783292" w:rsidRDefault="002A6025" w:rsidP="00E01FB1">
            <w:pPr>
              <w:pStyle w:val="NoSpacing"/>
              <w:jc w:val="center"/>
              <w:rPr>
                <w:sz w:val="16"/>
                <w:szCs w:val="16"/>
              </w:rPr>
            </w:pPr>
            <w:r>
              <w:rPr>
                <w:sz w:val="16"/>
                <w:szCs w:val="16"/>
              </w:rPr>
              <w:t>55</w:t>
            </w:r>
          </w:p>
        </w:tc>
        <w:tc>
          <w:tcPr>
            <w:tcW w:w="708" w:type="pct"/>
            <w:shd w:val="clear" w:color="auto" w:fill="D9D9D9" w:themeFill="background1" w:themeFillShade="D9"/>
            <w:vAlign w:val="center"/>
          </w:tcPr>
          <w:p w14:paraId="68E712B8" w14:textId="77777777" w:rsidR="002A6025" w:rsidRPr="00783292" w:rsidRDefault="002A6025" w:rsidP="00E01FB1">
            <w:pPr>
              <w:pStyle w:val="NoSpacing"/>
              <w:jc w:val="center"/>
              <w:rPr>
                <w:sz w:val="16"/>
                <w:szCs w:val="16"/>
              </w:rPr>
            </w:pPr>
            <w:r>
              <w:rPr>
                <w:sz w:val="16"/>
                <w:szCs w:val="16"/>
              </w:rPr>
              <w:t>2.64%</w:t>
            </w:r>
          </w:p>
        </w:tc>
        <w:tc>
          <w:tcPr>
            <w:tcW w:w="708" w:type="pct"/>
            <w:shd w:val="clear" w:color="auto" w:fill="D9D9D9" w:themeFill="background1" w:themeFillShade="D9"/>
            <w:vAlign w:val="center"/>
          </w:tcPr>
          <w:p w14:paraId="03C5FC9B" w14:textId="77777777" w:rsidR="002A6025" w:rsidRPr="00783292" w:rsidRDefault="002A6025" w:rsidP="00E01FB1">
            <w:pPr>
              <w:pStyle w:val="NoSpacing"/>
              <w:jc w:val="center"/>
              <w:rPr>
                <w:sz w:val="16"/>
                <w:szCs w:val="16"/>
              </w:rPr>
            </w:pPr>
            <w:r>
              <w:rPr>
                <w:sz w:val="16"/>
                <w:szCs w:val="16"/>
              </w:rPr>
              <w:t>8</w:t>
            </w:r>
          </w:p>
        </w:tc>
        <w:tc>
          <w:tcPr>
            <w:tcW w:w="708" w:type="pct"/>
            <w:shd w:val="clear" w:color="auto" w:fill="D9D9D9" w:themeFill="background1" w:themeFillShade="D9"/>
            <w:vAlign w:val="center"/>
          </w:tcPr>
          <w:p w14:paraId="5D787F07" w14:textId="77777777" w:rsidR="002A6025" w:rsidRPr="00783292" w:rsidRDefault="002A6025" w:rsidP="00E01FB1">
            <w:pPr>
              <w:pStyle w:val="NoSpacing"/>
              <w:jc w:val="center"/>
              <w:rPr>
                <w:sz w:val="16"/>
                <w:szCs w:val="16"/>
              </w:rPr>
            </w:pPr>
            <w:r>
              <w:rPr>
                <w:sz w:val="16"/>
                <w:szCs w:val="16"/>
              </w:rPr>
              <w:t>-</w:t>
            </w:r>
          </w:p>
        </w:tc>
      </w:tr>
      <w:tr w:rsidR="002A6025" w:rsidRPr="00783292" w14:paraId="03D7AD00" w14:textId="77777777" w:rsidTr="00E01FB1">
        <w:trPr>
          <w:jc w:val="center"/>
        </w:trPr>
        <w:tc>
          <w:tcPr>
            <w:tcW w:w="1459" w:type="pct"/>
            <w:vAlign w:val="center"/>
          </w:tcPr>
          <w:p w14:paraId="1C8D850A" w14:textId="77777777" w:rsidR="002A6025" w:rsidRPr="00E01FB1" w:rsidRDefault="002A6025" w:rsidP="00E01FB1">
            <w:pPr>
              <w:pStyle w:val="NoSpacing"/>
              <w:rPr>
                <w:i/>
                <w:iCs/>
                <w:sz w:val="16"/>
                <w:szCs w:val="16"/>
              </w:rPr>
            </w:pPr>
            <w:r w:rsidRPr="00E01FB1">
              <w:rPr>
                <w:i/>
                <w:iCs/>
                <w:sz w:val="16"/>
                <w:szCs w:val="16"/>
              </w:rPr>
              <w:t>Pennsylvania Court Remedy</w:t>
            </w:r>
          </w:p>
        </w:tc>
        <w:tc>
          <w:tcPr>
            <w:tcW w:w="708" w:type="pct"/>
            <w:vAlign w:val="center"/>
          </w:tcPr>
          <w:p w14:paraId="7C3592CB" w14:textId="77777777" w:rsidR="002A6025" w:rsidRPr="00783292" w:rsidRDefault="002A6025" w:rsidP="00E01FB1">
            <w:pPr>
              <w:pStyle w:val="NoSpacing"/>
              <w:jc w:val="center"/>
              <w:rPr>
                <w:sz w:val="16"/>
                <w:szCs w:val="16"/>
              </w:rPr>
            </w:pPr>
            <w:r>
              <w:rPr>
                <w:sz w:val="16"/>
                <w:szCs w:val="16"/>
              </w:rPr>
              <w:t>17</w:t>
            </w:r>
          </w:p>
        </w:tc>
        <w:tc>
          <w:tcPr>
            <w:tcW w:w="708" w:type="pct"/>
            <w:vAlign w:val="center"/>
          </w:tcPr>
          <w:p w14:paraId="2E4D5E7F" w14:textId="77777777" w:rsidR="002A6025" w:rsidRPr="00783292" w:rsidRDefault="002A6025" w:rsidP="00E01FB1">
            <w:pPr>
              <w:pStyle w:val="NoSpacing"/>
              <w:jc w:val="center"/>
              <w:rPr>
                <w:sz w:val="16"/>
                <w:szCs w:val="16"/>
              </w:rPr>
            </w:pPr>
            <w:r>
              <w:rPr>
                <w:sz w:val="16"/>
                <w:szCs w:val="16"/>
              </w:rPr>
              <w:t>56</w:t>
            </w:r>
          </w:p>
        </w:tc>
        <w:tc>
          <w:tcPr>
            <w:tcW w:w="708" w:type="pct"/>
            <w:vAlign w:val="center"/>
          </w:tcPr>
          <w:p w14:paraId="692F0593" w14:textId="77777777" w:rsidR="002A6025" w:rsidRPr="00783292" w:rsidRDefault="002A6025" w:rsidP="00E01FB1">
            <w:pPr>
              <w:pStyle w:val="NoSpacing"/>
              <w:jc w:val="center"/>
              <w:rPr>
                <w:sz w:val="16"/>
                <w:szCs w:val="16"/>
              </w:rPr>
            </w:pPr>
            <w:r>
              <w:rPr>
                <w:sz w:val="16"/>
                <w:szCs w:val="16"/>
              </w:rPr>
              <w:t>0.31%</w:t>
            </w:r>
          </w:p>
        </w:tc>
        <w:tc>
          <w:tcPr>
            <w:tcW w:w="708" w:type="pct"/>
            <w:vAlign w:val="center"/>
          </w:tcPr>
          <w:p w14:paraId="4BF5D7A1" w14:textId="77777777" w:rsidR="002A6025" w:rsidRPr="00783292" w:rsidRDefault="002A6025" w:rsidP="00E01FB1">
            <w:pPr>
              <w:pStyle w:val="NoSpacing"/>
              <w:jc w:val="center"/>
              <w:rPr>
                <w:sz w:val="16"/>
                <w:szCs w:val="16"/>
              </w:rPr>
            </w:pPr>
            <w:r>
              <w:rPr>
                <w:sz w:val="16"/>
                <w:szCs w:val="16"/>
              </w:rPr>
              <w:t>9</w:t>
            </w:r>
          </w:p>
        </w:tc>
        <w:tc>
          <w:tcPr>
            <w:tcW w:w="708" w:type="pct"/>
            <w:vAlign w:val="center"/>
          </w:tcPr>
          <w:p w14:paraId="315E25AA" w14:textId="77777777" w:rsidR="002A6025" w:rsidRPr="00783292" w:rsidRDefault="002A6025" w:rsidP="00E01FB1">
            <w:pPr>
              <w:pStyle w:val="NoSpacing"/>
              <w:jc w:val="center"/>
              <w:rPr>
                <w:sz w:val="16"/>
                <w:szCs w:val="16"/>
              </w:rPr>
            </w:pPr>
            <w:r>
              <w:rPr>
                <w:sz w:val="16"/>
                <w:szCs w:val="16"/>
              </w:rPr>
              <w:t>8</w:t>
            </w:r>
          </w:p>
        </w:tc>
      </w:tr>
      <w:tr w:rsidR="002A6025" w:rsidRPr="00783292" w14:paraId="3184BE2E" w14:textId="77777777" w:rsidTr="00E01FB1">
        <w:trPr>
          <w:jc w:val="center"/>
        </w:trPr>
        <w:tc>
          <w:tcPr>
            <w:tcW w:w="1459" w:type="pct"/>
            <w:vAlign w:val="center"/>
          </w:tcPr>
          <w:p w14:paraId="04147BFF" w14:textId="77777777" w:rsidR="002A6025" w:rsidRPr="00E01FB1" w:rsidRDefault="002A6025" w:rsidP="00E01FB1">
            <w:pPr>
              <w:pStyle w:val="NoSpacing"/>
              <w:rPr>
                <w:i/>
                <w:iCs/>
                <w:sz w:val="16"/>
                <w:szCs w:val="16"/>
              </w:rPr>
            </w:pPr>
            <w:r w:rsidRPr="00E01FB1">
              <w:rPr>
                <w:i/>
                <w:iCs/>
                <w:sz w:val="16"/>
                <w:szCs w:val="16"/>
              </w:rPr>
              <w:t>Connecticut Court</w:t>
            </w:r>
          </w:p>
        </w:tc>
        <w:tc>
          <w:tcPr>
            <w:tcW w:w="708" w:type="pct"/>
            <w:vAlign w:val="center"/>
          </w:tcPr>
          <w:p w14:paraId="20E59272" w14:textId="77777777" w:rsidR="002A6025" w:rsidRDefault="002A6025" w:rsidP="00E01FB1">
            <w:pPr>
              <w:pStyle w:val="NoSpacing"/>
              <w:jc w:val="center"/>
              <w:rPr>
                <w:sz w:val="16"/>
                <w:szCs w:val="16"/>
              </w:rPr>
            </w:pPr>
            <w:r>
              <w:rPr>
                <w:sz w:val="16"/>
                <w:szCs w:val="16"/>
              </w:rPr>
              <w:t>10</w:t>
            </w:r>
          </w:p>
        </w:tc>
        <w:tc>
          <w:tcPr>
            <w:tcW w:w="708" w:type="pct"/>
            <w:vAlign w:val="center"/>
          </w:tcPr>
          <w:p w14:paraId="222FEAB8" w14:textId="77777777" w:rsidR="002A6025" w:rsidRDefault="002A6025" w:rsidP="00E01FB1">
            <w:pPr>
              <w:pStyle w:val="NoSpacing"/>
              <w:jc w:val="center"/>
              <w:rPr>
                <w:sz w:val="16"/>
                <w:szCs w:val="16"/>
              </w:rPr>
            </w:pPr>
            <w:r>
              <w:rPr>
                <w:sz w:val="16"/>
                <w:szCs w:val="16"/>
              </w:rPr>
              <w:t>49</w:t>
            </w:r>
          </w:p>
        </w:tc>
        <w:tc>
          <w:tcPr>
            <w:tcW w:w="708" w:type="pct"/>
            <w:vAlign w:val="center"/>
          </w:tcPr>
          <w:p w14:paraId="234C5D60" w14:textId="77777777" w:rsidR="002A6025" w:rsidRDefault="002A6025" w:rsidP="00E01FB1">
            <w:pPr>
              <w:pStyle w:val="NoSpacing"/>
              <w:jc w:val="center"/>
              <w:rPr>
                <w:sz w:val="16"/>
                <w:szCs w:val="16"/>
              </w:rPr>
            </w:pPr>
            <w:r>
              <w:rPr>
                <w:sz w:val="16"/>
                <w:szCs w:val="16"/>
              </w:rPr>
              <w:t>-0.02%</w:t>
            </w:r>
          </w:p>
        </w:tc>
        <w:tc>
          <w:tcPr>
            <w:tcW w:w="708" w:type="pct"/>
            <w:vAlign w:val="center"/>
          </w:tcPr>
          <w:p w14:paraId="43A6FF1F" w14:textId="77777777" w:rsidR="002A6025" w:rsidRDefault="002A6025" w:rsidP="00E01FB1">
            <w:pPr>
              <w:pStyle w:val="NoSpacing"/>
              <w:jc w:val="center"/>
              <w:rPr>
                <w:sz w:val="16"/>
                <w:szCs w:val="16"/>
              </w:rPr>
            </w:pPr>
            <w:r>
              <w:rPr>
                <w:sz w:val="16"/>
                <w:szCs w:val="16"/>
              </w:rPr>
              <w:t>5</w:t>
            </w:r>
          </w:p>
        </w:tc>
        <w:tc>
          <w:tcPr>
            <w:tcW w:w="708" w:type="pct"/>
            <w:vAlign w:val="center"/>
          </w:tcPr>
          <w:p w14:paraId="78961A88" w14:textId="77777777" w:rsidR="002A6025" w:rsidRDefault="002A6025" w:rsidP="00E01FB1">
            <w:pPr>
              <w:pStyle w:val="NoSpacing"/>
              <w:jc w:val="center"/>
              <w:rPr>
                <w:sz w:val="16"/>
                <w:szCs w:val="16"/>
              </w:rPr>
            </w:pPr>
            <w:r>
              <w:rPr>
                <w:sz w:val="16"/>
                <w:szCs w:val="16"/>
              </w:rPr>
              <w:t>5</w:t>
            </w:r>
          </w:p>
        </w:tc>
      </w:tr>
      <w:tr w:rsidR="002A6025" w:rsidRPr="00783292" w14:paraId="01611857" w14:textId="77777777" w:rsidTr="00E01FB1">
        <w:trPr>
          <w:jc w:val="center"/>
        </w:trPr>
        <w:tc>
          <w:tcPr>
            <w:tcW w:w="1459" w:type="pct"/>
            <w:vAlign w:val="center"/>
          </w:tcPr>
          <w:p w14:paraId="4C80BE68" w14:textId="77777777" w:rsidR="002A6025" w:rsidRPr="00E01FB1" w:rsidRDefault="002A6025" w:rsidP="00E01FB1">
            <w:pPr>
              <w:pStyle w:val="NoSpacing"/>
              <w:rPr>
                <w:i/>
                <w:iCs/>
                <w:sz w:val="16"/>
                <w:szCs w:val="16"/>
              </w:rPr>
            </w:pPr>
            <w:r w:rsidRPr="00E01FB1">
              <w:rPr>
                <w:i/>
                <w:iCs/>
                <w:sz w:val="16"/>
                <w:szCs w:val="16"/>
              </w:rPr>
              <w:t>Minnesota Court</w:t>
            </w:r>
          </w:p>
        </w:tc>
        <w:tc>
          <w:tcPr>
            <w:tcW w:w="708" w:type="pct"/>
            <w:vAlign w:val="center"/>
          </w:tcPr>
          <w:p w14:paraId="02157181" w14:textId="77777777" w:rsidR="002A6025" w:rsidRDefault="002A6025" w:rsidP="00E01FB1">
            <w:pPr>
              <w:pStyle w:val="NoSpacing"/>
              <w:jc w:val="center"/>
              <w:rPr>
                <w:sz w:val="16"/>
                <w:szCs w:val="16"/>
              </w:rPr>
            </w:pPr>
            <w:r>
              <w:rPr>
                <w:sz w:val="16"/>
                <w:szCs w:val="16"/>
              </w:rPr>
              <w:t>12</w:t>
            </w:r>
          </w:p>
        </w:tc>
        <w:tc>
          <w:tcPr>
            <w:tcW w:w="708" w:type="pct"/>
            <w:vAlign w:val="center"/>
          </w:tcPr>
          <w:p w14:paraId="0BB00D8D" w14:textId="77777777" w:rsidR="002A6025" w:rsidRDefault="002A6025" w:rsidP="00E01FB1">
            <w:pPr>
              <w:pStyle w:val="NoSpacing"/>
              <w:jc w:val="center"/>
              <w:rPr>
                <w:sz w:val="16"/>
                <w:szCs w:val="16"/>
              </w:rPr>
            </w:pPr>
            <w:r>
              <w:rPr>
                <w:sz w:val="16"/>
                <w:szCs w:val="16"/>
              </w:rPr>
              <w:t>55</w:t>
            </w:r>
          </w:p>
        </w:tc>
        <w:tc>
          <w:tcPr>
            <w:tcW w:w="708" w:type="pct"/>
            <w:vAlign w:val="center"/>
          </w:tcPr>
          <w:p w14:paraId="7C0489BA" w14:textId="77777777" w:rsidR="002A6025" w:rsidRDefault="002A6025" w:rsidP="00E01FB1">
            <w:pPr>
              <w:pStyle w:val="NoSpacing"/>
              <w:jc w:val="center"/>
              <w:rPr>
                <w:sz w:val="16"/>
                <w:szCs w:val="16"/>
              </w:rPr>
            </w:pPr>
            <w:r>
              <w:rPr>
                <w:sz w:val="16"/>
                <w:szCs w:val="16"/>
              </w:rPr>
              <w:t>3.48%</w:t>
            </w:r>
          </w:p>
        </w:tc>
        <w:tc>
          <w:tcPr>
            <w:tcW w:w="708" w:type="pct"/>
            <w:vAlign w:val="center"/>
          </w:tcPr>
          <w:p w14:paraId="55249B8C" w14:textId="77777777" w:rsidR="002A6025" w:rsidRDefault="002A6025" w:rsidP="00E01FB1">
            <w:pPr>
              <w:pStyle w:val="NoSpacing"/>
              <w:jc w:val="center"/>
              <w:rPr>
                <w:sz w:val="16"/>
                <w:szCs w:val="16"/>
              </w:rPr>
            </w:pPr>
            <w:r>
              <w:rPr>
                <w:sz w:val="16"/>
                <w:szCs w:val="16"/>
              </w:rPr>
              <w:t>4</w:t>
            </w:r>
          </w:p>
        </w:tc>
        <w:tc>
          <w:tcPr>
            <w:tcW w:w="708" w:type="pct"/>
            <w:vAlign w:val="center"/>
          </w:tcPr>
          <w:p w14:paraId="787025A5" w14:textId="77777777" w:rsidR="002A6025" w:rsidRDefault="002A6025" w:rsidP="00E01FB1">
            <w:pPr>
              <w:pStyle w:val="NoSpacing"/>
              <w:jc w:val="center"/>
              <w:rPr>
                <w:sz w:val="16"/>
                <w:szCs w:val="16"/>
              </w:rPr>
            </w:pPr>
            <w:r>
              <w:rPr>
                <w:sz w:val="16"/>
                <w:szCs w:val="16"/>
              </w:rPr>
              <w:t>4</w:t>
            </w:r>
          </w:p>
        </w:tc>
      </w:tr>
      <w:tr w:rsidR="002A6025" w:rsidRPr="00783292" w14:paraId="2FB5D5B1" w14:textId="77777777" w:rsidTr="00E01FB1">
        <w:trPr>
          <w:jc w:val="center"/>
        </w:trPr>
        <w:tc>
          <w:tcPr>
            <w:tcW w:w="1459" w:type="pct"/>
            <w:vAlign w:val="center"/>
          </w:tcPr>
          <w:p w14:paraId="04EF7C94" w14:textId="77777777" w:rsidR="002A6025" w:rsidRPr="00E01FB1" w:rsidRDefault="002A6025" w:rsidP="00E01FB1">
            <w:pPr>
              <w:pStyle w:val="NoSpacing"/>
              <w:rPr>
                <w:i/>
                <w:iCs/>
                <w:sz w:val="16"/>
                <w:szCs w:val="16"/>
              </w:rPr>
            </w:pPr>
            <w:r w:rsidRPr="00E01FB1">
              <w:rPr>
                <w:i/>
                <w:iCs/>
                <w:sz w:val="16"/>
                <w:szCs w:val="16"/>
              </w:rPr>
              <w:t>Virginia Court</w:t>
            </w:r>
          </w:p>
        </w:tc>
        <w:tc>
          <w:tcPr>
            <w:tcW w:w="708" w:type="pct"/>
            <w:vAlign w:val="center"/>
          </w:tcPr>
          <w:p w14:paraId="728AEB5E" w14:textId="77777777" w:rsidR="002A6025" w:rsidRDefault="002A6025" w:rsidP="00E01FB1">
            <w:pPr>
              <w:pStyle w:val="NoSpacing"/>
              <w:jc w:val="center"/>
              <w:rPr>
                <w:sz w:val="16"/>
                <w:szCs w:val="16"/>
              </w:rPr>
            </w:pPr>
            <w:r>
              <w:rPr>
                <w:sz w:val="16"/>
                <w:szCs w:val="16"/>
              </w:rPr>
              <w:t>11</w:t>
            </w:r>
          </w:p>
        </w:tc>
        <w:tc>
          <w:tcPr>
            <w:tcW w:w="708" w:type="pct"/>
            <w:vAlign w:val="center"/>
          </w:tcPr>
          <w:p w14:paraId="567463ED" w14:textId="77777777" w:rsidR="002A6025" w:rsidRDefault="002A6025" w:rsidP="00E01FB1">
            <w:pPr>
              <w:pStyle w:val="NoSpacing"/>
              <w:jc w:val="center"/>
              <w:rPr>
                <w:sz w:val="16"/>
                <w:szCs w:val="16"/>
              </w:rPr>
            </w:pPr>
            <w:r>
              <w:rPr>
                <w:sz w:val="16"/>
                <w:szCs w:val="16"/>
              </w:rPr>
              <w:t>46</w:t>
            </w:r>
          </w:p>
        </w:tc>
        <w:tc>
          <w:tcPr>
            <w:tcW w:w="708" w:type="pct"/>
            <w:vAlign w:val="center"/>
          </w:tcPr>
          <w:p w14:paraId="4A2A4F8B" w14:textId="77777777" w:rsidR="002A6025" w:rsidRDefault="002A6025" w:rsidP="00E01FB1">
            <w:pPr>
              <w:pStyle w:val="NoSpacing"/>
              <w:jc w:val="center"/>
              <w:rPr>
                <w:sz w:val="16"/>
                <w:szCs w:val="16"/>
              </w:rPr>
            </w:pPr>
            <w:r>
              <w:rPr>
                <w:sz w:val="16"/>
                <w:szCs w:val="16"/>
              </w:rPr>
              <w:t>0.47%</w:t>
            </w:r>
          </w:p>
        </w:tc>
        <w:tc>
          <w:tcPr>
            <w:tcW w:w="708" w:type="pct"/>
            <w:vAlign w:val="center"/>
          </w:tcPr>
          <w:p w14:paraId="543A562B" w14:textId="77777777" w:rsidR="002A6025" w:rsidRDefault="002A6025" w:rsidP="00E01FB1">
            <w:pPr>
              <w:pStyle w:val="NoSpacing"/>
              <w:jc w:val="center"/>
              <w:rPr>
                <w:sz w:val="16"/>
                <w:szCs w:val="16"/>
              </w:rPr>
            </w:pPr>
            <w:r>
              <w:rPr>
                <w:sz w:val="16"/>
                <w:szCs w:val="16"/>
              </w:rPr>
              <w:t>7</w:t>
            </w:r>
          </w:p>
        </w:tc>
        <w:tc>
          <w:tcPr>
            <w:tcW w:w="708" w:type="pct"/>
            <w:vAlign w:val="center"/>
          </w:tcPr>
          <w:p w14:paraId="5D08A52F" w14:textId="77777777" w:rsidR="002A6025" w:rsidRPr="00783292" w:rsidRDefault="002A6025" w:rsidP="00E01FB1">
            <w:pPr>
              <w:pStyle w:val="NoSpacing"/>
              <w:jc w:val="center"/>
              <w:rPr>
                <w:sz w:val="16"/>
                <w:szCs w:val="16"/>
              </w:rPr>
            </w:pPr>
            <w:r>
              <w:rPr>
                <w:sz w:val="16"/>
                <w:szCs w:val="16"/>
              </w:rPr>
              <w:t>6</w:t>
            </w:r>
          </w:p>
        </w:tc>
      </w:tr>
      <w:tr w:rsidR="002A6025" w:rsidRPr="00783292" w14:paraId="7F3CE7C5" w14:textId="77777777" w:rsidTr="00E01FB1">
        <w:trPr>
          <w:jc w:val="center"/>
        </w:trPr>
        <w:tc>
          <w:tcPr>
            <w:tcW w:w="1459" w:type="pct"/>
            <w:vAlign w:val="center"/>
          </w:tcPr>
          <w:p w14:paraId="6DD3A411" w14:textId="77777777" w:rsidR="002A6025" w:rsidRPr="00E01FB1" w:rsidRDefault="002A6025" w:rsidP="00E01FB1">
            <w:pPr>
              <w:pStyle w:val="NoSpacing"/>
              <w:rPr>
                <w:i/>
                <w:iCs/>
                <w:sz w:val="16"/>
                <w:szCs w:val="16"/>
              </w:rPr>
            </w:pPr>
            <w:r w:rsidRPr="00E01FB1">
              <w:rPr>
                <w:i/>
                <w:iCs/>
                <w:sz w:val="16"/>
                <w:szCs w:val="16"/>
              </w:rPr>
              <w:t>Wisconsin Governor</w:t>
            </w:r>
          </w:p>
        </w:tc>
        <w:tc>
          <w:tcPr>
            <w:tcW w:w="708" w:type="pct"/>
            <w:vAlign w:val="center"/>
          </w:tcPr>
          <w:p w14:paraId="6B4A05ED" w14:textId="77777777" w:rsidR="002A6025" w:rsidRPr="00783292" w:rsidRDefault="002A6025" w:rsidP="00E01FB1">
            <w:pPr>
              <w:pStyle w:val="NoSpacing"/>
              <w:jc w:val="center"/>
              <w:rPr>
                <w:sz w:val="16"/>
                <w:szCs w:val="16"/>
              </w:rPr>
            </w:pPr>
            <w:r>
              <w:rPr>
                <w:sz w:val="16"/>
                <w:szCs w:val="16"/>
              </w:rPr>
              <w:t>13</w:t>
            </w:r>
          </w:p>
        </w:tc>
        <w:tc>
          <w:tcPr>
            <w:tcW w:w="708" w:type="pct"/>
            <w:vAlign w:val="center"/>
          </w:tcPr>
          <w:p w14:paraId="11D248B7" w14:textId="77777777" w:rsidR="002A6025" w:rsidRPr="00783292" w:rsidRDefault="002A6025" w:rsidP="00E01FB1">
            <w:pPr>
              <w:pStyle w:val="NoSpacing"/>
              <w:jc w:val="center"/>
              <w:rPr>
                <w:sz w:val="16"/>
                <w:szCs w:val="16"/>
              </w:rPr>
            </w:pPr>
            <w:r>
              <w:rPr>
                <w:sz w:val="16"/>
                <w:szCs w:val="16"/>
              </w:rPr>
              <w:t>54</w:t>
            </w:r>
          </w:p>
        </w:tc>
        <w:tc>
          <w:tcPr>
            <w:tcW w:w="708" w:type="pct"/>
            <w:vAlign w:val="center"/>
          </w:tcPr>
          <w:p w14:paraId="4B3C5272" w14:textId="77777777" w:rsidR="002A6025" w:rsidRPr="00783292" w:rsidRDefault="002A6025" w:rsidP="00E01FB1">
            <w:pPr>
              <w:pStyle w:val="NoSpacing"/>
              <w:jc w:val="center"/>
              <w:rPr>
                <w:sz w:val="16"/>
                <w:szCs w:val="16"/>
              </w:rPr>
            </w:pPr>
            <w:r>
              <w:rPr>
                <w:sz w:val="16"/>
                <w:szCs w:val="16"/>
              </w:rPr>
              <w:t>4.28%</w:t>
            </w:r>
          </w:p>
        </w:tc>
        <w:tc>
          <w:tcPr>
            <w:tcW w:w="708" w:type="pct"/>
            <w:vAlign w:val="center"/>
          </w:tcPr>
          <w:p w14:paraId="6433C191" w14:textId="77777777" w:rsidR="002A6025" w:rsidRPr="00783292" w:rsidRDefault="002A6025" w:rsidP="00E01FB1">
            <w:pPr>
              <w:pStyle w:val="NoSpacing"/>
              <w:jc w:val="center"/>
              <w:rPr>
                <w:sz w:val="16"/>
                <w:szCs w:val="16"/>
              </w:rPr>
            </w:pPr>
            <w:r>
              <w:rPr>
                <w:sz w:val="16"/>
                <w:szCs w:val="16"/>
              </w:rPr>
              <w:t>2</w:t>
            </w:r>
          </w:p>
        </w:tc>
        <w:tc>
          <w:tcPr>
            <w:tcW w:w="708" w:type="pct"/>
            <w:vAlign w:val="center"/>
          </w:tcPr>
          <w:p w14:paraId="3095D5EE" w14:textId="77777777" w:rsidR="002A6025" w:rsidRPr="00783292" w:rsidRDefault="002A6025" w:rsidP="00E01FB1">
            <w:pPr>
              <w:pStyle w:val="NoSpacing"/>
              <w:jc w:val="center"/>
              <w:rPr>
                <w:sz w:val="16"/>
                <w:szCs w:val="16"/>
              </w:rPr>
            </w:pPr>
            <w:r>
              <w:rPr>
                <w:sz w:val="16"/>
                <w:szCs w:val="16"/>
              </w:rPr>
              <w:t>2</w:t>
            </w:r>
          </w:p>
        </w:tc>
      </w:tr>
    </w:tbl>
    <w:p w14:paraId="5E946860" w14:textId="77777777" w:rsidR="002A6025" w:rsidRPr="00E01FB1" w:rsidRDefault="002A6025" w:rsidP="002A6025">
      <w:pPr>
        <w:rPr>
          <w:sz w:val="19"/>
          <w:szCs w:val="22"/>
        </w:rPr>
      </w:pPr>
      <w:r w:rsidRPr="00E01FB1">
        <w:rPr>
          <w:sz w:val="19"/>
          <w:szCs w:val="22"/>
        </w:rPr>
        <w:t xml:space="preserve">Notes:  Maps rejected by a state court are highlighted.  Total County Splits refers to the number of county piece in total.  Compactness is “You Know It When You See It” measure from. </w:t>
      </w:r>
      <w:r w:rsidRPr="00E01FB1">
        <w:rPr>
          <w:rStyle w:val="FootnoteReference"/>
          <w:sz w:val="19"/>
          <w:szCs w:val="22"/>
        </w:rPr>
        <w:footnoteReference w:id="402"/>
      </w:r>
      <w:r w:rsidRPr="00E01FB1">
        <w:rPr>
          <w:sz w:val="19"/>
          <w:szCs w:val="22"/>
        </w:rPr>
        <w:t xml:space="preserve">  Votes Bias is calculated from the 2020 Presidential election, as are the number of Biden Seats.  Negative vote bias numbers indicate that the plan favors Democrats, while a positive sign indicates the plan favors Republicans.  The 2022 Seats are the number of Democratic seats after the 2022 midterm election.</w:t>
      </w:r>
    </w:p>
    <w:p w14:paraId="1E556379" w14:textId="77777777" w:rsidR="002A6025" w:rsidRDefault="002A6025" w:rsidP="002A6025">
      <w:pPr>
        <w:rPr>
          <w:i/>
          <w:iCs/>
        </w:rPr>
      </w:pPr>
    </w:p>
    <w:p w14:paraId="4FA5A999" w14:textId="590CA47D" w:rsidR="00EF1C50" w:rsidRPr="000E4A38" w:rsidRDefault="00EF1C50" w:rsidP="00EF1C50">
      <w:pPr>
        <w:pStyle w:val="BodyText"/>
      </w:pPr>
      <w:r>
        <w:t>What we see from Table 6 is that the state court map usually dominates the legislative map on most of the factors identified.</w:t>
      </w:r>
      <w:r w:rsidRPr="0078695B">
        <w:rPr>
          <w:rStyle w:val="FootnoteReference"/>
        </w:rPr>
        <w:footnoteReference w:id="403"/>
      </w:r>
      <w:r>
        <w:t xml:space="preserve">  But there are some notable exceptions illustrating tradeoffs.  For instance, in New Hampshire, both the number of county splits and compactness scores get worse, but the vote bias gets slightly better.</w:t>
      </w:r>
      <w:r w:rsidRPr="0078695B">
        <w:rPr>
          <w:rStyle w:val="FootnoteReference"/>
        </w:rPr>
        <w:footnoteReference w:id="404"/>
      </w:r>
      <w:r>
        <w:t xml:space="preserve">  In New York, the county splits measure and compactness measures get markedly better, though the vote bias </w:t>
      </w:r>
      <w:r w:rsidRPr="000E4A38">
        <w:t>gets slightly worse.</w:t>
      </w:r>
      <w:r w:rsidRPr="0078695B">
        <w:rPr>
          <w:rStyle w:val="FootnoteReference"/>
        </w:rPr>
        <w:footnoteReference w:id="405"/>
      </w:r>
      <w:r>
        <w:t xml:space="preserve">  </w:t>
      </w:r>
      <w:r w:rsidRPr="000E4A38">
        <w:t>We also notice that among all the court-imposed maps, the vote bias is extremely low, except in two cases.</w:t>
      </w:r>
      <w:r>
        <w:t xml:space="preserve">  </w:t>
      </w:r>
      <w:r w:rsidRPr="000E4A38">
        <w:t xml:space="preserve">First </w:t>
      </w:r>
      <w:r w:rsidRPr="000E4A38">
        <w:lastRenderedPageBreak/>
        <w:t>is Minnesota, where there is significant pro-Republican bias.</w:t>
      </w:r>
      <w:r w:rsidRPr="0078695B">
        <w:rPr>
          <w:rStyle w:val="FootnoteReference"/>
        </w:rPr>
        <w:footnoteReference w:id="406"/>
      </w:r>
      <w:r>
        <w:t xml:space="preserve">  </w:t>
      </w:r>
      <w:r w:rsidRPr="000E4A38">
        <w:t>The second is in Wisconsin, which also has an even greater amount of pro-Republican bias.</w:t>
      </w:r>
      <w:r w:rsidRPr="0078695B">
        <w:rPr>
          <w:rStyle w:val="FootnoteReference"/>
        </w:rPr>
        <w:footnoteReference w:id="407"/>
      </w:r>
      <w:r>
        <w:t xml:space="preserve">  </w:t>
      </w:r>
      <w:r w:rsidRPr="000E4A38">
        <w:t>We do not have an explanation for high partisan bias in Minnesota.</w:t>
      </w:r>
      <w:r>
        <w:t xml:space="preserve">  The map adopted in 2020 has very similar district-level partisan outcomes as the 2010 map. Statewide, Minnesota has voted for the Democratic presidential candidate in every election since 1976.</w:t>
      </w:r>
      <w:r w:rsidRPr="0078695B">
        <w:rPr>
          <w:rStyle w:val="FootnoteReference"/>
        </w:rPr>
        <w:footnoteReference w:id="408"/>
      </w:r>
      <w:r>
        <w:t xml:space="preserve">  It also has two Democratic senators, and the governor is a Democrat.</w:t>
      </w:r>
      <w:r w:rsidRPr="0078695B">
        <w:rPr>
          <w:rStyle w:val="FootnoteReference"/>
        </w:rPr>
        <w:footnoteReference w:id="409"/>
      </w:r>
      <w:r>
        <w:t xml:space="preserve">  But the congressional delegation is split with four each.</w:t>
      </w:r>
      <w:r w:rsidRPr="0078695B">
        <w:rPr>
          <w:rStyle w:val="FootnoteReference"/>
        </w:rPr>
        <w:footnoteReference w:id="410"/>
      </w:r>
      <w:r>
        <w:t xml:space="preserve">  T</w:t>
      </w:r>
      <w:r w:rsidRPr="000E4A38">
        <w:t xml:space="preserve">he failure of the Wisconsin court-adopted map is easy to explain. </w:t>
      </w:r>
      <w:r>
        <w:t xml:space="preserve"> </w:t>
      </w:r>
      <w:r w:rsidRPr="000E4A38">
        <w:t>This was a least</w:t>
      </w:r>
      <w:r>
        <w:t xml:space="preserve"> </w:t>
      </w:r>
      <w:r w:rsidRPr="000E4A38">
        <w:t>change map; where the baseline map was arguably a gerrymander</w:t>
      </w:r>
      <w:ins w:id="836" w:author="Jonathan Cervas" w:date="2023-06-29T16:28:00Z">
        <w:r w:rsidR="002D0950">
          <w:rPr>
            <w:rStyle w:val="FootnoteReference"/>
          </w:rPr>
          <w:footnoteReference w:id="411"/>
        </w:r>
      </w:ins>
      <w:r w:rsidRPr="000E4A38">
        <w:t xml:space="preserve">; </w:t>
      </w:r>
      <w:r w:rsidRPr="00F912CF">
        <w:t xml:space="preserve">the </w:t>
      </w:r>
      <w:r w:rsidRPr="000E4A38">
        <w:t xml:space="preserve">least change simply perpetuated that gerrymander. </w:t>
      </w:r>
    </w:p>
    <w:p w14:paraId="216834D1" w14:textId="63EB5648" w:rsidR="00EF1C50" w:rsidRDefault="00EF1C50" w:rsidP="00EF1C50">
      <w:pPr>
        <w:pStyle w:val="BodyText"/>
      </w:pPr>
      <w:r>
        <w:t>The data in Table 6 also show an important fact about</w:t>
      </w:r>
      <w:ins w:id="840" w:author="Jonathan Cervas" w:date="2023-06-29T16:30:00Z">
        <w:r w:rsidR="002D0950">
          <w:t xml:space="preserve"> modern</w:t>
        </w:r>
      </w:ins>
      <w:r>
        <w:t xml:space="preserve"> U.S. elections; there is high predictability of aggregate congressional outcomes based on past presidential votes in the congressional district.  </w:t>
      </w:r>
      <w:ins w:id="841" w:author="Jonathan Cervas" w:date="2023-06-29T16:29:00Z">
        <w:r w:rsidR="002D0950">
          <w:t>But this cor</w:t>
        </w:r>
      </w:ins>
      <w:ins w:id="842" w:author="Jonathan Cervas" w:date="2023-06-29T16:30:00Z">
        <w:r w:rsidR="002D0950">
          <w:t>relation</w:t>
        </w:r>
      </w:ins>
      <w:ins w:id="843" w:author="Jonathan Cervas" w:date="2023-06-29T16:29:00Z">
        <w:r w:rsidR="002D0950">
          <w:t xml:space="preserve"> is context dependent. </w:t>
        </w:r>
      </w:ins>
      <w:r>
        <w:t xml:space="preserve">New York is </w:t>
      </w:r>
      <w:del w:id="844" w:author="Jonathan Cervas" w:date="2023-06-29T16:30:00Z">
        <w:r w:rsidDel="002D0950">
          <w:delText>the sole</w:delText>
        </w:r>
      </w:del>
      <w:ins w:id="845" w:author="Jonathan Cervas" w:date="2023-06-29T16:30:00Z">
        <w:r w:rsidR="002D0950">
          <w:t>a</w:t>
        </w:r>
      </w:ins>
      <w:r>
        <w:t xml:space="preserve"> substantial exception to this predictability.  There, the predictive failure has been attributed to many factors: GOP emphasis on crime that helped them to gain votes in the suburbs,</w:t>
      </w:r>
      <w:r w:rsidRPr="0078695B">
        <w:rPr>
          <w:rStyle w:val="FootnoteReference"/>
        </w:rPr>
        <w:footnoteReference w:id="412"/>
      </w:r>
      <w:r>
        <w:t xml:space="preserve"> an especially large decline in turnout among Democrats as compared to Republicans,</w:t>
      </w:r>
      <w:r w:rsidRPr="0078695B">
        <w:rPr>
          <w:rStyle w:val="FootnoteReference"/>
        </w:rPr>
        <w:footnoteReference w:id="413"/>
      </w:r>
      <w:r>
        <w:t xml:space="preserve"> and the unpopularity of the Democratic governor in the state.</w:t>
      </w:r>
      <w:r w:rsidRPr="0078695B">
        <w:rPr>
          <w:rStyle w:val="FootnoteReference"/>
        </w:rPr>
        <w:footnoteReference w:id="414"/>
      </w:r>
      <w:r>
        <w:t xml:space="preserve">  In general, trends in 2022 favored Republicans, as would be expected in a midterm election where the President was a Democrat.</w:t>
      </w:r>
      <w:r w:rsidRPr="0078695B">
        <w:rPr>
          <w:rStyle w:val="FootnoteReference"/>
        </w:rPr>
        <w:footnoteReference w:id="415"/>
      </w:r>
    </w:p>
    <w:p w14:paraId="6B2EFAC7" w14:textId="798B40D2" w:rsidR="00805C60" w:rsidRPr="00FB2A2D" w:rsidRDefault="00EF1C50" w:rsidP="00FB2A2D">
      <w:pPr>
        <w:pStyle w:val="BodyText"/>
        <w:rPr>
          <w:i/>
        </w:rPr>
      </w:pPr>
      <w:r w:rsidRPr="000E4A38">
        <w:lastRenderedPageBreak/>
        <w:t xml:space="preserve">The data in </w:t>
      </w:r>
      <w:r>
        <w:t xml:space="preserve">Table 6 </w:t>
      </w:r>
      <w:r w:rsidRPr="000E4A38">
        <w:t>only deals with cases that were resolved in time for a remedial map to be drawn for the 2022 election.</w:t>
      </w:r>
      <w:r>
        <w:t xml:space="preserve"> Five</w:t>
      </w:r>
      <w:r w:rsidRPr="000E4A38">
        <w:t xml:space="preserve"> states have maps that are currently ruled unconstitutional </w:t>
      </w:r>
      <w:r>
        <w:t>that were</w:t>
      </w:r>
      <w:r w:rsidRPr="000E4A38">
        <w:t xml:space="preserve"> used in the 2022 election, accounting for </w:t>
      </w:r>
      <w:r>
        <w:t>ten percent</w:t>
      </w:r>
      <w:r w:rsidRPr="000E4A38">
        <w:t xml:space="preserve"> of all districts.</w:t>
      </w:r>
      <w:r w:rsidRPr="0078695B">
        <w:rPr>
          <w:rStyle w:val="FootnoteReference"/>
        </w:rPr>
        <w:footnoteReference w:id="416"/>
      </w:r>
      <w:r w:rsidRPr="000E4A38">
        <w:t xml:space="preserve"> </w:t>
      </w:r>
      <w:r>
        <w:t xml:space="preserve"> We</w:t>
      </w:r>
      <w:r w:rsidRPr="000E4A38">
        <w:t xml:space="preserve"> estimate </w:t>
      </w:r>
      <w:r>
        <w:t>t</w:t>
      </w:r>
      <w:r w:rsidRPr="000E4A38">
        <w:t xml:space="preserve">hat these unconstitutional plans likely cost the Democrats between </w:t>
      </w:r>
      <w:r>
        <w:t>five</w:t>
      </w:r>
      <w:r w:rsidRPr="000E4A38">
        <w:t xml:space="preserve"> and </w:t>
      </w:r>
      <w:r>
        <w:t>six</w:t>
      </w:r>
      <w:r w:rsidRPr="000E4A38">
        <w:t xml:space="preserve"> seats in Congress.</w:t>
      </w:r>
      <w:r>
        <w:t xml:space="preserve">  </w:t>
      </w:r>
      <w:r w:rsidRPr="000E4A38">
        <w:t>If their unconstitutionality is sustained by higher courts, they will need to be redrawn for the 2024 election.</w:t>
      </w:r>
      <w:r w:rsidRPr="0078695B">
        <w:rPr>
          <w:rStyle w:val="FootnoteReference"/>
        </w:rPr>
        <w:footnoteReference w:id="417"/>
      </w:r>
      <w:r>
        <w:t xml:space="preserve">  </w:t>
      </w:r>
      <w:r w:rsidRPr="000E4A38">
        <w:t>Other court cases are still pending.</w:t>
      </w:r>
      <w:r>
        <w:t xml:space="preserve">  </w:t>
      </w:r>
      <w:r w:rsidRPr="000E4A38">
        <w:t xml:space="preserve">But these cases will probably not be the only ones to lead to “new” maps in 2024. </w:t>
      </w:r>
      <w:r>
        <w:t xml:space="preserve"> </w:t>
      </w:r>
      <w:r w:rsidRPr="000E4A38">
        <w:t xml:space="preserve">The </w:t>
      </w:r>
      <w:r>
        <w:t xml:space="preserve">U.S. </w:t>
      </w:r>
      <w:r w:rsidRPr="000E4A38">
        <w:t>Supreme Court has held that there is no bar on mid-decadal congressional redistricting</w:t>
      </w:r>
      <w:r w:rsidRPr="00F912CF">
        <w:t>,</w:t>
      </w:r>
      <w:r w:rsidRPr="0078695B">
        <w:rPr>
          <w:rStyle w:val="FootnoteReference"/>
        </w:rPr>
        <w:footnoteReference w:id="418"/>
      </w:r>
      <w:r w:rsidRPr="000E4A38">
        <w:t xml:space="preserve"> and states under trifecta </w:t>
      </w:r>
      <w:r>
        <w:t>contr</w:t>
      </w:r>
      <w:r w:rsidRPr="000E4A38">
        <w:t>ol may well choose to polish their previous partisan gerrymandering efforts by tinkering with their map to improve its partisan performanc</w:t>
      </w:r>
      <w:commentRangeStart w:id="849"/>
      <w:r w:rsidRPr="000E4A38">
        <w:t>e.</w:t>
      </w:r>
      <w:r w:rsidRPr="0078695B">
        <w:rPr>
          <w:rStyle w:val="FootnoteReference"/>
        </w:rPr>
        <w:footnoteReference w:id="419"/>
      </w:r>
      <w:r>
        <w:t xml:space="preserve">  </w:t>
      </w:r>
      <w:commentRangeEnd w:id="849"/>
      <w:r>
        <w:rPr>
          <w:rStyle w:val="CommentReference"/>
        </w:rPr>
        <w:commentReference w:id="849"/>
      </w:r>
      <w:r w:rsidRPr="000E4A38">
        <w:t xml:space="preserve">Thus, we expect some state courts will still have plenty to keep them busy between now and the 2024 election </w:t>
      </w:r>
      <w:r w:rsidRPr="00207543">
        <w:t>—</w:t>
      </w:r>
      <w:r w:rsidRPr="000E4A38">
        <w:t xml:space="preserve"> and we have only been looking at congressional districting, not at state legislative districting.</w:t>
      </w:r>
    </w:p>
    <w:p w14:paraId="50E9FC5E" w14:textId="119C7604" w:rsidR="002C59A7" w:rsidRPr="002C59A7" w:rsidRDefault="002C59A7" w:rsidP="00A92740">
      <w:pPr>
        <w:pStyle w:val="UNHLRIntroConcl"/>
      </w:pPr>
      <w:bookmarkStart w:id="853" w:name="_Toc138947186"/>
      <w:r>
        <w:t>Conclusion</w:t>
      </w:r>
      <w:bookmarkEnd w:id="853"/>
    </w:p>
    <w:p w14:paraId="0CCA3705" w14:textId="0000EC5B" w:rsidR="00B806FD" w:rsidRDefault="00B806FD" w:rsidP="00B806FD">
      <w:pPr>
        <w:pStyle w:val="BodyText"/>
        <w:numPr>
          <w:ilvl w:val="2"/>
          <w:numId w:val="6"/>
        </w:numPr>
      </w:pPr>
      <w:r w:rsidRPr="000E4A38">
        <w:t xml:space="preserve">It is now state courts rather than federal courts </w:t>
      </w:r>
      <w:r w:rsidRPr="00F912CF">
        <w:t>that</w:t>
      </w:r>
      <w:r w:rsidRPr="000E4A38">
        <w:t xml:space="preserve"> litigants turn to </w:t>
      </w:r>
      <w:r>
        <w:t>when</w:t>
      </w:r>
      <w:r w:rsidRPr="000E4A38">
        <w:t xml:space="preserve"> challeng</w:t>
      </w:r>
      <w:r>
        <w:t>ing</w:t>
      </w:r>
      <w:r w:rsidRPr="000E4A38">
        <w:t xml:space="preserve"> what they regard as egregious partisan gerrymanders, with one key reason for that difference being the U.S. Supreme Court’s definitive opting out of any role in controlling partisan gerrymandering.</w:t>
      </w:r>
    </w:p>
    <w:p w14:paraId="44AD6800" w14:textId="1B26A835" w:rsidR="00B806FD" w:rsidRDefault="00B806FD" w:rsidP="00B806FD">
      <w:pPr>
        <w:pStyle w:val="ListParagraph"/>
        <w:numPr>
          <w:ilvl w:val="2"/>
          <w:numId w:val="6"/>
        </w:numPr>
      </w:pPr>
      <w:r w:rsidRPr="000E4A38">
        <w:t xml:space="preserve">State courts have taken up the challenge of </w:t>
      </w:r>
      <w:r w:rsidRPr="00B806FD">
        <w:rPr>
          <w:i/>
        </w:rPr>
        <w:t>Rucho</w:t>
      </w:r>
      <w:r w:rsidRPr="000E4A38">
        <w:t xml:space="preserve"> to find manageable standards to measure gerrymandering by using state constitutional provisions to craft state-specific standards for a finding that a plan was an unconstitutional partisan gerrymander.</w:t>
      </w:r>
      <w:r>
        <w:t xml:space="preserve">  </w:t>
      </w:r>
      <w:r w:rsidRPr="000E4A38">
        <w:t>In our view</w:t>
      </w:r>
      <w:r w:rsidRPr="00F912CF">
        <w:t>,</w:t>
      </w:r>
      <w:r w:rsidRPr="000E4A38">
        <w:t xml:space="preserve"> they have</w:t>
      </w:r>
      <w:r w:rsidRPr="00F912CF">
        <w:t>,</w:t>
      </w:r>
      <w:r w:rsidRPr="000E4A38">
        <w:t xml:space="preserve"> by and large</w:t>
      </w:r>
      <w:r w:rsidRPr="00F912CF">
        <w:t>,</w:t>
      </w:r>
      <w:r w:rsidRPr="000E4A38">
        <w:t xml:space="preserve"> done so successfully. </w:t>
      </w:r>
      <w:r>
        <w:t xml:space="preserve"> </w:t>
      </w:r>
      <w:r w:rsidRPr="000E4A38">
        <w:t>In so</w:t>
      </w:r>
      <w:r>
        <w:t xml:space="preserve"> doing</w:t>
      </w:r>
      <w:r w:rsidRPr="00F912CF">
        <w:t>,</w:t>
      </w:r>
      <w:r w:rsidRPr="000E4A38">
        <w:t xml:space="preserve"> they have drawn on the repertoire of tools developed by social scientists, computer scientists</w:t>
      </w:r>
      <w:r w:rsidRPr="00F912CF">
        <w:t>,</w:t>
      </w:r>
      <w:r w:rsidRPr="000E4A38">
        <w:t xml:space="preserve"> and others, including metrics for measuring the extent of partisan gerrymandering and to assess likely durability, but </w:t>
      </w:r>
      <w:r w:rsidRPr="000E4A38">
        <w:lastRenderedPageBreak/>
        <w:t>also computer-based ways to evaluate plans with respect to how well they satisfy good government standards.</w:t>
      </w:r>
    </w:p>
    <w:p w14:paraId="4B7B8FC8" w14:textId="2E400AC6" w:rsidR="00B806FD" w:rsidRDefault="00B806FD" w:rsidP="00B806FD">
      <w:pPr>
        <w:pStyle w:val="BodyText"/>
        <w:numPr>
          <w:ilvl w:val="2"/>
          <w:numId w:val="6"/>
        </w:numPr>
      </w:pPr>
      <w:r w:rsidRPr="000E4A38">
        <w:t xml:space="preserve">While the existence of new constitutional amendments with explicit prohibitions on partisan gerrymandering has given some state courts power to address the issue of partisan gerrymandering, state courts have made use of both old and new language in their state’s constitution </w:t>
      </w:r>
      <w:r>
        <w:t xml:space="preserve">— some </w:t>
      </w:r>
      <w:r w:rsidRPr="000E4A38">
        <w:t>with a creative interpretation of the thrust of language long in their constitution</w:t>
      </w:r>
      <w:r>
        <w:t>.</w:t>
      </w:r>
    </w:p>
    <w:p w14:paraId="5E47C5F1" w14:textId="23415F6B" w:rsidR="00B806FD" w:rsidRDefault="00B806FD" w:rsidP="00B806FD">
      <w:pPr>
        <w:pStyle w:val="BodyText"/>
        <w:numPr>
          <w:ilvl w:val="2"/>
          <w:numId w:val="6"/>
        </w:numPr>
      </w:pPr>
      <w:r w:rsidRPr="000E4A38">
        <w:t>When maps have been challenged as partisan gerrymanders</w:t>
      </w:r>
      <w:r>
        <w:t xml:space="preserve">, and where </w:t>
      </w:r>
      <w:r w:rsidRPr="000E4A38">
        <w:t xml:space="preserve">direct </w:t>
      </w:r>
      <w:r>
        <w:t xml:space="preserve">language prohibits partisan gerrymandering </w:t>
      </w:r>
      <w:r w:rsidRPr="000E4A38">
        <w:t>in the state constitution</w:t>
      </w:r>
      <w:r>
        <w:t>,</w:t>
      </w:r>
      <w:r w:rsidRPr="000E4A38">
        <w:t xml:space="preserve"> </w:t>
      </w:r>
      <w:r>
        <w:t>challenges are usually</w:t>
      </w:r>
      <w:r w:rsidRPr="000E4A38">
        <w:t xml:space="preserve"> successful.</w:t>
      </w:r>
      <w:r w:rsidRPr="0078695B">
        <w:rPr>
          <w:rStyle w:val="FootnoteReference"/>
        </w:rPr>
        <w:footnoteReference w:id="420"/>
      </w:r>
      <w:r>
        <w:t xml:space="preserve">  </w:t>
      </w:r>
      <w:r w:rsidRPr="000E4A38">
        <w:t>On the other hand, in those situation</w:t>
      </w:r>
      <w:r>
        <w:t>s</w:t>
      </w:r>
      <w:r w:rsidRPr="000E4A38">
        <w:t xml:space="preserve"> where no language existed in the state constitution that could provide the basis for a state court to invalidate a plan as an egregious partisan gerrymander,</w:t>
      </w:r>
      <w:r>
        <w:t xml:space="preserve"> </w:t>
      </w:r>
      <w:r w:rsidRPr="000E4A38">
        <w:t>partisan gerrymandering challenges have been rejected by state courts on jurisprudential grounds even when the court held the map to be a partisan gerrymander (Kansas</w:t>
      </w:r>
      <w:ins w:id="859" w:author="Jonathan Cervas" w:date="2023-06-29T16:37:00Z">
        <w:r w:rsidR="00145B98">
          <w:t>, Kentucky</w:t>
        </w:r>
      </w:ins>
      <w:r w:rsidRPr="000E4A38">
        <w:t>)</w:t>
      </w:r>
      <w:r>
        <w:t>.  Where there is indirect language, and a case has been brought, courts have generally accepted that the language found in free and equal clauses are relevant to partisan gerrymander.  Kentucky is an exception; the map was found to be a partisan gerrymander, and the state has the same type of language found in North Carolina and Pennsylvania, but the court did not find that partisan gerrymandering violated those provisions.  Of course, in the cases that were brought, the plaintiffs expected to have success.  The success rate for litigating partisan gerrymandering using either direct or indirect language might go down as these cases are brought in more states where the judicial politics are less favorable.</w:t>
      </w:r>
    </w:p>
    <w:p w14:paraId="0281AA09" w14:textId="2E921390" w:rsidR="00B806FD" w:rsidRPr="000E4A38" w:rsidRDefault="00B806FD" w:rsidP="00B806FD">
      <w:pPr>
        <w:pStyle w:val="BodyText"/>
        <w:numPr>
          <w:ilvl w:val="2"/>
          <w:numId w:val="6"/>
        </w:numPr>
      </w:pPr>
      <w:r w:rsidRPr="000E4A38">
        <w:t>Both congressional maps drawn in states where Democrats had party control and maps from states where Republicans had party control have been overturned by state courts.</w:t>
      </w:r>
      <w:r>
        <w:t xml:space="preserve">  </w:t>
      </w:r>
      <w:r w:rsidRPr="000E4A38">
        <w:t xml:space="preserve">However, even when there are state constitutional provisions that state court justices can use, some </w:t>
      </w:r>
      <w:r w:rsidRPr="00F912CF">
        <w:t>had</w:t>
      </w:r>
      <w:r w:rsidRPr="000E4A38">
        <w:t xml:space="preserve"> found reasons to conclude that the challenged map really does not rise to the level of a </w:t>
      </w:r>
      <w:r w:rsidRPr="000E4A38">
        <w:lastRenderedPageBreak/>
        <w:t>constitutional violation</w:t>
      </w:r>
      <w:r w:rsidRPr="00F912CF">
        <w:t>,</w:t>
      </w:r>
      <w:r w:rsidRPr="000E4A38">
        <w:t xml:space="preserve"> even when other justices concluded that it did.</w:t>
      </w:r>
      <w:r>
        <w:t xml:space="preserve">  </w:t>
      </w:r>
      <w:r w:rsidRPr="000E4A38">
        <w:t xml:space="preserve">Nonetheless, in the 2020 round of redistricting, </w:t>
      </w:r>
      <w:r>
        <w:t xml:space="preserve">it is our view that </w:t>
      </w:r>
      <w:r w:rsidRPr="000E4A38">
        <w:t xml:space="preserve">while partisanship of state court justices appeared to play a role in their decision-making, it was only a muted one. </w:t>
      </w:r>
    </w:p>
    <w:p w14:paraId="4364DBEF" w14:textId="637EF334" w:rsidR="00B806FD" w:rsidRDefault="00B806FD" w:rsidP="00B806FD">
      <w:pPr>
        <w:pStyle w:val="BodyText"/>
        <w:numPr>
          <w:ilvl w:val="2"/>
          <w:numId w:val="6"/>
        </w:numPr>
      </w:pPr>
      <w:r w:rsidRPr="000E4A38">
        <w:t xml:space="preserve">As we assess the overall evidence, in those settings where party control made that possible, partisan gerrymandering was as egregious and pervasive as in the past </w:t>
      </w:r>
      <w:r w:rsidRPr="00207543">
        <w:t>—</w:t>
      </w:r>
      <w:r w:rsidRPr="000E4A38">
        <w:t xml:space="preserve"> or even more so.</w:t>
      </w:r>
      <w:r w:rsidRPr="0078695B">
        <w:rPr>
          <w:rStyle w:val="FootnoteReference"/>
        </w:rPr>
        <w:footnoteReference w:id="421"/>
      </w:r>
      <w:r>
        <w:t xml:space="preserve">  </w:t>
      </w:r>
      <w:r w:rsidRPr="000E4A38">
        <w:t xml:space="preserve">But several factors combined to create a situation in which the </w:t>
      </w:r>
      <w:r w:rsidRPr="00DB0435">
        <w:rPr>
          <w:i/>
        </w:rPr>
        <w:t>net</w:t>
      </w:r>
      <w:r w:rsidRPr="000E4A38">
        <w:t xml:space="preserve"> partisan </w:t>
      </w:r>
      <w:r w:rsidRPr="00DB0435">
        <w:t>effects</w:t>
      </w:r>
      <w:r w:rsidRPr="000E4A38">
        <w:t xml:space="preserve"> of partisan gerrymandering were substantially reduced from what might have been expected based on the willingness of state legislators to gerrymander maps to favor their party. </w:t>
      </w:r>
    </w:p>
    <w:p w14:paraId="0F56304E" w14:textId="58410F86" w:rsidR="00B806FD" w:rsidRDefault="00B806FD" w:rsidP="00B806FD">
      <w:pPr>
        <w:pStyle w:val="BodyText"/>
        <w:numPr>
          <w:ilvl w:val="3"/>
          <w:numId w:val="6"/>
        </w:numPr>
      </w:pPr>
      <w:r w:rsidRPr="000E4A38">
        <w:t>First, taking redistricting out of the hands of the legislature by creating commissions in some states meant that in some trifecta states partisan majorities were left impotent to effectuate partisan gerrymanders</w:t>
      </w:r>
      <w:r>
        <w:t>.</w:t>
      </w:r>
      <w:r w:rsidRPr="0078695B">
        <w:rPr>
          <w:rStyle w:val="FootnoteReference"/>
        </w:rPr>
        <w:footnoteReference w:id="422"/>
      </w:r>
      <w:r>
        <w:t xml:space="preserve">  Moreover,</w:t>
      </w:r>
      <w:r w:rsidRPr="000E4A38">
        <w:t xml:space="preserve"> a failure of the commission</w:t>
      </w:r>
      <w:r>
        <w:t xml:space="preserve"> or legislature</w:t>
      </w:r>
      <w:r w:rsidRPr="000E4A38">
        <w:t xml:space="preserve"> to draw a map in a timely fashion generally brought state courts into the picture. </w:t>
      </w:r>
    </w:p>
    <w:p w14:paraId="4A1CE0CD" w14:textId="77777777" w:rsidR="00337B16" w:rsidRDefault="00B806FD" w:rsidP="00337B16">
      <w:pPr>
        <w:pStyle w:val="BodyText"/>
        <w:numPr>
          <w:ilvl w:val="3"/>
          <w:numId w:val="6"/>
        </w:numPr>
      </w:pPr>
      <w:r w:rsidRPr="000E4A38">
        <w:t xml:space="preserve">Second, state courts took a much more aggressive stance in applying provisions of their state constitution as bars to gerrymandering and drawing maps of their own than in past decades. </w:t>
      </w:r>
    </w:p>
    <w:p w14:paraId="0C011951" w14:textId="64FC9CEB" w:rsidR="00B806FD" w:rsidRDefault="00B806FD" w:rsidP="00337B16">
      <w:pPr>
        <w:pStyle w:val="BodyText"/>
        <w:numPr>
          <w:ilvl w:val="3"/>
          <w:numId w:val="6"/>
        </w:numPr>
      </w:pPr>
      <w:r w:rsidRPr="000E4A38">
        <w:t>Third, the relative balance in states where each party had control over the process meant a decrease in the advantage for the Republicans compared to the 2010 redistricting cycle.</w:t>
      </w:r>
    </w:p>
    <w:p w14:paraId="2134FF16" w14:textId="7A3282E7" w:rsidR="00B806FD" w:rsidRDefault="00B806FD" w:rsidP="00337B16">
      <w:pPr>
        <w:pStyle w:val="BodyText"/>
        <w:numPr>
          <w:ilvl w:val="2"/>
          <w:numId w:val="6"/>
        </w:numPr>
      </w:pPr>
      <w:r w:rsidRPr="000E4A38">
        <w:t xml:space="preserve">The overall level of egregious gerrymandering is less in the congressional maps being used in 2022 than many scholars anticipated would be the case after </w:t>
      </w:r>
      <w:r w:rsidRPr="00061364">
        <w:rPr>
          <w:i/>
          <w:iCs/>
        </w:rPr>
        <w:t>Rucho</w:t>
      </w:r>
      <w:r w:rsidRPr="000E4A38">
        <w:t xml:space="preserve"> was decided in 2018</w:t>
      </w:r>
      <w:r>
        <w:t>.</w:t>
      </w:r>
    </w:p>
    <w:p w14:paraId="092AAD7C" w14:textId="6D979380" w:rsidR="00B806FD" w:rsidRDefault="00B806FD" w:rsidP="00337B16">
      <w:pPr>
        <w:pStyle w:val="BodyText"/>
        <w:numPr>
          <w:ilvl w:val="2"/>
          <w:numId w:val="6"/>
        </w:numPr>
      </w:pPr>
      <w:r w:rsidRPr="000E4A38">
        <w:t>Because Republicans are still in control of more state legislatures</w:t>
      </w:r>
      <w:r>
        <w:t>,</w:t>
      </w:r>
      <w:r w:rsidRPr="000E4A38">
        <w:t xml:space="preserve"> the role of state courts in the 2020 round has had greater consequences in blocking Republican gerrymanders than in blocking Democratic gerrymanders.</w:t>
      </w:r>
    </w:p>
    <w:p w14:paraId="454E3441" w14:textId="41F07049" w:rsidR="00B806FD" w:rsidRDefault="00B806FD" w:rsidP="00337B16">
      <w:pPr>
        <w:pStyle w:val="BodyText"/>
        <w:numPr>
          <w:ilvl w:val="2"/>
          <w:numId w:val="6"/>
        </w:numPr>
      </w:pPr>
      <w:r w:rsidRPr="000E4A38">
        <w:t xml:space="preserve">Despite the variety of state constitutional provisions referenced by courts and variation in language even in similar provisions, </w:t>
      </w:r>
      <w:r w:rsidRPr="000E4A38">
        <w:lastRenderedPageBreak/>
        <w:t>we find that state courts have been remarkably consistent in drawing on metrics for identifying gerrymandering effects and on ensemble-based tools.</w:t>
      </w:r>
      <w:r w:rsidRPr="0078695B">
        <w:rPr>
          <w:rStyle w:val="FootnoteReference"/>
        </w:rPr>
        <w:footnoteReference w:id="423"/>
      </w:r>
    </w:p>
    <w:p w14:paraId="64378305" w14:textId="62D867EC" w:rsidR="00B806FD" w:rsidRDefault="00B806FD" w:rsidP="00337B16">
      <w:pPr>
        <w:pStyle w:val="BodyText"/>
        <w:numPr>
          <w:ilvl w:val="2"/>
          <w:numId w:val="6"/>
        </w:numPr>
      </w:pPr>
      <w:r w:rsidRPr="000E4A38">
        <w:t>Not only have partisan gerrymandering claims shifted from federal courts to state courts, but even situations where those with primary authority over redistricting fail to act in a timely fashion now appear to almost invariably have litigants seeking a remedial map drawn by a state court rather than a federal court.</w:t>
      </w:r>
      <w:r>
        <w:t xml:space="preserve">  </w:t>
      </w:r>
      <w:r w:rsidRPr="000E4A38">
        <w:t>This is a change from the practice of previous decades</w:t>
      </w:r>
      <w:r w:rsidRPr="00F912CF">
        <w:t>,</w:t>
      </w:r>
      <w:r w:rsidRPr="000E4A38">
        <w:t xml:space="preserve"> where the fact that the past map violated federal one person, one vote standards made it most likely that, when a new map was required by an institutional failure, it would be a federal court that would draw the remedy</w:t>
      </w:r>
      <w:r>
        <w:t>.</w:t>
      </w:r>
      <w:r w:rsidRPr="0078695B">
        <w:rPr>
          <w:rStyle w:val="FootnoteReference"/>
        </w:rPr>
        <w:footnoteReference w:id="424"/>
      </w:r>
    </w:p>
    <w:p w14:paraId="40AA35C0" w14:textId="325B97E5" w:rsidR="00B806FD" w:rsidRDefault="00B806FD" w:rsidP="00337B16">
      <w:pPr>
        <w:pStyle w:val="BodyText"/>
        <w:numPr>
          <w:ilvl w:val="2"/>
          <w:numId w:val="6"/>
        </w:numPr>
      </w:pPr>
      <w:r w:rsidRPr="000E4A38">
        <w:t>While the picture is partly mixed, on balance, state court maps are superior to those they replace with respect to partisan symmetry and good government criteria.</w:t>
      </w:r>
      <w:r w:rsidRPr="0078695B">
        <w:rPr>
          <w:rStyle w:val="FootnoteReference"/>
        </w:rPr>
        <w:footnoteReference w:id="425"/>
      </w:r>
    </w:p>
    <w:p w14:paraId="5CDCE5E8" w14:textId="6B263E29" w:rsidR="00B806FD" w:rsidRDefault="00B806FD" w:rsidP="00823F57">
      <w:pPr>
        <w:pStyle w:val="BodyText"/>
        <w:numPr>
          <w:ilvl w:val="2"/>
          <w:numId w:val="6"/>
        </w:numPr>
      </w:pPr>
      <w:r w:rsidRPr="00061364">
        <w:t>While it might appear that the future for a strong state court role in checking the excesses of partisan gerrymandering at the congressional level is now clear, that is a premature verdict.</w:t>
      </w:r>
      <w:r w:rsidRPr="0078695B">
        <w:rPr>
          <w:rStyle w:val="FootnoteReference"/>
        </w:rPr>
        <w:footnoteReference w:id="426"/>
      </w:r>
      <w:r>
        <w:t xml:space="preserve">  </w:t>
      </w:r>
      <w:r w:rsidRPr="000E4A38">
        <w:t xml:space="preserve">Political parties are now seeing control of state courts as much more important than it had been seen in the past, </w:t>
      </w:r>
      <w:r>
        <w:t>with m</w:t>
      </w:r>
      <w:r w:rsidRPr="000E4A38">
        <w:t>uch more money being spent on state court judicial contests than in the past.</w:t>
      </w:r>
      <w:r w:rsidRPr="0078695B">
        <w:rPr>
          <w:rStyle w:val="FootnoteReference"/>
        </w:rPr>
        <w:footnoteReference w:id="427"/>
      </w:r>
      <w:r>
        <w:t xml:space="preserve">  T</w:t>
      </w:r>
      <w:r w:rsidRPr="000E4A38">
        <w:t xml:space="preserve">he role of state courts in redistricting </w:t>
      </w:r>
      <w:r>
        <w:t xml:space="preserve">is </w:t>
      </w:r>
      <w:r w:rsidRPr="000E4A38">
        <w:t xml:space="preserve">a major element that increased </w:t>
      </w:r>
      <w:r>
        <w:t xml:space="preserve">focus on election of ideological and </w:t>
      </w:r>
      <w:r>
        <w:lastRenderedPageBreak/>
        <w:t>partisan judges to state courts</w:t>
      </w:r>
      <w:r w:rsidRPr="000E4A38">
        <w:t>.</w:t>
      </w:r>
      <w:r w:rsidRPr="0078695B">
        <w:rPr>
          <w:rStyle w:val="FootnoteReference"/>
        </w:rPr>
        <w:footnoteReference w:id="428"/>
      </w:r>
      <w:r>
        <w:t xml:space="preserve">  </w:t>
      </w:r>
      <w:r w:rsidRPr="000E4A38">
        <w:t>As money in judicial elections become</w:t>
      </w:r>
      <w:r>
        <w:t>s</w:t>
      </w:r>
      <w:r w:rsidRPr="000E4A38">
        <w:t xml:space="preserve"> more important, </w:t>
      </w:r>
      <w:r>
        <w:t xml:space="preserve">we believe </w:t>
      </w:r>
      <w:r w:rsidRPr="000E4A38">
        <w:t>it is also likely that state judges will be more ideological and more partisan than in the past</w:t>
      </w:r>
      <w:r>
        <w:t>, as judicial contests reflect the hyperpolarization of both national and state politics</w:t>
      </w:r>
      <w:r w:rsidRPr="000E4A38">
        <w:t>.</w:t>
      </w:r>
      <w:r w:rsidRPr="0078695B">
        <w:rPr>
          <w:rStyle w:val="FootnoteReference"/>
        </w:rPr>
        <w:footnoteReference w:id="429"/>
      </w:r>
      <w:r>
        <w:t xml:space="preserve">  </w:t>
      </w:r>
      <w:r w:rsidRPr="000E4A38">
        <w:t>Consequently, we may see more situations w</w:t>
      </w:r>
      <w:r>
        <w:t>h</w:t>
      </w:r>
      <w:r w:rsidRPr="000E4A38">
        <w:t>ere state court justices refuse to police partisan gerrymanders done by co-partisans.</w:t>
      </w:r>
      <w:r w:rsidRPr="0078695B">
        <w:rPr>
          <w:rStyle w:val="FootnoteReference"/>
        </w:rPr>
        <w:footnoteReference w:id="430"/>
      </w:r>
    </w:p>
    <w:p w14:paraId="57405FA9" w14:textId="15AD637E" w:rsidR="00C23B4F" w:rsidRPr="00C23B4F" w:rsidRDefault="00B806FD" w:rsidP="00823F57">
      <w:pPr>
        <w:pStyle w:val="BodyText"/>
        <w:numPr>
          <w:ilvl w:val="2"/>
          <w:numId w:val="6"/>
        </w:numPr>
      </w:pPr>
      <w:r w:rsidRPr="00380A26">
        <w:t>Similarly, we should not assume that most partisan gerrymandering claims will be successful in states with state constitutional provisions that facilitate the bringing of such claims.</w:t>
      </w:r>
      <w:r>
        <w:t xml:space="preserve">  </w:t>
      </w:r>
      <w:r w:rsidRPr="00380A26">
        <w:t xml:space="preserve">Litigant success in state courts is a function of the facts on the grounds. </w:t>
      </w:r>
      <w:r>
        <w:t xml:space="preserve"> But</w:t>
      </w:r>
      <w:r w:rsidRPr="00380A26">
        <w:t xml:space="preserve"> when the law is less clear, as in the states where only indirect language exists, </w:t>
      </w:r>
      <w:r w:rsidRPr="00380A26">
        <w:rPr>
          <w:i/>
          <w:iCs/>
        </w:rPr>
        <w:t>ceteris paribus</w:t>
      </w:r>
      <w:r w:rsidRPr="00380A26">
        <w:t>, we expect judges to be less likely to overturn state legislatures.</w:t>
      </w:r>
      <w:r>
        <w:t xml:space="preserve">  And even in some states where they have used language such as that about free and equal elections to bar partisan gerrymandering, change in the composition of state courts may lead to a reversal of that interpretation.  </w:t>
      </w:r>
      <w:r w:rsidRPr="000E4A38">
        <w:t>Language that more explicitly bars partisan gerrymandering may be more efficacious than good government criteria in making partisan gerrymandering less likely</w:t>
      </w:r>
      <w:r>
        <w:t xml:space="preserve">.  </w:t>
      </w:r>
      <w:r w:rsidRPr="00380A26">
        <w:t>Relevant</w:t>
      </w:r>
      <w:r>
        <w:t xml:space="preserve"> also </w:t>
      </w:r>
      <w:r w:rsidRPr="00380A26">
        <w:t xml:space="preserve">to </w:t>
      </w:r>
      <w:r>
        <w:t>success</w:t>
      </w:r>
      <w:r w:rsidRPr="00380A26">
        <w:t xml:space="preserve"> is the willingness of state court justices to enforce the law.</w:t>
      </w:r>
      <w:r w:rsidRPr="000E4A38">
        <w:t xml:space="preserve"> </w:t>
      </w:r>
      <w:r>
        <w:t xml:space="preserve"> E</w:t>
      </w:r>
      <w:r w:rsidRPr="000E4A38">
        <w:t>ven provisions explicitly barring partisan gerrymandering may not be efficacious if there is not adequate enforcement by state courts.</w:t>
      </w:r>
      <w:commentRangeStart w:id="867"/>
      <w:r w:rsidRPr="0078695B">
        <w:rPr>
          <w:rStyle w:val="FootnoteReference"/>
        </w:rPr>
        <w:footnoteReference w:id="431"/>
      </w:r>
      <w:commentRangeEnd w:id="867"/>
      <w:r w:rsidR="00DE4F16">
        <w:rPr>
          <w:rStyle w:val="CommentReference"/>
          <w:szCs w:val="20"/>
        </w:rPr>
        <w:commentReference w:id="867"/>
      </w:r>
    </w:p>
    <w:sectPr w:rsidR="00C23B4F" w:rsidRPr="00C23B4F" w:rsidSect="007069AF">
      <w:headerReference w:type="even" r:id="rId13"/>
      <w:headerReference w:type="default" r:id="rId14"/>
      <w:footerReference w:type="even" r:id="rId15"/>
      <w:footerReference w:type="default" r:id="rId16"/>
      <w:headerReference w:type="first" r:id="rId17"/>
      <w:footerReference w:type="first" r:id="rId18"/>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initials="A">
    <w:p w14:paraId="1A031581" w14:textId="77777777" w:rsidR="008D681D" w:rsidRDefault="008D681D" w:rsidP="008D681D">
      <w:pPr>
        <w:pStyle w:val="CommentText"/>
        <w:ind w:firstLine="0"/>
        <w:jc w:val="left"/>
      </w:pPr>
      <w:r>
        <w:rPr>
          <w:rStyle w:val="CommentReference"/>
        </w:rPr>
        <w:annotationRef/>
      </w:r>
      <w:r>
        <w:t>Page number?</w:t>
      </w:r>
    </w:p>
  </w:comment>
  <w:comment w:id="3" w:author="Jonathan Cervas" w:date="2023-06-18T17:24:00Z" w:initials="JC">
    <w:p w14:paraId="5C221FE7" w14:textId="77777777" w:rsidR="00680191" w:rsidRDefault="00680191" w:rsidP="00385CBE">
      <w:r>
        <w:rPr>
          <w:rStyle w:val="CommentReference"/>
        </w:rPr>
        <w:annotationRef/>
      </w:r>
      <w:r>
        <w:rPr>
          <w:sz w:val="20"/>
          <w:szCs w:val="20"/>
        </w:rPr>
        <w:t>No page number yet since final boundings are only done for earlier cases. Same throughout.</w:t>
      </w:r>
    </w:p>
  </w:comment>
  <w:comment w:id="95" w:author="Jonathan Cervas" w:date="2023-06-18T17:25:00Z" w:initials="JC">
    <w:p w14:paraId="6E63B800" w14:textId="77777777" w:rsidR="00680191" w:rsidRDefault="00680191" w:rsidP="00333FCA">
      <w:r>
        <w:rPr>
          <w:rStyle w:val="CommentReference"/>
        </w:rPr>
        <w:annotationRef/>
      </w:r>
      <w:r>
        <w:rPr>
          <w:sz w:val="20"/>
          <w:szCs w:val="20"/>
        </w:rPr>
        <w:t>Maybe the running title should be more descriptive: Partisan Gerrymandering &amp; State Courts</w:t>
      </w:r>
    </w:p>
  </w:comment>
  <w:comment w:id="96" w:author="Jonathan Cervas" w:date="2023-06-18T18:14:00Z" w:initials="JC">
    <w:p w14:paraId="7DE1DF82" w14:textId="77777777" w:rsidR="00E11495" w:rsidRDefault="00E11495" w:rsidP="00C158F6">
      <w:r>
        <w:rPr>
          <w:rStyle w:val="CommentReference"/>
        </w:rPr>
        <w:annotationRef/>
      </w:r>
      <w:r>
        <w:rPr>
          <w:sz w:val="20"/>
          <w:szCs w:val="20"/>
        </w:rPr>
        <w:t>I “unlinked” my Zotero citations because some had been modified externally and were causing problems in my Word (I’m not a Word user normally). I am checking to make sure not changes were made</w:t>
      </w:r>
    </w:p>
    <w:p w14:paraId="77E2AD6D" w14:textId="77777777" w:rsidR="00E11495" w:rsidRDefault="00E11495" w:rsidP="00C158F6"/>
  </w:comment>
  <w:comment w:id="150" w:author="Author" w:initials="A">
    <w:p w14:paraId="319D9AB3" w14:textId="4229C812" w:rsidR="008D703D" w:rsidRDefault="008D703D" w:rsidP="008D703D">
      <w:pPr>
        <w:pStyle w:val="CommentText"/>
        <w:ind w:firstLine="0"/>
        <w:jc w:val="left"/>
      </w:pPr>
      <w:r>
        <w:rPr>
          <w:rStyle w:val="CommentReference"/>
        </w:rPr>
        <w:annotationRef/>
      </w:r>
      <w:r>
        <w:t>Need page number in footnote.</w:t>
      </w:r>
    </w:p>
  </w:comment>
  <w:comment w:id="151" w:author="Jonathan Cervas" w:date="2023-06-20T15:14:00Z" w:initials="JC">
    <w:p w14:paraId="7E4710EB" w14:textId="77777777" w:rsidR="00FE39A5" w:rsidRDefault="00FE39A5" w:rsidP="00A306F3">
      <w:r>
        <w:rPr>
          <w:rStyle w:val="CommentReference"/>
        </w:rPr>
        <w:annotationRef/>
      </w:r>
      <w:r>
        <w:rPr>
          <w:sz w:val="20"/>
          <w:szCs w:val="20"/>
        </w:rPr>
        <w:t>Added citation to syllabus for both citing to S.Ct. (138 and 139 respectively)</w:t>
      </w:r>
    </w:p>
  </w:comment>
  <w:comment w:id="172" w:author="Author" w:initials="A">
    <w:p w14:paraId="064485EB" w14:textId="3F1D67D6" w:rsidR="008D703D" w:rsidRDefault="008D703D" w:rsidP="008D703D">
      <w:pPr>
        <w:pStyle w:val="CommentText"/>
      </w:pPr>
      <w:r>
        <w:rPr>
          <w:rStyle w:val="CommentReference"/>
        </w:rPr>
        <w:annotationRef/>
      </w:r>
      <w:r>
        <w:t>Note from editor, totally up to you on whether to implement:</w:t>
      </w:r>
      <w:r>
        <w:br/>
      </w:r>
    </w:p>
    <w:p w14:paraId="0DD24764" w14:textId="77777777" w:rsidR="008D703D" w:rsidRDefault="008D703D" w:rsidP="008D703D">
      <w:pPr>
        <w:pStyle w:val="CommentText"/>
        <w:ind w:left="720" w:firstLine="0"/>
      </w:pPr>
      <w:r>
        <w:t>The noun quantity does not match the preceding verb. It should either be “[do]” or “party.”</w:t>
      </w:r>
    </w:p>
    <w:p w14:paraId="57097196" w14:textId="77777777" w:rsidR="008D703D" w:rsidRDefault="008D703D" w:rsidP="008D703D">
      <w:pPr>
        <w:pStyle w:val="CommentText"/>
      </w:pPr>
    </w:p>
    <w:p w14:paraId="2057726B" w14:textId="77777777" w:rsidR="008D703D" w:rsidRDefault="008D703D" w:rsidP="008D703D">
      <w:pPr>
        <w:pStyle w:val="CommentText"/>
        <w:ind w:left="720" w:firstLine="720"/>
      </w:pPr>
      <w:r>
        <w:t>If this is punctuation indicating cut words between “deserve” and “based” then it may be better to use ellipses, not an em dash. Redbook Rule 1.47: Use three ellipses dots to indicate the omission of one or more words inside a quotation.</w:t>
      </w:r>
    </w:p>
  </w:comment>
  <w:comment w:id="180" w:author="Jonathan Cervas" w:date="2023-06-20T17:27:00Z" w:initials="JC">
    <w:p w14:paraId="0EFFF923" w14:textId="77777777" w:rsidR="008A2C26" w:rsidRDefault="008A2C26" w:rsidP="00016D4F">
      <w:r>
        <w:rPr>
          <w:rStyle w:val="CommentReference"/>
        </w:rPr>
        <w:annotationRef/>
      </w:r>
      <w:r>
        <w:rPr>
          <w:sz w:val="20"/>
          <w:szCs w:val="20"/>
        </w:rPr>
        <w:t>Is there a way to highlight this? It’s a key point from the paper. Bold/italicize/underline?</w:t>
      </w:r>
    </w:p>
  </w:comment>
  <w:comment w:id="190" w:author="Author" w:initials="A">
    <w:p w14:paraId="5CBCC33B" w14:textId="4490E754" w:rsidR="00414F57" w:rsidRDefault="00414F57" w:rsidP="00414F57">
      <w:pPr>
        <w:pStyle w:val="CommentText"/>
        <w:ind w:firstLine="0"/>
        <w:jc w:val="left"/>
      </w:pPr>
      <w:r>
        <w:rPr>
          <w:rStyle w:val="CommentReference"/>
        </w:rPr>
        <w:annotationRef/>
      </w:r>
      <w:r>
        <w:t>Renumbered the footnote to help preserve supra cites to footnotes later on.</w:t>
      </w:r>
    </w:p>
  </w:comment>
  <w:comment w:id="256" w:author="Author" w:initials="A">
    <w:p w14:paraId="509A8619" w14:textId="77777777" w:rsidR="00414F57" w:rsidRDefault="00414F57" w:rsidP="00414F57">
      <w:r>
        <w:rPr>
          <w:rStyle w:val="CommentReference"/>
        </w:rPr>
        <w:annotationRef/>
      </w:r>
      <w:r>
        <w:rPr>
          <w:sz w:val="20"/>
        </w:rPr>
        <w:t>Is there a page number for this source?</w:t>
      </w:r>
    </w:p>
  </w:comment>
  <w:comment w:id="257" w:author="Jonathan Cervas" w:date="2023-06-18T19:16:00Z" w:initials="JC">
    <w:p w14:paraId="3AAC1272" w14:textId="77777777" w:rsidR="008B4EBD" w:rsidRDefault="008B4EBD" w:rsidP="00DF1192">
      <w:r>
        <w:rPr>
          <w:rStyle w:val="CommentReference"/>
        </w:rPr>
        <w:annotationRef/>
      </w:r>
      <w:r>
        <w:rPr>
          <w:sz w:val="20"/>
          <w:szCs w:val="20"/>
        </w:rPr>
        <w:t>Added “see generally”</w:t>
      </w:r>
    </w:p>
  </w:comment>
  <w:comment w:id="264" w:author="Author" w:initials="A">
    <w:p w14:paraId="53175ADA" w14:textId="5997E054" w:rsidR="00414F57" w:rsidRDefault="00414F57" w:rsidP="00414F57">
      <w:r>
        <w:rPr>
          <w:rStyle w:val="CommentReference"/>
        </w:rPr>
        <w:annotationRef/>
      </w:r>
      <w:r>
        <w:rPr>
          <w:sz w:val="20"/>
        </w:rPr>
        <w:t>Page number being cited to for each case?</w:t>
      </w:r>
      <w:r>
        <w:rPr>
          <w:sz w:val="20"/>
        </w:rPr>
        <w:cr/>
      </w:r>
    </w:p>
  </w:comment>
  <w:comment w:id="265" w:author="Jonathan Cervas" w:date="2023-06-22T10:34:00Z" w:initials="JC">
    <w:p w14:paraId="482D882D" w14:textId="77777777" w:rsidR="00360BB1" w:rsidRDefault="00360BB1" w:rsidP="007B3D1F">
      <w:r>
        <w:rPr>
          <w:rStyle w:val="CommentReference"/>
        </w:rPr>
        <w:annotationRef/>
      </w:r>
      <w:r>
        <w:rPr>
          <w:sz w:val="20"/>
          <w:szCs w:val="20"/>
        </w:rPr>
        <w:t>Added parentheticals for each case</w:t>
      </w:r>
    </w:p>
  </w:comment>
  <w:comment w:id="274" w:author="Jonathan Cervas" w:date="2023-06-22T10:35:00Z" w:initials="JC">
    <w:p w14:paraId="689E54F0" w14:textId="77777777" w:rsidR="00360BB1" w:rsidRDefault="00360BB1" w:rsidP="002C3035">
      <w:r>
        <w:rPr>
          <w:rStyle w:val="CommentReference"/>
        </w:rPr>
        <w:annotationRef/>
      </w:r>
      <w:r>
        <w:rPr>
          <w:sz w:val="20"/>
          <w:szCs w:val="20"/>
        </w:rPr>
        <w:t>Added this footnote to cite to trial court rulings, with next footnote citing to SCOTUS stays</w:t>
      </w:r>
    </w:p>
  </w:comment>
  <w:comment w:id="288" w:author="Author" w:initials="A">
    <w:p w14:paraId="42053B01" w14:textId="10AA9332" w:rsidR="00414F57" w:rsidRDefault="00414F57" w:rsidP="00414F57">
      <w:r>
        <w:rPr>
          <w:rStyle w:val="CommentReference"/>
        </w:rPr>
        <w:annotationRef/>
      </w:r>
      <w:r>
        <w:rPr>
          <w:sz w:val="20"/>
        </w:rPr>
        <w:t>This was a private conversation at Stanford University among a group of redistricting experts who convened to discuss the 2020 cycle.</w:t>
      </w:r>
    </w:p>
  </w:comment>
  <w:comment w:id="336" w:author="Jonathan Cervas" w:date="2023-06-22T15:49:00Z" w:initials="JC">
    <w:p w14:paraId="38A9AD13" w14:textId="77777777" w:rsidR="00C9357C" w:rsidRDefault="00C9357C" w:rsidP="004D78F5">
      <w:r>
        <w:rPr>
          <w:rStyle w:val="CommentReference"/>
        </w:rPr>
        <w:annotationRef/>
      </w:r>
      <w:r>
        <w:rPr>
          <w:sz w:val="20"/>
          <w:szCs w:val="20"/>
        </w:rPr>
        <w:t>Infra or supra will be determined by table 3 final placement</w:t>
      </w:r>
    </w:p>
  </w:comment>
  <w:comment w:id="337" w:author="Jonathan Cervas" w:date="2023-06-22T15:49:00Z" w:initials="JC">
    <w:p w14:paraId="50B2642F" w14:textId="77777777" w:rsidR="00C9357C" w:rsidRDefault="00C9357C" w:rsidP="00C44C82">
      <w:r>
        <w:rPr>
          <w:rStyle w:val="CommentReference"/>
        </w:rPr>
        <w:annotationRef/>
      </w:r>
      <w:r>
        <w:rPr>
          <w:sz w:val="20"/>
          <w:szCs w:val="20"/>
        </w:rPr>
        <w:t>Or maybe the footnote can be deleted since the next sentence says the same thing.</w:t>
      </w:r>
    </w:p>
  </w:comment>
  <w:comment w:id="340" w:author="Author" w:initials="A">
    <w:p w14:paraId="5E43D104" w14:textId="36D8E221" w:rsidR="00D625DD" w:rsidRDefault="00D625DD" w:rsidP="00D625DD">
      <w:r>
        <w:rPr>
          <w:rStyle w:val="CommentReference"/>
        </w:rPr>
        <w:annotationRef/>
      </w:r>
      <w:r>
        <w:rPr>
          <w:sz w:val="20"/>
        </w:rPr>
        <w:t>I need to put these in BB format</w:t>
      </w:r>
    </w:p>
  </w:comment>
  <w:comment w:id="347" w:author="Jonathan Cervas" w:date="2023-06-22T15:55:00Z" w:initials="JC">
    <w:p w14:paraId="46456D5D" w14:textId="77777777" w:rsidR="00B50363" w:rsidRDefault="00B50363" w:rsidP="008D671C">
      <w:r>
        <w:rPr>
          <w:rStyle w:val="CommentReference"/>
        </w:rPr>
        <w:annotationRef/>
      </w:r>
      <w:r>
        <w:rPr>
          <w:sz w:val="20"/>
          <w:szCs w:val="20"/>
        </w:rPr>
        <w:t>I don’t know why this went to a new page, different than other tables.</w:t>
      </w:r>
    </w:p>
  </w:comment>
  <w:comment w:id="348" w:author="Kyle Kopko" w:date="2023-06-14T22:54:00Z" w:initials="KK">
    <w:p w14:paraId="7671F045" w14:textId="3884EDCF" w:rsidR="00C532D6" w:rsidRDefault="00C532D6" w:rsidP="006E3FC4">
      <w:pPr>
        <w:pStyle w:val="CommentText"/>
        <w:ind w:firstLine="0"/>
        <w:jc w:val="left"/>
      </w:pPr>
      <w:r>
        <w:rPr>
          <w:rStyle w:val="CommentReference"/>
        </w:rPr>
        <w:annotationRef/>
      </w:r>
      <w:r>
        <w:t xml:space="preserve">I had to turn off track changes to make the edits to this table.  In brief, I center aligned the cells, left justified the first column, and eliminated white space.  </w:t>
      </w:r>
    </w:p>
  </w:comment>
  <w:comment w:id="349" w:author="Jonathan Cervas" w:date="2023-06-18T19:20:00Z" w:initials="JC">
    <w:p w14:paraId="61A114CF" w14:textId="77777777" w:rsidR="008B4EBD" w:rsidRDefault="008B4EBD" w:rsidP="00386E6A">
      <w:r>
        <w:rPr>
          <w:rStyle w:val="CommentReference"/>
        </w:rPr>
        <w:annotationRef/>
      </w:r>
      <w:r>
        <w:rPr>
          <w:sz w:val="20"/>
          <w:szCs w:val="20"/>
        </w:rPr>
        <w:t>Thank you!</w:t>
      </w:r>
    </w:p>
  </w:comment>
  <w:comment w:id="359" w:author="Author" w:initials="A">
    <w:p w14:paraId="7E4C9047" w14:textId="46E74D38" w:rsidR="00F377A8" w:rsidRDefault="00F377A8" w:rsidP="00F377A8">
      <w:r>
        <w:rPr>
          <w:rStyle w:val="CommentReference"/>
        </w:rPr>
        <w:annotationRef/>
      </w:r>
      <w:r>
        <w:rPr>
          <w:sz w:val="20"/>
        </w:rPr>
        <w:t>Are there specific page numbers for each cite?</w:t>
      </w:r>
    </w:p>
  </w:comment>
  <w:comment w:id="378" w:author="Author" w:initials="A">
    <w:p w14:paraId="5A47F6D7" w14:textId="77777777" w:rsidR="00F377A8" w:rsidRDefault="00F377A8" w:rsidP="00F377A8">
      <w:r>
        <w:rPr>
          <w:rStyle w:val="CommentReference"/>
        </w:rPr>
        <w:annotationRef/>
      </w:r>
      <w:r>
        <w:rPr>
          <w:sz w:val="20"/>
        </w:rPr>
        <w:t>The footnote says “over overrode”. Is this accurate?</w:t>
      </w:r>
    </w:p>
  </w:comment>
  <w:comment w:id="379" w:author="Jonathan Cervas" w:date="2023-06-18T19:23:00Z" w:initials="JC">
    <w:p w14:paraId="574A1090" w14:textId="77777777" w:rsidR="008B4EBD" w:rsidRDefault="008B4EBD" w:rsidP="0009152F">
      <w:r>
        <w:rPr>
          <w:rStyle w:val="CommentReference"/>
        </w:rPr>
        <w:annotationRef/>
      </w:r>
      <w:r>
        <w:rPr>
          <w:sz w:val="20"/>
          <w:szCs w:val="20"/>
        </w:rPr>
        <w:t>Yes. The legislature is Republican and the governor Democrat. She vetoed, but they overrode the veto.</w:t>
      </w:r>
    </w:p>
  </w:comment>
  <w:comment w:id="410" w:author="Author" w:initials="A">
    <w:p w14:paraId="3BE80785" w14:textId="69236695" w:rsidR="000111B5" w:rsidRDefault="000111B5" w:rsidP="000111B5">
      <w:r>
        <w:rPr>
          <w:rStyle w:val="CommentReference"/>
        </w:rPr>
        <w:annotationRef/>
      </w:r>
      <w:r>
        <w:rPr>
          <w:sz w:val="20"/>
        </w:rPr>
        <w:t>Need to add permanent links for the new cites.</w:t>
      </w:r>
    </w:p>
  </w:comment>
  <w:comment w:id="415" w:author="Author" w:initials="A">
    <w:p w14:paraId="4F753D0D" w14:textId="77777777" w:rsidR="000111B5" w:rsidRDefault="000111B5" w:rsidP="000111B5">
      <w:r>
        <w:rPr>
          <w:rStyle w:val="CommentReference"/>
        </w:rPr>
        <w:annotationRef/>
      </w:r>
      <w:r>
        <w:rPr>
          <w:sz w:val="20"/>
        </w:rPr>
        <w:t>Need page number</w:t>
      </w:r>
    </w:p>
  </w:comment>
  <w:comment w:id="432" w:author="Author" w:initials="A">
    <w:p w14:paraId="2799DB48" w14:textId="77777777" w:rsidR="00E70D0A" w:rsidRDefault="00E70D0A" w:rsidP="00E70D0A">
      <w:r>
        <w:rPr>
          <w:rStyle w:val="CommentReference"/>
        </w:rPr>
        <w:annotationRef/>
      </w:r>
      <w:r>
        <w:rPr>
          <w:sz w:val="20"/>
        </w:rPr>
        <w:t>Is there a page number being cited to?</w:t>
      </w:r>
    </w:p>
  </w:comment>
  <w:comment w:id="495" w:author="Jonathan Cervas" w:date="2023-06-29T16:57:00Z" w:initials="JC">
    <w:p w14:paraId="1BE81156" w14:textId="77777777" w:rsidR="008C1524" w:rsidRDefault="008C1524" w:rsidP="00500FD9">
      <w:r>
        <w:rPr>
          <w:rStyle w:val="CommentReference"/>
        </w:rPr>
        <w:annotationRef/>
      </w:r>
      <w:r>
        <w:rPr>
          <w:sz w:val="20"/>
          <w:szCs w:val="20"/>
        </w:rPr>
        <w:t>Formatting in Word was not correct, so I remade these two footnotes.</w:t>
      </w:r>
    </w:p>
  </w:comment>
  <w:comment w:id="585" w:author="Author" w:initials="A">
    <w:p w14:paraId="436531F9" w14:textId="6B40338D" w:rsidR="009563A6" w:rsidRDefault="009563A6" w:rsidP="009563A6">
      <w:pPr>
        <w:pStyle w:val="CommentText"/>
        <w:ind w:firstLine="0"/>
        <w:jc w:val="left"/>
      </w:pPr>
      <w:r>
        <w:rPr>
          <w:rStyle w:val="CommentReference"/>
        </w:rPr>
        <w:annotationRef/>
      </w:r>
      <w:r>
        <w:t>Need page number for where you are citing to.</w:t>
      </w:r>
    </w:p>
  </w:comment>
  <w:comment w:id="591" w:author="Author" w:initials="A">
    <w:p w14:paraId="1C3AE8B0" w14:textId="77777777" w:rsidR="009563A6" w:rsidRDefault="009563A6" w:rsidP="009563A6">
      <w:pPr>
        <w:pStyle w:val="CommentText"/>
        <w:ind w:firstLine="0"/>
        <w:jc w:val="left"/>
      </w:pPr>
      <w:r>
        <w:rPr>
          <w:rStyle w:val="CommentReference"/>
        </w:rPr>
        <w:annotationRef/>
      </w:r>
      <w:r>
        <w:t>Need page number.</w:t>
      </w:r>
    </w:p>
  </w:comment>
  <w:comment w:id="595" w:author="Author" w:initials="A">
    <w:p w14:paraId="1AFD6981" w14:textId="77777777" w:rsidR="009563A6" w:rsidRDefault="009563A6" w:rsidP="009563A6">
      <w:pPr>
        <w:pStyle w:val="CommentText"/>
        <w:ind w:firstLine="0"/>
        <w:jc w:val="left"/>
      </w:pPr>
      <w:r>
        <w:rPr>
          <w:rStyle w:val="CommentReference"/>
        </w:rPr>
        <w:annotationRef/>
      </w:r>
      <w:r>
        <w:t>Need page numbers for this.</w:t>
      </w:r>
    </w:p>
  </w:comment>
  <w:comment w:id="599" w:author="Author" w:initials="A">
    <w:p w14:paraId="06C52ADF" w14:textId="77777777" w:rsidR="009563A6" w:rsidRDefault="009563A6" w:rsidP="009563A6">
      <w:pPr>
        <w:pStyle w:val="CommentText"/>
        <w:ind w:firstLine="0"/>
        <w:jc w:val="left"/>
      </w:pPr>
      <w:r>
        <w:rPr>
          <w:rStyle w:val="CommentReference"/>
        </w:rPr>
        <w:annotationRef/>
      </w:r>
      <w:r>
        <w:t>Need page numbers for this.</w:t>
      </w:r>
    </w:p>
  </w:comment>
  <w:comment w:id="704" w:author="Jonathan Cervas" w:date="2023-06-29T14:37:00Z" w:initials="JC">
    <w:p w14:paraId="26437149" w14:textId="77777777" w:rsidR="000413A5" w:rsidRDefault="000413A5" w:rsidP="00FB6379">
      <w:r>
        <w:rPr>
          <w:rStyle w:val="CommentReference"/>
        </w:rPr>
        <w:annotationRef/>
      </w:r>
      <w:r>
        <w:rPr>
          <w:sz w:val="20"/>
          <w:szCs w:val="20"/>
        </w:rPr>
        <w:t xml:space="preserve">This quote is found at 569, but it cites to </w:t>
      </w:r>
      <w:r>
        <w:rPr>
          <w:color w:val="202020"/>
          <w:sz w:val="20"/>
          <w:szCs w:val="20"/>
        </w:rPr>
        <w:t xml:space="preserve">Am. Compl. </w:t>
      </w:r>
      <w:hyperlink r:id="rId1" w:history="1">
        <w:r w:rsidRPr="00FB6379">
          <w:rPr>
            <w:rStyle w:val="Hyperlink"/>
            <w:sz w:val="20"/>
            <w:szCs w:val="20"/>
          </w:rPr>
          <w:t>¶¶ 7</w:t>
        </w:r>
      </w:hyperlink>
      <w:r>
        <w:rPr>
          <w:color w:val="202020"/>
          <w:sz w:val="20"/>
          <w:szCs w:val="20"/>
        </w:rPr>
        <w:t xml:space="preserve">, </w:t>
      </w:r>
      <w:hyperlink r:id="rId2" w:history="1">
        <w:r w:rsidRPr="00FB6379">
          <w:rPr>
            <w:rStyle w:val="Hyperlink"/>
            <w:sz w:val="20"/>
            <w:szCs w:val="20"/>
          </w:rPr>
          <w:t>8</w:t>
        </w:r>
      </w:hyperlink>
      <w:r>
        <w:rPr>
          <w:color w:val="202020"/>
          <w:sz w:val="20"/>
          <w:szCs w:val="20"/>
        </w:rPr>
        <w:t>, 101. Not sure how to bluebook this.</w:t>
      </w:r>
    </w:p>
  </w:comment>
  <w:comment w:id="728" w:author="Jonathan Cervas" w:date="2023-06-29T15:06:00Z" w:initials="JC">
    <w:p w14:paraId="72FBB919" w14:textId="77777777" w:rsidR="00573C01" w:rsidRDefault="00573C01" w:rsidP="00C750EA">
      <w:r>
        <w:rPr>
          <w:rStyle w:val="CommentReference"/>
        </w:rPr>
        <w:annotationRef/>
      </w:r>
      <w:r>
        <w:rPr>
          <w:sz w:val="20"/>
          <w:szCs w:val="20"/>
        </w:rPr>
        <w:t>Please add permalink to this new citation.</w:t>
      </w:r>
    </w:p>
  </w:comment>
  <w:comment w:id="740" w:author="Author" w:initials="A">
    <w:p w14:paraId="1908D318" w14:textId="524E55D6" w:rsidR="00052E1C" w:rsidRDefault="00052E1C" w:rsidP="00052E1C">
      <w:pPr>
        <w:pStyle w:val="CommentText"/>
        <w:ind w:firstLine="0"/>
        <w:jc w:val="left"/>
      </w:pPr>
      <w:r>
        <w:rPr>
          <w:rStyle w:val="CommentReference"/>
        </w:rPr>
        <w:annotationRef/>
      </w:r>
      <w:r>
        <w:t>Need exact page number for this.</w:t>
      </w:r>
    </w:p>
  </w:comment>
  <w:comment w:id="759" w:author="Author" w:initials="A">
    <w:p w14:paraId="11E4FB95" w14:textId="77777777" w:rsidR="005A65E3" w:rsidRDefault="005A65E3" w:rsidP="005A65E3">
      <w:r>
        <w:rPr>
          <w:rStyle w:val="CommentReference"/>
        </w:rPr>
        <w:annotationRef/>
      </w:r>
      <w:r>
        <w:rPr>
          <w:color w:val="70AC46"/>
          <w:sz w:val="20"/>
        </w:rPr>
        <w:t>·      I believe footnote 327 et al. cites back to footnote 123, which references the complaint.  I have attached a link to the complaint if it helps.  The pincites may be incorrect, but those two quotations are present on page 2 of the complaint.</w:t>
      </w:r>
    </w:p>
    <w:p w14:paraId="189436D5" w14:textId="77777777" w:rsidR="005A65E3" w:rsidRDefault="00000000" w:rsidP="005A65E3">
      <w:hyperlink r:id="rId3" w:history="1">
        <w:r w:rsidR="005A65E3" w:rsidRPr="00573DE0">
          <w:rPr>
            <w:rStyle w:val="Hyperlink"/>
            <w:sz w:val="20"/>
          </w:rPr>
          <w:t>https://redistricting.lls.edu/wp-content/uploads/KY-graham-20220120-complaint.pdf</w:t>
        </w:r>
      </w:hyperlink>
      <w:r w:rsidR="005A65E3">
        <w:rPr>
          <w:color w:val="000000"/>
          <w:sz w:val="20"/>
        </w:rPr>
        <w:t xml:space="preserve"> </w:t>
      </w:r>
    </w:p>
  </w:comment>
  <w:comment w:id="770" w:author="Author" w:initials="A">
    <w:p w14:paraId="09084999" w14:textId="77777777" w:rsidR="005A65E3" w:rsidRDefault="005A65E3" w:rsidP="005A65E3">
      <w:pPr>
        <w:pStyle w:val="CommentText"/>
      </w:pPr>
      <w:r>
        <w:rPr>
          <w:rStyle w:val="CommentReference"/>
        </w:rPr>
        <w:annotationRef/>
      </w:r>
      <w:r>
        <w:t>Note from editor:</w:t>
      </w:r>
    </w:p>
    <w:p w14:paraId="1DFC193F" w14:textId="77777777" w:rsidR="005A65E3" w:rsidRDefault="005A65E3" w:rsidP="005A65E3">
      <w:pPr>
        <w:pStyle w:val="CommentText"/>
      </w:pPr>
    </w:p>
    <w:p w14:paraId="6B61553C" w14:textId="77777777" w:rsidR="005A65E3" w:rsidRDefault="005A65E3" w:rsidP="005A65E3">
      <w:pPr>
        <w:pStyle w:val="CommentText"/>
        <w:ind w:left="720" w:firstLine="720"/>
      </w:pPr>
      <w:r>
        <w:t xml:space="preserve">Authors will want to consider adding an opener such as, “The court continued, “Also, as recognized…” </w:t>
      </w:r>
    </w:p>
    <w:p w14:paraId="100FC65A" w14:textId="77777777" w:rsidR="005A65E3" w:rsidRDefault="005A65E3" w:rsidP="005A65E3">
      <w:pPr>
        <w:pStyle w:val="CommentText"/>
      </w:pPr>
    </w:p>
    <w:p w14:paraId="48391F5F" w14:textId="77777777" w:rsidR="005A65E3" w:rsidRDefault="005A65E3" w:rsidP="005A65E3">
      <w:pPr>
        <w:pStyle w:val="CommentText"/>
        <w:ind w:left="720" w:firstLine="0"/>
      </w:pPr>
      <w:r>
        <w:t>Made the previous recommendation because, according to Redbook Rule 8.9, one should never use back-to-back quotations without supplying their own connective words.</w:t>
      </w:r>
    </w:p>
  </w:comment>
  <w:comment w:id="804" w:author="Author" w:initials="A">
    <w:p w14:paraId="0848A912" w14:textId="77777777" w:rsidR="00E74CC8" w:rsidRDefault="00E74CC8" w:rsidP="00E74CC8">
      <w:r>
        <w:rPr>
          <w:rStyle w:val="CommentReference"/>
        </w:rPr>
        <w:annotationRef/>
      </w:r>
      <w:r>
        <w:rPr>
          <w:sz w:val="20"/>
        </w:rPr>
        <w:t>@Seth, you say “Does not seem to support text” but this is a paper Bernie and I wrote and is all about the effects of the 2011 PA plan which limited the Democrats to 5/18 congressional seats.</w:t>
      </w:r>
    </w:p>
  </w:comment>
  <w:comment w:id="805" w:author="Author" w:initials="A">
    <w:p w14:paraId="668AC95D" w14:textId="77777777" w:rsidR="00E74CC8" w:rsidRDefault="00E74CC8" w:rsidP="00E74CC8">
      <w:pPr>
        <w:pStyle w:val="CommentText"/>
        <w:ind w:firstLine="0"/>
        <w:jc w:val="left"/>
      </w:pPr>
      <w:r>
        <w:rPr>
          <w:rStyle w:val="CommentReference"/>
        </w:rPr>
        <w:annotationRef/>
      </w:r>
      <w:r>
        <w:t>That should be fine then.</w:t>
      </w:r>
    </w:p>
  </w:comment>
  <w:comment w:id="849" w:author="Author" w:initials="A">
    <w:p w14:paraId="78CD7D6C" w14:textId="77777777" w:rsidR="00EF1C50" w:rsidRDefault="00EF1C50" w:rsidP="00EF1C50">
      <w:pPr>
        <w:pStyle w:val="CommentText"/>
        <w:ind w:firstLine="0"/>
        <w:jc w:val="left"/>
      </w:pPr>
      <w:r>
        <w:rPr>
          <w:rStyle w:val="CommentReference"/>
        </w:rPr>
        <w:annotationRef/>
      </w:r>
      <w:r>
        <w:t>Is there a page number being cited to here?</w:t>
      </w:r>
    </w:p>
  </w:comment>
  <w:comment w:id="867" w:author="Jonathan Cervas" w:date="2023-06-29T16:46:00Z" w:initials="JC">
    <w:p w14:paraId="511BA857" w14:textId="77777777" w:rsidR="00DE4F16" w:rsidRDefault="00DE4F16" w:rsidP="002E7F02">
      <w:r>
        <w:rPr>
          <w:rStyle w:val="CommentReference"/>
        </w:rPr>
        <w:annotationRef/>
      </w:r>
      <w:r>
        <w:rPr>
          <w:sz w:val="20"/>
          <w:szCs w:val="20"/>
        </w:rPr>
        <w:t>We know more about “Moore”, but should we update this footnote? There is scholarly debate about whether or not a “weak” version of the ISLT is still alive, even if the most extreme version is clearly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031581" w15:done="0"/>
  <w15:commentEx w15:paraId="5C221FE7" w15:paraIdParent="1A031581" w15:done="0"/>
  <w15:commentEx w15:paraId="6E63B800" w15:done="0"/>
  <w15:commentEx w15:paraId="77E2AD6D" w15:paraIdParent="6E63B800" w15:done="0"/>
  <w15:commentEx w15:paraId="319D9AB3" w15:done="0"/>
  <w15:commentEx w15:paraId="7E4710EB" w15:paraIdParent="319D9AB3" w15:done="0"/>
  <w15:commentEx w15:paraId="2057726B" w15:done="0"/>
  <w15:commentEx w15:paraId="0EFFF923" w15:done="0"/>
  <w15:commentEx w15:paraId="5CBCC33B" w15:done="0"/>
  <w15:commentEx w15:paraId="509A8619" w15:done="0"/>
  <w15:commentEx w15:paraId="3AAC1272" w15:paraIdParent="509A8619" w15:done="0"/>
  <w15:commentEx w15:paraId="53175ADA" w15:done="0"/>
  <w15:commentEx w15:paraId="482D882D" w15:paraIdParent="53175ADA" w15:done="0"/>
  <w15:commentEx w15:paraId="689E54F0" w15:done="0"/>
  <w15:commentEx w15:paraId="42053B01" w15:done="1"/>
  <w15:commentEx w15:paraId="38A9AD13" w15:done="0"/>
  <w15:commentEx w15:paraId="50B2642F" w15:paraIdParent="38A9AD13" w15:done="0"/>
  <w15:commentEx w15:paraId="5E43D104" w15:done="0"/>
  <w15:commentEx w15:paraId="46456D5D" w15:done="0"/>
  <w15:commentEx w15:paraId="7671F045" w15:done="1"/>
  <w15:commentEx w15:paraId="61A114CF" w15:paraIdParent="7671F045" w15:done="1"/>
  <w15:commentEx w15:paraId="7E4C9047" w15:done="0"/>
  <w15:commentEx w15:paraId="5A47F6D7" w15:done="0"/>
  <w15:commentEx w15:paraId="574A1090" w15:paraIdParent="5A47F6D7" w15:done="0"/>
  <w15:commentEx w15:paraId="3BE80785" w15:done="0"/>
  <w15:commentEx w15:paraId="4F753D0D" w15:done="0"/>
  <w15:commentEx w15:paraId="2799DB48" w15:done="0"/>
  <w15:commentEx w15:paraId="1BE81156" w15:done="0"/>
  <w15:commentEx w15:paraId="436531F9" w15:done="1"/>
  <w15:commentEx w15:paraId="1C3AE8B0" w15:done="1"/>
  <w15:commentEx w15:paraId="1AFD6981" w15:done="1"/>
  <w15:commentEx w15:paraId="06C52ADF" w15:done="1"/>
  <w15:commentEx w15:paraId="26437149" w15:done="0"/>
  <w15:commentEx w15:paraId="72FBB919" w15:done="0"/>
  <w15:commentEx w15:paraId="1908D318" w15:done="1"/>
  <w15:commentEx w15:paraId="189436D5" w15:done="1"/>
  <w15:commentEx w15:paraId="48391F5F" w15:done="1"/>
  <w15:commentEx w15:paraId="0848A912" w15:done="1"/>
  <w15:commentEx w15:paraId="668AC95D" w15:paraIdParent="0848A912" w15:done="1"/>
  <w15:commentEx w15:paraId="78CD7D6C" w15:done="1"/>
  <w15:commentEx w15:paraId="511BA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9BC83" w16cex:dateUtc="2023-06-18T21:24:00Z"/>
  <w16cex:commentExtensible w16cex:durableId="2839BC84" w16cex:dateUtc="2023-06-18T21:25:00Z"/>
  <w16cex:commentExtensible w16cex:durableId="2839C807" w16cex:dateUtc="2023-06-18T22:14:00Z"/>
  <w16cex:commentExtensible w16cex:durableId="283C40DA" w16cex:dateUtc="2023-06-20T19:14:00Z"/>
  <w16cex:commentExtensible w16cex:durableId="283C6008" w16cex:dateUtc="2023-06-20T21:27:00Z"/>
  <w16cex:commentExtensible w16cex:durableId="2839D688" w16cex:dateUtc="2023-06-18T23:16:00Z"/>
  <w16cex:commentExtensible w16cex:durableId="283EA238" w16cex:dateUtc="2023-06-22T14:34:00Z"/>
  <w16cex:commentExtensible w16cex:durableId="283EA25B" w16cex:dateUtc="2023-06-22T14:35:00Z"/>
  <w16cex:commentExtensible w16cex:durableId="283EEC01" w16cex:dateUtc="2023-06-22T19:49:00Z"/>
  <w16cex:commentExtensible w16cex:durableId="283EEC1E" w16cex:dateUtc="2023-06-22T19:49:00Z"/>
  <w16cex:commentExtensible w16cex:durableId="283EED62" w16cex:dateUtc="2023-06-22T19:55:00Z"/>
  <w16cex:commentExtensible w16cex:durableId="2834C3BA" w16cex:dateUtc="2023-06-15T02:54:00Z"/>
  <w16cex:commentExtensible w16cex:durableId="2839D766" w16cex:dateUtc="2023-06-18T23:20:00Z"/>
  <w16cex:commentExtensible w16cex:durableId="2839D835" w16cex:dateUtc="2023-06-18T23:23:00Z"/>
  <w16cex:commentExtensible w16cex:durableId="28483695" w16cex:dateUtc="2023-06-29T20:57:00Z"/>
  <w16cex:commentExtensible w16cex:durableId="284815BF" w16cex:dateUtc="2023-06-29T18:37:00Z"/>
  <w16cex:commentExtensible w16cex:durableId="28481C88" w16cex:dateUtc="2023-06-29T19:06:00Z"/>
  <w16cex:commentExtensible w16cex:durableId="284833E7" w16cex:dateUtc="2023-06-29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031581" w16cid:durableId="27FCC3CD"/>
  <w16cid:commentId w16cid:paraId="5C221FE7" w16cid:durableId="2839BC83"/>
  <w16cid:commentId w16cid:paraId="6E63B800" w16cid:durableId="2839BC84"/>
  <w16cid:commentId w16cid:paraId="77E2AD6D" w16cid:durableId="2839C807"/>
  <w16cid:commentId w16cid:paraId="319D9AB3" w16cid:durableId="27FCC5E3"/>
  <w16cid:commentId w16cid:paraId="7E4710EB" w16cid:durableId="283C40DA"/>
  <w16cid:commentId w16cid:paraId="2057726B" w16cid:durableId="27867737"/>
  <w16cid:commentId w16cid:paraId="0EFFF923" w16cid:durableId="283C6008"/>
  <w16cid:commentId w16cid:paraId="5CBCC33B" w16cid:durableId="27EE8BC5"/>
  <w16cid:commentId w16cid:paraId="509A8619" w16cid:durableId="27F231FB"/>
  <w16cid:commentId w16cid:paraId="3AAC1272" w16cid:durableId="2839D688"/>
  <w16cid:commentId w16cid:paraId="53175ADA" w16cid:durableId="27F23454"/>
  <w16cid:commentId w16cid:paraId="482D882D" w16cid:durableId="283EA238"/>
  <w16cid:commentId w16cid:paraId="689E54F0" w16cid:durableId="283EA25B"/>
  <w16cid:commentId w16cid:paraId="42053B01" w16cid:durableId="2799F357"/>
  <w16cid:commentId w16cid:paraId="38A9AD13" w16cid:durableId="283EEC01"/>
  <w16cid:commentId w16cid:paraId="50B2642F" w16cid:durableId="283EEC1E"/>
  <w16cid:commentId w16cid:paraId="5E43D104" w16cid:durableId="27F24849"/>
  <w16cid:commentId w16cid:paraId="46456D5D" w16cid:durableId="283EED62"/>
  <w16cid:commentId w16cid:paraId="7671F045" w16cid:durableId="2834C3BA"/>
  <w16cid:commentId w16cid:paraId="61A114CF" w16cid:durableId="2839D766"/>
  <w16cid:commentId w16cid:paraId="7E4C9047" w16cid:durableId="27F24A73"/>
  <w16cid:commentId w16cid:paraId="5A47F6D7" w16cid:durableId="27F24BE1"/>
  <w16cid:commentId w16cid:paraId="574A1090" w16cid:durableId="2839D835"/>
  <w16cid:commentId w16cid:paraId="3BE80785" w16cid:durableId="27F24F6B"/>
  <w16cid:commentId w16cid:paraId="4F753D0D" w16cid:durableId="27F4EC44"/>
  <w16cid:commentId w16cid:paraId="2799DB48" w16cid:durableId="27F4EE2F"/>
  <w16cid:commentId w16cid:paraId="1BE81156" w16cid:durableId="28483695"/>
  <w16cid:commentId w16cid:paraId="436531F9" w16cid:durableId="27FA4661"/>
  <w16cid:commentId w16cid:paraId="1C3AE8B0" w16cid:durableId="27FA46D3"/>
  <w16cid:commentId w16cid:paraId="1AFD6981" w16cid:durableId="27FA47A9"/>
  <w16cid:commentId w16cid:paraId="06C52ADF" w16cid:durableId="27FA47B3"/>
  <w16cid:commentId w16cid:paraId="26437149" w16cid:durableId="284815BF"/>
  <w16cid:commentId w16cid:paraId="72FBB919" w16cid:durableId="28481C88"/>
  <w16cid:commentId w16cid:paraId="1908D318" w16cid:durableId="27FA5B03"/>
  <w16cid:commentId w16cid:paraId="189436D5" w16cid:durableId="2799F588"/>
  <w16cid:commentId w16cid:paraId="48391F5F" w16cid:durableId="278686F0"/>
  <w16cid:commentId w16cid:paraId="0848A912" w16cid:durableId="2799F623"/>
  <w16cid:commentId w16cid:paraId="668AC95D" w16cid:durableId="27FCD2B8"/>
  <w16cid:commentId w16cid:paraId="78CD7D6C" w16cid:durableId="27FB9CBD"/>
  <w16cid:commentId w16cid:paraId="511BA857" w16cid:durableId="28483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A42E" w14:textId="77777777" w:rsidR="00A77E2B" w:rsidRDefault="00A77E2B" w:rsidP="00732B06">
      <w:r>
        <w:separator/>
      </w:r>
    </w:p>
  </w:endnote>
  <w:endnote w:type="continuationSeparator" w:id="0">
    <w:p w14:paraId="2BA113EB" w14:textId="77777777" w:rsidR="00A77E2B" w:rsidRDefault="00A77E2B" w:rsidP="0073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legreya">
    <w:altName w:val="Calibri"/>
    <w:panose1 w:val="020B0604020202020204"/>
    <w:charset w:val="00"/>
    <w:family w:val="auto"/>
    <w:pitch w:val="variable"/>
    <w:sig w:usb0="E00002FF" w:usb1="4000607B" w:usb2="00000000" w:usb3="00000000" w:csb0="0000019F" w:csb1="00000000"/>
  </w:font>
  <w:font w:name="Calibri">
    <w:panose1 w:val="020F0502020204030204"/>
    <w:charset w:val="00"/>
    <w:family w:val="swiss"/>
    <w:pitch w:val="variable"/>
    <w:sig w:usb0="E0002AFF" w:usb1="C000247B" w:usb2="00000009" w:usb3="00000000" w:csb0="000001FF" w:csb1="00000000"/>
  </w:font>
  <w:font w:name="Myriad Pro">
    <w:altName w:val="Segoe UI"/>
    <w:panose1 w:val="020B0604020202020204"/>
    <w:charset w:val="00"/>
    <w:family w:val="swiss"/>
    <w:notTrueType/>
    <w:pitch w:val="variable"/>
    <w:sig w:usb0="A00002AF" w:usb1="5000204B" w:usb2="00000000" w:usb3="00000000" w:csb0="000001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Semibold">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972D" w14:textId="153B126E"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13F4E" w14:textId="1B848D65"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69" w:name="_Hlk527584374"/>
  <w:p w14:paraId="6C7194A7" w14:textId="41F87261"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86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6D328" w14:textId="77777777" w:rsidR="00A77E2B" w:rsidRDefault="00A77E2B" w:rsidP="00732B06">
      <w:r>
        <w:separator/>
      </w:r>
    </w:p>
  </w:footnote>
  <w:footnote w:type="continuationSeparator" w:id="0">
    <w:p w14:paraId="1FB7363F" w14:textId="77777777" w:rsidR="00A77E2B" w:rsidRDefault="00A77E2B" w:rsidP="00732B06">
      <w:r>
        <w:continuationSeparator/>
      </w:r>
    </w:p>
  </w:footnote>
  <w:footnote w:id="1">
    <w:p w14:paraId="488659AA" w14:textId="6D703AC1" w:rsidR="008D703D" w:rsidRPr="00B806FD" w:rsidRDefault="008D703D" w:rsidP="00B806FD">
      <w:pPr>
        <w:pStyle w:val="FootnoteText"/>
      </w:pPr>
      <w:r w:rsidRPr="00B806FD">
        <w:rPr>
          <w:rStyle w:val="FootnoteReference"/>
        </w:rPr>
        <w:footnoteRef/>
      </w:r>
      <w:r w:rsidRPr="00B806FD">
        <w:t xml:space="preserve"> </w:t>
      </w:r>
      <w:r w:rsidRPr="00B806FD">
        <w:tab/>
        <w:t>Much of what we say will also be relevant to state legislative redistricting but providing details of state legislative redistricting in the 2020s redistricting round is beyond the scope of this essay and requires a separate treatment.</w:t>
      </w:r>
    </w:p>
  </w:footnote>
  <w:footnote w:id="2">
    <w:p w14:paraId="652AAF90" w14:textId="058AFE3F" w:rsidR="008D703D" w:rsidRPr="00B806FD" w:rsidRDefault="008D703D" w:rsidP="00B806FD">
      <w:pPr>
        <w:pStyle w:val="FootnoteText"/>
      </w:pPr>
      <w:r w:rsidRPr="00B806FD">
        <w:rPr>
          <w:rStyle w:val="FootnoteReference"/>
        </w:rPr>
        <w:footnoteRef/>
      </w:r>
      <w:r w:rsidRPr="00B806FD">
        <w:t xml:space="preserve"> </w:t>
      </w:r>
      <w:r w:rsidRPr="00B806FD">
        <w:tab/>
        <w:t xml:space="preserve">The decennial census </w:t>
      </w:r>
      <w:r w:rsidRPr="00B806FD">
        <w:rPr>
          <w:i/>
          <w:iCs/>
        </w:rPr>
        <w:t>inter alia</w:t>
      </w:r>
      <w:r w:rsidRPr="00B806FD">
        <w:t xml:space="preserve"> enumerates the population of the country and for each state and determines the total representatives (out of 435) that each state will be allocated.  U.S. Census Bureau, </w:t>
      </w:r>
      <w:r w:rsidRPr="00B806FD">
        <w:rPr>
          <w:i/>
          <w:iCs/>
        </w:rPr>
        <w:t>2020 Census Apportionment Results</w:t>
      </w:r>
      <w:r w:rsidRPr="00B806FD">
        <w:t xml:space="preserve">, Census.gov (April 26, 2021), https://census.gov/data/tables/U.S. Census Bureau, </w:t>
      </w:r>
      <w:r w:rsidRPr="00B806FD">
        <w:rPr>
          <w:i/>
          <w:iCs/>
        </w:rPr>
        <w:t>2020 Census Apportionment Results</w:t>
      </w:r>
      <w:r w:rsidRPr="00B806FD">
        <w:t>, Census.gov (April 26, 2021), https://census.gov/data/tables/2020/dec/2020-apportionment-data.html [https://perma.cc/LN43-GJN7] (last visited Dec. 22, 2022).</w:t>
      </w:r>
    </w:p>
  </w:footnote>
  <w:footnote w:id="3">
    <w:p w14:paraId="775C7E9F" w14:textId="568D393B" w:rsidR="00E11495" w:rsidRDefault="00E11495">
      <w:pPr>
        <w:pStyle w:val="FootnoteText"/>
      </w:pPr>
      <w:r>
        <w:rPr>
          <w:rStyle w:val="FootnoteReference"/>
        </w:rPr>
        <w:footnoteRef/>
      </w:r>
      <w:r>
        <w:t xml:space="preserve"> </w:t>
      </w:r>
      <w:ins w:id="99" w:author="Jonathan Cervas" w:date="2023-06-18T18:13:00Z">
        <w:r w:rsidRPr="00E11495">
          <w:t>Justin Levitt, National Overview, All About Redistricting, https://redistricting.lls.edu/national-overview [https://perma.cc/5Y75-LM6A] (last visited Dec. 21, 2022).</w:t>
        </w:r>
      </w:ins>
    </w:p>
  </w:footnote>
  <w:footnote w:id="4">
    <w:p w14:paraId="198759D6" w14:textId="0BE36507" w:rsidR="008D703D" w:rsidRPr="00B806FD" w:rsidRDefault="008D703D" w:rsidP="00B806FD">
      <w:pPr>
        <w:pStyle w:val="FootnoteText"/>
      </w:pPr>
      <w:r w:rsidRPr="00B806FD">
        <w:rPr>
          <w:rStyle w:val="FootnoteReference"/>
        </w:rPr>
        <w:footnoteRef/>
      </w:r>
      <w:r w:rsidRPr="00B806FD">
        <w:t xml:space="preserve"> </w:t>
      </w:r>
      <w:r w:rsidRPr="00B806FD">
        <w:tab/>
        <w:t>Single party control is close to a necessary condition for partisan gerrymandering, but it is not a sufficient condition.  You cannot gerrymander where you do not have control.</w:t>
      </w:r>
    </w:p>
  </w:footnote>
  <w:footnote w:id="5">
    <w:p w14:paraId="788E3171" w14:textId="5C9369DB"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rStyle w:val="normaltextrun"/>
          <w:shd w:val="clear" w:color="auto" w:fill="FFFFFF"/>
        </w:rPr>
        <w:t>See details later in the text</w:t>
      </w:r>
      <w:r w:rsidRPr="00B806FD">
        <w:rPr>
          <w:rStyle w:val="normaltextrun"/>
          <w:rFonts w:cs="Segoe UI"/>
          <w:shd w:val="clear" w:color="auto" w:fill="FFFFFF"/>
        </w:rPr>
        <w:t>.</w:t>
      </w:r>
      <w:r w:rsidRPr="00B806FD">
        <w:rPr>
          <w:rStyle w:val="normaltextrun"/>
          <w:shd w:val="clear" w:color="auto" w:fill="FFFFFF"/>
        </w:rPr>
        <w:t xml:space="preserve">  </w:t>
      </w:r>
      <w:r w:rsidRPr="00B806FD">
        <w:rPr>
          <w:rStyle w:val="normaltextrun"/>
          <w:rFonts w:cs="Segoe UI"/>
          <w:i/>
          <w:iCs/>
          <w:shd w:val="clear" w:color="auto" w:fill="FFFFFF"/>
        </w:rPr>
        <w:t xml:space="preserve">See </w:t>
      </w:r>
      <w:del w:id="101" w:author="Jonathan Cervas" w:date="2023-06-18T17:25:00Z">
        <w:r w:rsidRPr="00B806FD" w:rsidDel="00680191">
          <w:rPr>
            <w:rStyle w:val="normaltextrun"/>
            <w:rFonts w:cs="Segoe UI"/>
            <w:strike/>
            <w:shd w:val="clear" w:color="auto" w:fill="FFFFFF"/>
          </w:rPr>
          <w:delText xml:space="preserve">and </w:delText>
        </w:r>
      </w:del>
      <w:proofErr w:type="spellStart"/>
      <w:r w:rsidRPr="00B806FD">
        <w:rPr>
          <w:rStyle w:val="normaltextrun"/>
          <w:rFonts w:cs="Segoe UI"/>
          <w:i/>
          <w:iCs/>
          <w:shd w:val="clear" w:color="auto" w:fill="FFFFFF"/>
        </w:rPr>
        <w:t>i</w:t>
      </w:r>
      <w:r w:rsidRPr="00B806FD">
        <w:rPr>
          <w:rStyle w:val="normaltextrun"/>
          <w:rFonts w:cs="Segoe UI"/>
          <w:i/>
          <w:iCs/>
          <w:strike/>
          <w:shd w:val="clear" w:color="auto" w:fill="FFFFFF"/>
        </w:rPr>
        <w:t>I</w:t>
      </w:r>
      <w:r w:rsidRPr="00B806FD">
        <w:rPr>
          <w:rStyle w:val="normaltextrun"/>
          <w:i/>
          <w:iCs/>
          <w:shd w:val="clear" w:color="auto" w:fill="FFFFFF"/>
        </w:rPr>
        <w:t>nfra</w:t>
      </w:r>
      <w:proofErr w:type="spellEnd"/>
      <w:r w:rsidRPr="00B806FD">
        <w:rPr>
          <w:rStyle w:val="normaltextrun"/>
          <w:i/>
          <w:iCs/>
          <w:shd w:val="clear" w:color="auto" w:fill="FFFFFF"/>
        </w:rPr>
        <w:t xml:space="preserve"> </w:t>
      </w:r>
      <w:proofErr w:type="spellStart"/>
      <w:r w:rsidRPr="00B806FD">
        <w:rPr>
          <w:rStyle w:val="normaltextrun"/>
          <w:rFonts w:cs="Segoe UI"/>
          <w:shd w:val="clear" w:color="auto" w:fill="E1E3E6"/>
        </w:rPr>
        <w:t>tb</w:t>
      </w:r>
      <w:r w:rsidRPr="00680191">
        <w:rPr>
          <w:rStyle w:val="normaltextrun"/>
          <w:rFonts w:cs="Segoe UI"/>
          <w:shd w:val="clear" w:color="auto" w:fill="E1E3E6"/>
        </w:rPr>
        <w:t>l</w:t>
      </w:r>
      <w:proofErr w:type="spellEnd"/>
      <w:r w:rsidRPr="00680191">
        <w:rPr>
          <w:rStyle w:val="normaltextrun"/>
          <w:rFonts w:cs="Segoe UI"/>
          <w:shd w:val="clear" w:color="auto" w:fill="E1E3E6"/>
        </w:rPr>
        <w:t>.</w:t>
      </w:r>
      <w:r w:rsidRPr="00B806FD">
        <w:rPr>
          <w:rStyle w:val="normaltextrun"/>
          <w:rFonts w:cs="Segoe UI"/>
          <w:shd w:val="clear" w:color="auto" w:fill="E1E3E6"/>
        </w:rPr>
        <w:t xml:space="preserve"> </w:t>
      </w:r>
      <w:ins w:id="102" w:author="Jonathan Cervas" w:date="2023-06-18T21:15:00Z">
        <w:r w:rsidR="00E01FB1" w:rsidRPr="00E01FB1">
          <w:rPr>
            <w:rStyle w:val="normaltextrun"/>
            <w:rFonts w:cs="Segoe UI"/>
            <w:shd w:val="clear" w:color="auto" w:fill="E1E3E6"/>
          </w:rPr>
          <w:fldChar w:fldCharType="begin"/>
        </w:r>
        <w:r w:rsidR="00E01FB1" w:rsidRPr="00E01FB1">
          <w:rPr>
            <w:rStyle w:val="normaltextrun"/>
            <w:rFonts w:cs="Segoe UI"/>
            <w:shd w:val="clear" w:color="auto" w:fill="E1E3E6"/>
          </w:rPr>
          <w:instrText xml:space="preserve"> REF _Ref123137422 \h </w:instrText>
        </w:r>
      </w:ins>
      <w:r w:rsidR="00E01FB1" w:rsidRPr="00E01FB1">
        <w:rPr>
          <w:rStyle w:val="normaltextrun"/>
          <w:rFonts w:cs="Segoe UI"/>
          <w:shd w:val="clear" w:color="auto" w:fill="E1E3E6"/>
          <w:rPrChange w:id="103" w:author="Jonathan Cervas" w:date="2023-06-18T21:16:00Z">
            <w:rPr>
              <w:rStyle w:val="normaltextrun"/>
              <w:rFonts w:cs="Segoe UI"/>
              <w:i/>
              <w:iCs/>
              <w:shd w:val="clear" w:color="auto" w:fill="E1E3E6"/>
            </w:rPr>
          </w:rPrChange>
        </w:rPr>
        <w:instrText xml:space="preserve"> \* MERGEFORMAT </w:instrText>
      </w:r>
      <w:r w:rsidR="00E01FB1" w:rsidRPr="00E01FB1">
        <w:rPr>
          <w:rStyle w:val="normaltextrun"/>
          <w:rFonts w:cs="Segoe UI"/>
          <w:shd w:val="clear" w:color="auto" w:fill="E1E3E6"/>
        </w:rPr>
      </w:r>
      <w:r w:rsidR="00E01FB1" w:rsidRPr="00E01FB1">
        <w:rPr>
          <w:rStyle w:val="normaltextrun"/>
          <w:rFonts w:cs="Segoe UI"/>
          <w:shd w:val="clear" w:color="auto" w:fill="E1E3E6"/>
        </w:rPr>
        <w:fldChar w:fldCharType="separate"/>
      </w:r>
      <w:ins w:id="104" w:author="Jonathan Cervas" w:date="2023-06-18T21:15:00Z">
        <w:r w:rsidR="00E01FB1" w:rsidRPr="00E01FB1">
          <w:rPr>
            <w:b/>
            <w:bCs/>
            <w:noProof/>
            <w:rPrChange w:id="105" w:author="Jonathan Cervas" w:date="2023-06-18T21:16:00Z">
              <w:rPr>
                <w:b/>
                <w:bCs/>
                <w:i/>
                <w:iCs/>
                <w:noProof/>
              </w:rPr>
            </w:rPrChange>
          </w:rPr>
          <w:t>1</w:t>
        </w:r>
        <w:r w:rsidR="00E01FB1" w:rsidRPr="00E01FB1">
          <w:rPr>
            <w:rStyle w:val="normaltextrun"/>
            <w:rFonts w:cs="Segoe UI"/>
            <w:shd w:val="clear" w:color="auto" w:fill="E1E3E6"/>
          </w:rPr>
          <w:fldChar w:fldCharType="end"/>
        </w:r>
      </w:ins>
      <w:del w:id="106" w:author="Jonathan Cervas" w:date="2023-06-18T21:15:00Z">
        <w:r w:rsidRPr="00E01FB1" w:rsidDel="00E01FB1">
          <w:rPr>
            <w:rStyle w:val="normaltextrun"/>
            <w:rFonts w:cs="Segoe UI"/>
            <w:shd w:val="clear" w:color="auto" w:fill="E1E3E6"/>
          </w:rPr>
          <w:delText>1</w:delText>
        </w:r>
      </w:del>
      <w:r w:rsidRPr="00E01FB1">
        <w:rPr>
          <w:rStyle w:val="normaltextrun"/>
          <w:shd w:val="clear" w:color="auto" w:fill="FFFFFF"/>
        </w:rPr>
        <w:t>.</w:t>
      </w:r>
      <w:r w:rsidRPr="00B806FD">
        <w:rPr>
          <w:rStyle w:val="normaltextrun"/>
          <w:shd w:val="clear" w:color="auto" w:fill="FFFFFF"/>
        </w:rPr>
        <w:t> </w:t>
      </w:r>
      <w:r w:rsidRPr="00B806FD">
        <w:rPr>
          <w:rStyle w:val="normaltextrun"/>
          <w:rFonts w:cs="Segoe UI"/>
          <w:shd w:val="clear" w:color="auto" w:fill="FFFFFF"/>
        </w:rPr>
        <w:t xml:space="preserve"> </w:t>
      </w:r>
      <w:r w:rsidRPr="00B806FD">
        <w:rPr>
          <w:rStyle w:val="normaltextrun"/>
          <w:shd w:val="clear" w:color="auto" w:fill="FFFFFF"/>
        </w:rPr>
        <w:t xml:space="preserve">The term </w:t>
      </w:r>
      <w:r w:rsidRPr="00B806FD">
        <w:rPr>
          <w:rStyle w:val="normaltextrun"/>
          <w:i/>
          <w:iCs/>
          <w:shd w:val="clear" w:color="auto" w:fill="FFFFFF"/>
        </w:rPr>
        <w:t>trifecta control</w:t>
      </w:r>
      <w:r w:rsidRPr="00B806FD">
        <w:rPr>
          <w:rStyle w:val="normaltextrun"/>
          <w:shd w:val="clear" w:color="auto" w:fill="FFFFFF"/>
        </w:rPr>
        <w:t xml:space="preserve"> is commonly used to denote states where one party controls both branches of the legislature and the governorship. </w:t>
      </w:r>
      <w:r w:rsidRPr="00B806FD">
        <w:rPr>
          <w:rStyle w:val="normaltextrun"/>
          <w:rFonts w:cs="Segoe UI"/>
          <w:shd w:val="clear" w:color="auto" w:fill="FFFFFF"/>
        </w:rPr>
        <w:t xml:space="preserve"> </w:t>
      </w:r>
      <w:r w:rsidRPr="00B806FD">
        <w:rPr>
          <w:rStyle w:val="normaltextrun"/>
          <w:shd w:val="clear" w:color="auto" w:fill="FFFFFF"/>
        </w:rPr>
        <w:t xml:space="preserve">But another more general term applicable to the redistricting context is </w:t>
      </w:r>
      <w:r w:rsidRPr="00B806FD">
        <w:rPr>
          <w:rStyle w:val="normaltextrun"/>
          <w:i/>
          <w:iCs/>
          <w:shd w:val="clear" w:color="auto" w:fill="FFFFFF"/>
        </w:rPr>
        <w:t>party control</w:t>
      </w:r>
      <w:r w:rsidRPr="00B806FD">
        <w:rPr>
          <w:rStyle w:val="normaltextrun"/>
          <w:shd w:val="clear" w:color="auto" w:fill="FFFFFF"/>
        </w:rPr>
        <w:t>—used to describe situation in which one party can unilaterally adopt a redistricting plan even if there is divided party control. </w:t>
      </w:r>
      <w:r w:rsidRPr="00B806FD">
        <w:rPr>
          <w:rStyle w:val="normaltextrun"/>
          <w:rFonts w:cs="Segoe UI"/>
          <w:shd w:val="clear" w:color="auto" w:fill="FFFFFF"/>
        </w:rPr>
        <w:t xml:space="preserve"> </w:t>
      </w:r>
      <w:r w:rsidRPr="00B806FD">
        <w:rPr>
          <w:rStyle w:val="normaltextrun"/>
          <w:shd w:val="clear" w:color="auto" w:fill="FFFFFF"/>
        </w:rPr>
        <w:t>In North Carolina</w:t>
      </w:r>
      <w:r w:rsidRPr="00B806FD">
        <w:rPr>
          <w:rStyle w:val="normaltextrun"/>
          <w:rFonts w:cs="Segoe UI"/>
          <w:shd w:val="clear" w:color="auto" w:fill="FFFFFF"/>
        </w:rPr>
        <w:t>,</w:t>
      </w:r>
      <w:r w:rsidRPr="00B806FD">
        <w:rPr>
          <w:rStyle w:val="normaltextrun"/>
          <w:shd w:val="clear" w:color="auto" w:fill="FFFFFF"/>
        </w:rPr>
        <w:t xml:space="preserve"> this is possible if one party controls both branches of the legislature since that state does not have a role for the governor in the redistricting process (</w:t>
      </w:r>
      <w:r w:rsidRPr="00B806FD">
        <w:rPr>
          <w:rStyle w:val="normaltextrun"/>
          <w:rFonts w:cs="Segoe UI"/>
          <w:i/>
          <w:iCs/>
          <w:shd w:val="clear" w:color="auto" w:fill="FFFFFF"/>
        </w:rPr>
        <w:t>s</w:t>
      </w:r>
      <w:r w:rsidRPr="00B806FD">
        <w:rPr>
          <w:rStyle w:val="normaltextrun"/>
          <w:i/>
          <w:iCs/>
          <w:shd w:val="clear" w:color="auto" w:fill="FFFFFF"/>
        </w:rPr>
        <w:t>ee generally</w:t>
      </w:r>
      <w:r w:rsidRPr="00B806FD">
        <w:rPr>
          <w:rStyle w:val="normaltextrun"/>
          <w:shd w:val="clear" w:color="auto" w:fill="FFFFFF"/>
        </w:rPr>
        <w:t xml:space="preserve"> Richard F</w:t>
      </w:r>
      <w:r w:rsidRPr="00B806FD">
        <w:rPr>
          <w:rStyle w:val="normaltextrun"/>
          <w:rFonts w:cs="Segoe UI"/>
          <w:shd w:val="clear" w:color="auto" w:fill="FFFFFF"/>
        </w:rPr>
        <w:t>.</w:t>
      </w:r>
      <w:r w:rsidRPr="00B806FD">
        <w:rPr>
          <w:rStyle w:val="normaltextrun"/>
          <w:shd w:val="clear" w:color="auto" w:fill="FFFFFF"/>
        </w:rPr>
        <w:t xml:space="preserve"> Ober</w:t>
      </w:r>
      <w:r w:rsidRPr="00B806FD">
        <w:rPr>
          <w:rStyle w:val="normaltextrun"/>
          <w:rFonts w:cs="Segoe UI"/>
          <w:shd w:val="clear" w:color="auto" w:fill="FFFFFF"/>
        </w:rPr>
        <w:t xml:space="preserve"> et al</w:t>
      </w:r>
      <w:r w:rsidRPr="00B806FD">
        <w:rPr>
          <w:rStyle w:val="normaltextrun"/>
          <w:shd w:val="clear" w:color="auto" w:fill="FFFFFF"/>
        </w:rPr>
        <w:t xml:space="preserve">, </w:t>
      </w:r>
      <w:r w:rsidRPr="00B806FD">
        <w:rPr>
          <w:rStyle w:val="normaltextrun"/>
          <w:i/>
          <w:iCs/>
          <w:shd w:val="clear" w:color="auto" w:fill="FFFFFF"/>
        </w:rPr>
        <w:t xml:space="preserve">Up by Their Own Bootstraps: Will a New Supreme Court Let Legislatures Bypass Governors Over </w:t>
      </w:r>
      <w:proofErr w:type="gramStart"/>
      <w:r w:rsidRPr="00B806FD">
        <w:rPr>
          <w:rStyle w:val="normaltextrun"/>
          <w:i/>
          <w:iCs/>
          <w:shd w:val="clear" w:color="auto" w:fill="FFFFFF"/>
        </w:rPr>
        <w:t>Redistricting?</w:t>
      </w:r>
      <w:r w:rsidRPr="00B806FD">
        <w:rPr>
          <w:rStyle w:val="normaltextrun"/>
          <w:shd w:val="clear" w:color="auto" w:fill="FFFFFF"/>
        </w:rPr>
        <w:t>,</w:t>
      </w:r>
      <w:proofErr w:type="gramEnd"/>
      <w:r w:rsidRPr="00B806FD">
        <w:rPr>
          <w:rStyle w:val="normaltextrun"/>
          <w:shd w:val="clear" w:color="auto" w:fill="FFFFFF"/>
        </w:rPr>
        <w:t xml:space="preserve"> 83 </w:t>
      </w:r>
      <w:r w:rsidRPr="00B806FD">
        <w:rPr>
          <w:rStyle w:val="normaltextrun"/>
          <w:smallCaps/>
          <w:shd w:val="clear" w:color="auto" w:fill="FFFFFF"/>
        </w:rPr>
        <w:t>Alb</w:t>
      </w:r>
      <w:r w:rsidRPr="00B806FD">
        <w:rPr>
          <w:rStyle w:val="normaltextrun"/>
          <w:rFonts w:cs="Segoe UI"/>
          <w:smallCaps/>
          <w:shd w:val="clear" w:color="auto" w:fill="FFFFFF"/>
        </w:rPr>
        <w:t>.</w:t>
      </w:r>
      <w:r w:rsidRPr="00B806FD">
        <w:rPr>
          <w:rStyle w:val="normaltextrun"/>
          <w:smallCaps/>
          <w:shd w:val="clear" w:color="auto" w:fill="FFFFFF"/>
        </w:rPr>
        <w:t xml:space="preserve"> L</w:t>
      </w:r>
      <w:r w:rsidRPr="00B806FD">
        <w:rPr>
          <w:rStyle w:val="normaltextrun"/>
          <w:rFonts w:cs="Segoe UI"/>
          <w:smallCaps/>
          <w:shd w:val="clear" w:color="auto" w:fill="FFFFFF"/>
        </w:rPr>
        <w:t>.</w:t>
      </w:r>
      <w:r w:rsidRPr="00B806FD">
        <w:rPr>
          <w:rStyle w:val="normaltextrun"/>
          <w:smallCaps/>
          <w:shd w:val="clear" w:color="auto" w:fill="FFFFFF"/>
        </w:rPr>
        <w:t xml:space="preserve"> Rev</w:t>
      </w:r>
      <w:r w:rsidRPr="00B806FD">
        <w:rPr>
          <w:rStyle w:val="normaltextrun"/>
          <w:shd w:val="clear" w:color="auto" w:fill="FFFFFF"/>
        </w:rPr>
        <w:t>. </w:t>
      </w:r>
      <w:r w:rsidRPr="00B806FD">
        <w:rPr>
          <w:rStyle w:val="normaltextrun"/>
          <w:rFonts w:cs="Segoe UI"/>
          <w:shd w:val="clear" w:color="auto" w:fill="FFFFFF"/>
        </w:rPr>
        <w:t xml:space="preserve"> (2022) </w:t>
      </w:r>
      <w:r w:rsidRPr="00B806FD">
        <w:rPr>
          <w:rStyle w:val="normaltextrun"/>
          <w:shd w:val="clear" w:color="auto" w:fill="FFFFFF"/>
        </w:rPr>
        <w:t>(forthcoming)</w:t>
      </w:r>
      <w:r w:rsidRPr="00B806FD">
        <w:rPr>
          <w:rStyle w:val="normaltextrun"/>
          <w:rFonts w:cs="Segoe UI"/>
          <w:shd w:val="clear" w:color="auto" w:fill="FFFFFF"/>
        </w:rPr>
        <w:t xml:space="preserve"> https://www.albanylawreview.org/article/57790-up-by-their-own-bootstraps-will-a-new-supreme-court-let-legislatures-bypass-governors-over-redistricting [https://perma.cc/8JZD-AU8W]</w:t>
      </w:r>
      <w:del w:id="107" w:author="Jonathan Cervas" w:date="2023-06-18T18:18:00Z">
        <w:r w:rsidRPr="00B806FD" w:rsidDel="00E11495">
          <w:rPr>
            <w:rStyle w:val="normaltextrun"/>
            <w:rFonts w:cs="Segoe UI"/>
            <w:strike/>
            <w:shd w:val="clear" w:color="auto" w:fill="FFFFFF"/>
          </w:rPr>
          <w:delText>.</w:delText>
        </w:r>
      </w:del>
      <w:r w:rsidRPr="00B806FD">
        <w:rPr>
          <w:rStyle w:val="normaltextrun"/>
          <w:shd w:val="clear" w:color="auto" w:fill="FFFFFF"/>
        </w:rPr>
        <w:t>); other states have state legislative compositions such that the governor’s veto can be overridden when one party controls a supermajority in both branches of the state legislature. </w:t>
      </w:r>
      <w:r w:rsidRPr="00B806FD">
        <w:rPr>
          <w:rStyle w:val="normaltextrun"/>
          <w:rFonts w:cs="Segoe UI"/>
          <w:shd w:val="clear" w:color="auto" w:fill="FFFFFF"/>
        </w:rPr>
        <w:t xml:space="preserve"> </w:t>
      </w:r>
      <w:r w:rsidRPr="00B806FD">
        <w:rPr>
          <w:rStyle w:val="normaltextrun"/>
          <w:i/>
          <w:iCs/>
          <w:shd w:val="clear" w:color="auto" w:fill="FFFFFF"/>
        </w:rPr>
        <w:t xml:space="preserve">See </w:t>
      </w:r>
      <w:r w:rsidRPr="00B806FD">
        <w:rPr>
          <w:rStyle w:val="normaltextrun"/>
          <w:shd w:val="clear" w:color="auto" w:fill="FFFFFF"/>
        </w:rPr>
        <w:t>later in the text for details about party control in the 2010 and 2020 rounds.</w:t>
      </w:r>
      <w:r w:rsidRPr="00B806FD">
        <w:rPr>
          <w:rStyle w:val="eop"/>
          <w:shd w:val="clear" w:color="auto" w:fill="FFFFFF"/>
        </w:rPr>
        <w:t> </w:t>
      </w:r>
    </w:p>
  </w:footnote>
  <w:footnote w:id="6">
    <w:p w14:paraId="020BBFEE" w14:textId="1F1F4B4E"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 xml:space="preserve">See infra </w:t>
      </w:r>
      <w:r w:rsidRPr="00B806FD">
        <w:t xml:space="preserve">notes </w:t>
      </w:r>
      <w:bookmarkStart w:id="108" w:name="_Hlt132282293"/>
      <w:r w:rsidRPr="00B806FD">
        <w:fldChar w:fldCharType="begin"/>
      </w:r>
      <w:r w:rsidRPr="00B806FD">
        <w:instrText xml:space="preserve"> NOTEREF _Ref122771657 \h  \* MERGEFORMAT </w:instrText>
      </w:r>
      <w:r w:rsidRPr="00B806FD">
        <w:fldChar w:fldCharType="separate"/>
      </w:r>
      <w:r w:rsidRPr="00B806FD">
        <w:t>70</w:t>
      </w:r>
      <w:r w:rsidRPr="00B806FD">
        <w:fldChar w:fldCharType="end"/>
      </w:r>
      <w:bookmarkEnd w:id="108"/>
      <w:r w:rsidRPr="00B806FD">
        <w:t xml:space="preserve"> and </w:t>
      </w:r>
      <w:ins w:id="109" w:author="Jonathan Cervas" w:date="2023-06-18T18:21:00Z">
        <w:r w:rsidR="00670334">
          <w:fldChar w:fldCharType="begin"/>
        </w:r>
        <w:r w:rsidR="00670334">
          <w:instrText xml:space="preserve"> NOTEREF _Ref122704324 \h </w:instrText>
        </w:r>
      </w:ins>
      <w:r w:rsidR="00670334">
        <w:fldChar w:fldCharType="separate"/>
      </w:r>
      <w:ins w:id="110" w:author="Jonathan Cervas" w:date="2023-06-18T18:21:00Z">
        <w:r w:rsidR="00670334">
          <w:t>71</w:t>
        </w:r>
        <w:r w:rsidR="00670334">
          <w:fldChar w:fldCharType="end"/>
        </w:r>
      </w:ins>
      <w:del w:id="111" w:author="Jonathan Cervas" w:date="2023-06-18T18:21:00Z">
        <w:r w:rsidRPr="00B806FD" w:rsidDel="00670334">
          <w:delText>71</w:delText>
        </w:r>
      </w:del>
      <w:r w:rsidRPr="00B806FD">
        <w:t>.</w:t>
      </w:r>
    </w:p>
  </w:footnote>
  <w:footnote w:id="7">
    <w:p w14:paraId="17CEB4F3" w14:textId="21E28A32"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smallCaps/>
        </w:rPr>
        <w:t>National Conference of State Legislatures</w:t>
      </w:r>
      <w:r w:rsidRPr="00B806FD">
        <w:t xml:space="preserve">, </w:t>
      </w:r>
      <w:r w:rsidRPr="00B806FD">
        <w:rPr>
          <w:smallCaps/>
        </w:rPr>
        <w:t>Redistricting Law 2020</w:t>
      </w:r>
      <w:r w:rsidRPr="00B806FD">
        <w:t>, at 96 (2019).</w:t>
      </w:r>
    </w:p>
  </w:footnote>
  <w:footnote w:id="8">
    <w:p w14:paraId="70009D8D" w14:textId="5D6139AF"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 xml:space="preserve">See further discussion </w:t>
      </w:r>
      <w:proofErr w:type="spellStart"/>
      <w:r w:rsidRPr="00B806FD">
        <w:rPr>
          <w:i/>
          <w:iCs/>
        </w:rPr>
        <w:t>below</w:t>
      </w:r>
      <w:r w:rsidRPr="00B806FD">
        <w:t>.</w:t>
      </w:r>
      <w:del w:id="113" w:author="Jonathan Cervas" w:date="2023-06-18T18:24:00Z">
        <w:r w:rsidRPr="00B806FD" w:rsidDel="00670334">
          <w:delText xml:space="preserve"> </w:delText>
        </w:r>
      </w:del>
      <w:ins w:id="114" w:author="Jonathan Cervas" w:date="2023-06-18T18:27:00Z">
        <w:r w:rsidR="00670334">
          <w:rPr>
            <w:i/>
            <w:iCs/>
          </w:rPr>
          <w:t>Infra</w:t>
        </w:r>
        <w:proofErr w:type="spellEnd"/>
        <w:r w:rsidR="00670334">
          <w:rPr>
            <w:i/>
            <w:iCs/>
          </w:rPr>
          <w:t xml:space="preserve"> </w:t>
        </w:r>
        <w:r w:rsidR="00670334">
          <w:t>at p.</w:t>
        </w:r>
        <w:r w:rsidR="00670334">
          <w:fldChar w:fldCharType="begin"/>
        </w:r>
        <w:r w:rsidR="00670334">
          <w:instrText xml:space="preserve"> PAGEREF Commission_failings \h </w:instrText>
        </w:r>
      </w:ins>
      <w:r w:rsidR="00670334">
        <w:fldChar w:fldCharType="separate"/>
      </w:r>
      <w:ins w:id="115" w:author="Jonathan Cervas" w:date="2023-06-18T18:27:00Z">
        <w:r w:rsidR="00670334">
          <w:rPr>
            <w:noProof/>
          </w:rPr>
          <w:t>24</w:t>
        </w:r>
        <w:r w:rsidR="00670334">
          <w:fldChar w:fldCharType="end"/>
        </w:r>
        <w:r w:rsidR="00670334">
          <w:t>.</w:t>
        </w:r>
      </w:ins>
      <w:del w:id="116" w:author="Jonathan Cervas" w:date="2023-06-18T18:24:00Z">
        <w:r w:rsidRPr="00B806FD" w:rsidDel="00670334">
          <w:delText xml:space="preserve"> </w:delText>
        </w:r>
        <w:r w:rsidRPr="00B806FD" w:rsidDel="00670334">
          <w:rPr>
            <w:i/>
            <w:iCs/>
          </w:rPr>
          <w:delText>Infra</w:delText>
        </w:r>
        <w:r w:rsidRPr="00B806FD" w:rsidDel="00670334">
          <w:delText xml:space="preserve"> at 386.</w:delText>
        </w:r>
      </w:del>
      <w:r w:rsidRPr="00B806FD">
        <w:rPr>
          <w:i/>
          <w:iCs/>
        </w:rPr>
        <w:t xml:space="preserve"> </w:t>
      </w:r>
      <w:r w:rsidRPr="00B806FD">
        <w:t xml:space="preserve"> 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  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w:t>
      </w:r>
    </w:p>
  </w:footnote>
  <w:footnote w:id="9">
    <w:p w14:paraId="62A921CE" w14:textId="2AA37753"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smallCaps/>
        </w:rPr>
        <w:t>National Conference of State Legislatures</w:t>
      </w:r>
      <w:r w:rsidRPr="00B806FD">
        <w:t xml:space="preserve">, </w:t>
      </w:r>
      <w:r w:rsidRPr="00B806FD">
        <w:rPr>
          <w:i/>
          <w:iCs/>
        </w:rPr>
        <w:t>supra</w:t>
      </w:r>
      <w:r w:rsidRPr="00B806FD">
        <w:t xml:space="preserve"> note 7 app. E.</w:t>
      </w:r>
    </w:p>
  </w:footnote>
  <w:footnote w:id="10">
    <w:p w14:paraId="0D82D825" w14:textId="4B2832A7" w:rsidR="008D703D" w:rsidRPr="00B806FD" w:rsidRDefault="008D703D" w:rsidP="00B806FD">
      <w:pPr>
        <w:pStyle w:val="FootnoteText"/>
        <w:rPr>
          <w:b/>
        </w:rPr>
      </w:pPr>
      <w:r w:rsidRPr="00B806FD">
        <w:rPr>
          <w:rStyle w:val="FootnoteReference"/>
        </w:rPr>
        <w:footnoteRef/>
      </w:r>
      <w:r w:rsidRPr="00B806FD">
        <w:t xml:space="preserve"> </w:t>
      </w:r>
      <w:r w:rsidRPr="00B806FD">
        <w:tab/>
        <w:t>The exact text of constitutional provisions varies by state.  Traditional criteria, in addition to those listed above,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And they may operate to advantage the party currently controlling a chamber or congressional delegation by freezing into place a previous gerrymander.</w:t>
      </w:r>
    </w:p>
    <w:p w14:paraId="6FAAC407" w14:textId="51C83C5A" w:rsidR="008D703D" w:rsidRPr="00B806FD" w:rsidRDefault="008D703D" w:rsidP="00B806FD">
      <w:pPr>
        <w:pStyle w:val="FootnoteText"/>
      </w:pPr>
      <w:r w:rsidRPr="00B806FD">
        <w:t>States without specific criteria in their constitution affecting congressional mapmaking</w:t>
      </w:r>
      <w:r w:rsidRPr="00B806FD">
        <w:rPr>
          <w:b/>
          <w:bCs/>
        </w:rPr>
        <w:t xml:space="preserve"> </w:t>
      </w:r>
      <w:r w:rsidRPr="00B806FD">
        <w:t xml:space="preserve">are Alaska, Connecticut, Delaware, Illinois, Indiana, Maryland, Massachusetts, Montana, New Hampshire, New Jersey, North Dakota, South Dakota, Tennessee, Texas, Vermont, and Wisconsin.  For more, see </w:t>
      </w:r>
      <w:r w:rsidRPr="00B806FD">
        <w:rPr>
          <w:smallCaps/>
        </w:rPr>
        <w:t>Sarah J. Eckman</w:t>
      </w:r>
      <w:r w:rsidRPr="00B806FD">
        <w:t xml:space="preserve">, </w:t>
      </w:r>
      <w:r w:rsidRPr="00B806FD">
        <w:rPr>
          <w:i/>
          <w:iCs/>
        </w:rPr>
        <w:t>Congressional Redistricting Criteria and Considerations</w:t>
      </w:r>
      <w:r w:rsidRPr="00B806FD">
        <w:t xml:space="preserve">, (2021), https://crsreports.congress.gov/product/pdf/IN/IN11618 (last visited Dec. 28, 2022); Ben Williams &amp; Wendy Underhill, </w:t>
      </w:r>
      <w:r w:rsidRPr="00B806FD">
        <w:rPr>
          <w:i/>
          <w:iCs/>
        </w:rPr>
        <w:t>Redistricting Criteria</w:t>
      </w:r>
      <w:r w:rsidRPr="00B806FD">
        <w:t xml:space="preserve">, 25 </w:t>
      </w:r>
      <w:r w:rsidRPr="00B806FD">
        <w:rPr>
          <w:smallCaps/>
        </w:rPr>
        <w:t>Nat'l. Conf. of State Legislatures</w:t>
      </w:r>
      <w:r w:rsidRPr="00B806FD">
        <w:t xml:space="preserve"> (2017), https://www.ncsl.org/research/redistricting/redistricting-criteria-legisbrief.aspx (last visited Dec. 28, 2022); Justin Levitt, </w:t>
      </w:r>
      <w:r w:rsidRPr="00B806FD">
        <w:rPr>
          <w:i/>
          <w:iCs/>
        </w:rPr>
        <w:t>Criteria for Congressional Districts</w:t>
      </w:r>
      <w:r w:rsidRPr="00B806FD">
        <w:t xml:space="preserve">, </w:t>
      </w:r>
      <w:r w:rsidRPr="00B806FD">
        <w:rPr>
          <w:smallCaps/>
        </w:rPr>
        <w:t>All About Redistricting</w:t>
      </w:r>
      <w:r w:rsidRPr="00B806FD">
        <w:t>, https://redistricting.lls.edu/redistricting-101/where-are-the-lines-drawn/criteria-for-congressional-districts/ [https://perma.cc/5Y75-LM6A] (last visited Dec. 28, 2022).</w:t>
      </w:r>
    </w:p>
  </w:footnote>
  <w:footnote w:id="11">
    <w:p w14:paraId="052F306A" w14:textId="602BFC0B"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bCs/>
          <w:i/>
          <w:iCs/>
        </w:rPr>
        <w:t xml:space="preserve">Infra </w:t>
      </w:r>
      <w:r w:rsidRPr="00B806FD">
        <w:rPr>
          <w:bCs/>
        </w:rPr>
        <w:t xml:space="preserve">note </w:t>
      </w:r>
      <w:r w:rsidRPr="00B806FD">
        <w:rPr>
          <w:bCs/>
        </w:rPr>
        <w:fldChar w:fldCharType="begin"/>
      </w:r>
      <w:r w:rsidRPr="00B806FD">
        <w:rPr>
          <w:bCs/>
        </w:rPr>
        <w:instrText xml:space="preserve"> NOTEREF _Ref122771879 \h  \* MERGEFORMAT </w:instrText>
      </w:r>
      <w:r w:rsidRPr="00B806FD">
        <w:rPr>
          <w:bCs/>
        </w:rPr>
      </w:r>
      <w:r w:rsidRPr="00B806FD">
        <w:rPr>
          <w:bCs/>
        </w:rPr>
        <w:fldChar w:fldCharType="separate"/>
      </w:r>
      <w:r w:rsidRPr="00B806FD">
        <w:rPr>
          <w:bCs/>
        </w:rPr>
        <w:t>72</w:t>
      </w:r>
      <w:r w:rsidRPr="00B806FD">
        <w:rPr>
          <w:bCs/>
        </w:rPr>
        <w:fldChar w:fldCharType="end"/>
      </w:r>
      <w:r w:rsidRPr="00B806FD">
        <w:rPr>
          <w:bCs/>
        </w:rPr>
        <w:t xml:space="preserve">. </w:t>
      </w:r>
    </w:p>
  </w:footnote>
  <w:footnote w:id="12">
    <w:p w14:paraId="7E610D53" w14:textId="4CF27B65"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noProof/>
        </w:rPr>
        <w:t>League of Women Voters of Pa. v. Commonwealth, 178 A.3d 737 (Pa. 2018).</w:t>
      </w:r>
    </w:p>
  </w:footnote>
  <w:footnote w:id="13">
    <w:p w14:paraId="6C49198B" w14:textId="2EC24795"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Joshua A Douglas, </w:t>
      </w:r>
      <w:r w:rsidRPr="00B806FD">
        <w:rPr>
          <w:i/>
          <w:iCs/>
        </w:rPr>
        <w:t>The Right to Vote Under State Constitutions</w:t>
      </w:r>
      <w:r w:rsidRPr="00B806FD">
        <w:t xml:space="preserve">, 67 </w:t>
      </w:r>
      <w:r w:rsidRPr="00B806FD">
        <w:rPr>
          <w:smallCaps/>
        </w:rPr>
        <w:t>Vand. L. Rev.</w:t>
      </w:r>
      <w:r w:rsidRPr="00B806FD">
        <w:t xml:space="preserve"> 89, 103-04 (2014)</w:t>
      </w:r>
      <w:r w:rsidRPr="00B806FD" w:rsidDel="008E485B">
        <w:t xml:space="preserve"> </w:t>
      </w:r>
      <w:r w:rsidRPr="00B806FD">
        <w:t>(providing information on the right to vote found in state constitutions).</w:t>
      </w:r>
    </w:p>
  </w:footnote>
  <w:footnote w:id="14">
    <w:p w14:paraId="4B65D505" w14:textId="7F3327E3" w:rsidR="008D703D" w:rsidRPr="00B806FD" w:rsidRDefault="008D703D" w:rsidP="00B806FD">
      <w:pPr>
        <w:pStyle w:val="FootnoteText"/>
      </w:pPr>
      <w:r w:rsidRPr="00B806FD">
        <w:rPr>
          <w:rStyle w:val="FootnoteReference"/>
        </w:rPr>
        <w:footnoteRef/>
      </w:r>
      <w:r w:rsidRPr="00B806FD">
        <w:t xml:space="preserve"> </w:t>
      </w:r>
      <w:r w:rsidRPr="00B806FD">
        <w:tab/>
        <w:t xml:space="preserve">As noted above, most states still have redistricting under legislative control; however, several states have advisory commissions or backup commissions if the legislature fails to pass a map.  </w:t>
      </w:r>
      <w:r w:rsidRPr="00B806FD">
        <w:rPr>
          <w:i/>
          <w:iCs/>
        </w:rPr>
        <w:t xml:space="preserve">Infra </w:t>
      </w:r>
      <w:r w:rsidRPr="00B806FD">
        <w:t xml:space="preserve">note </w:t>
      </w:r>
      <w:r w:rsidRPr="00B806FD">
        <w:fldChar w:fldCharType="begin"/>
      </w:r>
      <w:r w:rsidRPr="00B806FD">
        <w:instrText xml:space="preserve"> NOTEREF _Ref122704324 \h  \* MERGEFORMAT </w:instrText>
      </w:r>
      <w:r w:rsidRPr="00B806FD">
        <w:fldChar w:fldCharType="separate"/>
      </w:r>
      <w:r w:rsidRPr="00B806FD">
        <w:t>71</w:t>
      </w:r>
      <w:r w:rsidRPr="00B806FD">
        <w:fldChar w:fldCharType="end"/>
      </w:r>
      <w:r w:rsidRPr="00B806FD">
        <w:t xml:space="preserve">.  Additionally, states differ on the voting rule required to pass a map.  For instance, Ohio requires the legislature to pass a map with a supermajority; otherwise, a backup commission retains jurisdiction over the creation of a Congressional plan.  </w:t>
      </w:r>
      <w:r w:rsidRPr="00B806FD">
        <w:rPr>
          <w:smallCaps/>
        </w:rPr>
        <w:t>National Conference of State Legislatures</w:t>
      </w:r>
      <w:r w:rsidRPr="00B806FD">
        <w:t xml:space="preserve">, </w:t>
      </w:r>
      <w:r w:rsidRPr="00B806FD">
        <w:rPr>
          <w:i/>
          <w:iCs/>
        </w:rPr>
        <w:t>supra</w:t>
      </w:r>
      <w:r w:rsidRPr="00B806FD">
        <w:t xml:space="preserve"> note 7 at 91.</w:t>
      </w:r>
    </w:p>
  </w:footnote>
  <w:footnote w:id="15">
    <w:p w14:paraId="55CD2E10" w14:textId="034F5173"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noProof/>
        </w:rPr>
        <w:t>Cf.</w:t>
      </w:r>
      <w:r w:rsidRPr="00B806FD">
        <w:rPr>
          <w:noProof/>
        </w:rPr>
        <w:t xml:space="preserve"> </w:t>
      </w:r>
      <w:r w:rsidRPr="00B806FD">
        <w:t xml:space="preserve">Bernard Grofman &amp; Jonathan R. Cervas, </w:t>
      </w:r>
      <w:r w:rsidRPr="00B806FD">
        <w:rPr>
          <w:i/>
          <w:iCs/>
        </w:rPr>
        <w:t xml:space="preserve">Can State Courts Cure Partisan Gerrymandering: Lessons from </w:t>
      </w:r>
      <w:r w:rsidRPr="00B806FD">
        <w:t>League of Women Voters v. Commonwealth of Pennsylvania</w:t>
      </w:r>
      <w:r w:rsidRPr="00B806FD">
        <w:rPr>
          <w:i/>
          <w:iCs/>
        </w:rPr>
        <w:t xml:space="preserve"> (2018)</w:t>
      </w:r>
      <w:r w:rsidRPr="00B806FD">
        <w:t xml:space="preserve">, 17 </w:t>
      </w:r>
      <w:r w:rsidRPr="00B806FD">
        <w:rPr>
          <w:smallCaps/>
        </w:rPr>
        <w:t xml:space="preserve">Election Law J. Rules Pol. </w:t>
      </w:r>
      <w:proofErr w:type="spellStart"/>
      <w:r w:rsidRPr="00B806FD">
        <w:rPr>
          <w:smallCaps/>
        </w:rPr>
        <w:t>Pol'y</w:t>
      </w:r>
      <w:proofErr w:type="spellEnd"/>
      <w:r w:rsidRPr="00B806FD">
        <w:t xml:space="preserve"> 264 (2018).</w:t>
      </w:r>
    </w:p>
  </w:footnote>
  <w:footnote w:id="16">
    <w:p w14:paraId="3B6D08AF" w14:textId="741F8C7A"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 xml:space="preserve">See especially </w:t>
      </w:r>
      <w:r w:rsidRPr="00B806FD">
        <w:t xml:space="preserve">Baker v. </w:t>
      </w:r>
      <w:proofErr w:type="spellStart"/>
      <w:r w:rsidRPr="00B806FD">
        <w:t>Carr</w:t>
      </w:r>
      <w:proofErr w:type="spellEnd"/>
      <w:r w:rsidRPr="00B806FD">
        <w:t>, 369 U.S. 186</w:t>
      </w:r>
      <w:del w:id="122" w:author="Jonathan Cervas" w:date="2023-06-18T17:31:00Z">
        <w:r w:rsidRPr="00B806FD" w:rsidDel="00680191">
          <w:delText xml:space="preserve">, 197-98 </w:delText>
        </w:r>
      </w:del>
      <w:r w:rsidRPr="00B806FD">
        <w:t>(1962).</w:t>
      </w:r>
    </w:p>
  </w:footnote>
  <w:footnote w:id="17">
    <w:p w14:paraId="60F2F87D" w14:textId="36E1FEA4"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noProof/>
        </w:rPr>
        <w:t>Gaffney v. Cummings, 412 U.S. 735, 754 (1973).</w:t>
      </w:r>
    </w:p>
  </w:footnote>
  <w:footnote w:id="18">
    <w:p w14:paraId="6433C839" w14:textId="514EA6E4"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738. (stating that “the Board . . . created what was thought to be a proportionate number of Republican and Democratic legislative seats”).</w:t>
      </w:r>
    </w:p>
  </w:footnote>
  <w:footnote w:id="19">
    <w:p w14:paraId="3195135E" w14:textId="406EECDB"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754 (providing that “neither we nor the district courts have a constitutional warrant to invalidate a state plan, otherwise within tolerable population limits, because it undertakes, not to minimize or eliminate the political strength of any group or party, but to recognize it and, through districting, provide a rough sort of proportional representation in the legislative halls of the State.”).</w:t>
      </w:r>
    </w:p>
  </w:footnote>
  <w:footnote w:id="20">
    <w:p w14:paraId="3F14BCC3" w14:textId="2C7E6431" w:rsidR="008D703D" w:rsidRPr="00B806FD" w:rsidDel="00354FE1" w:rsidRDefault="008D703D" w:rsidP="00B806FD">
      <w:pPr>
        <w:pStyle w:val="FootnoteText"/>
        <w:rPr>
          <w:del w:id="124" w:author="Jonathan Cervas" w:date="2023-06-18T21:58:00Z"/>
        </w:rPr>
      </w:pPr>
      <w:del w:id="125" w:author="Jonathan Cervas" w:date="2023-06-18T21:58:00Z">
        <w:r w:rsidRPr="00B806FD" w:rsidDel="00354FE1">
          <w:rPr>
            <w:rStyle w:val="FootnoteReference"/>
          </w:rPr>
          <w:footnoteRef/>
        </w:r>
        <w:r w:rsidRPr="00B806FD" w:rsidDel="00354FE1">
          <w:delText xml:space="preserve"> </w:delText>
        </w:r>
        <w:r w:rsidRPr="00B806FD" w:rsidDel="00354FE1">
          <w:tab/>
        </w:r>
      </w:del>
      <w:ins w:id="126" w:author="Jonathan Cervas" w:date="2023-06-18T21:57:00Z">
        <w:del w:id="127" w:author="Jonathan Cervas" w:date="2023-06-18T21:58:00Z">
          <w:r w:rsidR="00354FE1" w:rsidRPr="00354FE1" w:rsidDel="00354FE1">
            <w:fldChar w:fldCharType="begin"/>
          </w:r>
          <w:r w:rsidR="00354FE1" w:rsidRPr="00354FE1" w:rsidDel="00354FE1">
            <w:delInstrText>HYPERLINK "https://scholar.google.com/scholar_case?case=10306918771787452160&amp;hl=en&amp;as_sdt=6,33"</w:delInstrText>
          </w:r>
          <w:r w:rsidR="00354FE1" w:rsidRPr="00354FE1" w:rsidDel="00354FE1">
            <w:fldChar w:fldCharType="separate"/>
          </w:r>
          <w:r w:rsidR="00354FE1" w:rsidRPr="00354FE1" w:rsidDel="00354FE1">
            <w:rPr>
              <w:rStyle w:val="Hyperlink"/>
              <w:i/>
              <w:iCs/>
            </w:rPr>
            <w:delText>Badham</w:delText>
          </w:r>
          <w:r w:rsidR="00354FE1" w:rsidRPr="00354FE1" w:rsidDel="00354FE1">
            <w:rPr>
              <w:rStyle w:val="Hyperlink"/>
              <w:rFonts w:eastAsiaTheme="minorEastAsia"/>
            </w:rPr>
            <w:delText> </w:delText>
          </w:r>
          <w:r w:rsidR="00354FE1" w:rsidRPr="00354FE1" w:rsidDel="00354FE1">
            <w:rPr>
              <w:rStyle w:val="Hyperlink"/>
            </w:rPr>
            <w:delText>v.</w:delText>
          </w:r>
          <w:r w:rsidR="00354FE1" w:rsidRPr="00354FE1" w:rsidDel="00354FE1">
            <w:rPr>
              <w:rStyle w:val="Hyperlink"/>
              <w:rFonts w:eastAsiaTheme="minorEastAsia"/>
            </w:rPr>
            <w:delText> </w:delText>
          </w:r>
          <w:r w:rsidR="00354FE1" w:rsidRPr="00354FE1" w:rsidDel="00354FE1">
            <w:rPr>
              <w:rStyle w:val="Hyperlink"/>
              <w:i/>
              <w:iCs/>
            </w:rPr>
            <w:delText>Eu,</w:delText>
          </w:r>
          <w:r w:rsidR="00354FE1" w:rsidRPr="00354FE1" w:rsidDel="00354FE1">
            <w:rPr>
              <w:rStyle w:val="Hyperlink"/>
              <w:rFonts w:eastAsiaTheme="minorEastAsia"/>
            </w:rPr>
            <w:delText> </w:delText>
          </w:r>
          <w:r w:rsidR="00354FE1" w:rsidRPr="00354FE1" w:rsidDel="00354FE1">
            <w:rPr>
              <w:rStyle w:val="Hyperlink"/>
            </w:rPr>
            <w:delText>694 F. Supp. 664, 666 (ND Cal. 1988),</w:delText>
          </w:r>
          <w:r w:rsidR="00354FE1" w:rsidRPr="00354FE1" w:rsidDel="00354FE1">
            <w:fldChar w:fldCharType="end"/>
          </w:r>
          <w:r w:rsidR="00354FE1" w:rsidRPr="00354FE1" w:rsidDel="00354FE1">
            <w:rPr>
              <w:rFonts w:eastAsiaTheme="minorEastAsia"/>
            </w:rPr>
            <w:delText> </w:delText>
          </w:r>
          <w:r w:rsidR="00354FE1" w:rsidRPr="00354FE1" w:rsidDel="00354FE1">
            <w:delText>summarily aff'd, 488 U. S. 1024 (1989)</w:delText>
          </w:r>
          <w:r w:rsidR="00354FE1" w:rsidRPr="00354FE1" w:rsidDel="00354FE1">
            <w:rPr>
              <w:rFonts w:eastAsiaTheme="minorEastAsia"/>
            </w:rPr>
            <w:delText> </w:delText>
          </w:r>
        </w:del>
      </w:ins>
      <w:del w:id="128" w:author="Jonathan Cervas" w:date="2023-06-18T21:58:00Z">
        <w:r w:rsidRPr="00B806FD" w:rsidDel="00354FE1">
          <w:rPr>
            <w:noProof/>
          </w:rPr>
          <w:delText xml:space="preserve">Badham v. Eu, 721 F.2d 1170, 1176 (1983), </w:delText>
        </w:r>
        <w:r w:rsidRPr="00B806FD" w:rsidDel="00354FE1">
          <w:rPr>
            <w:i/>
            <w:iCs/>
            <w:noProof/>
          </w:rPr>
          <w:delText>cert. denied</w:delText>
        </w:r>
        <w:r w:rsidRPr="00B806FD" w:rsidDel="00354FE1">
          <w:rPr>
            <w:noProof/>
          </w:rPr>
          <w:delText>,</w:delText>
        </w:r>
        <w:r w:rsidRPr="00B806FD" w:rsidDel="00354FE1">
          <w:delText xml:space="preserve"> 469 U.S. 1205 (1985).</w:delText>
        </w:r>
      </w:del>
    </w:p>
  </w:footnote>
  <w:footnote w:id="21">
    <w:p w14:paraId="199A66D9" w14:textId="21A8588E" w:rsidR="008D703D" w:rsidRPr="00DF2876" w:rsidRDefault="008D703D" w:rsidP="00B806FD">
      <w:pPr>
        <w:pStyle w:val="FootnoteText"/>
        <w:rPr>
          <w:u w:val="single"/>
          <w:rPrChange w:id="129" w:author="Jonathan Cervas" w:date="2023-06-18T21:39:00Z">
            <w:rPr/>
          </w:rPrChange>
        </w:rPr>
      </w:pPr>
      <w:r w:rsidRPr="00B806FD">
        <w:rPr>
          <w:rStyle w:val="FootnoteReference"/>
        </w:rPr>
        <w:footnoteRef/>
      </w:r>
      <w:r w:rsidRPr="00B806FD">
        <w:t xml:space="preserve"> </w:t>
      </w:r>
      <w:r w:rsidRPr="00B806FD">
        <w:tab/>
      </w:r>
      <w:proofErr w:type="spellStart"/>
      <w:ins w:id="130" w:author="Jonathan Cervas" w:date="2023-06-18T21:26:00Z">
        <w:r w:rsidR="00032066" w:rsidRPr="00032066">
          <w:rPr>
            <w:u w:val="single"/>
          </w:rPr>
          <w:t>Badham</w:t>
        </w:r>
        <w:proofErr w:type="spellEnd"/>
        <w:r w:rsidR="00032066" w:rsidRPr="00032066">
          <w:rPr>
            <w:u w:val="single"/>
          </w:rPr>
          <w:t xml:space="preserve"> v. Eu</w:t>
        </w:r>
        <w:r w:rsidR="00032066" w:rsidRPr="00032066">
          <w:t>, 694 F. Supp. 664, 666 (N.D. Cal. 1988), </w:t>
        </w:r>
        <w:r w:rsidR="00032066" w:rsidRPr="00032066">
          <w:rPr>
            <w:u w:val="single"/>
          </w:rPr>
          <w:t>aff'd sub nom.</w:t>
        </w:r>
        <w:r w:rsidR="00032066" w:rsidRPr="00032066">
          <w:t> </w:t>
        </w:r>
        <w:proofErr w:type="spellStart"/>
        <w:r w:rsidR="00032066" w:rsidRPr="00032066">
          <w:rPr>
            <w:u w:val="single"/>
          </w:rPr>
          <w:t>Badham</w:t>
        </w:r>
        <w:proofErr w:type="spellEnd"/>
        <w:r w:rsidR="00032066" w:rsidRPr="00032066">
          <w:rPr>
            <w:u w:val="single"/>
          </w:rPr>
          <w:t xml:space="preserve"> v. Eu</w:t>
        </w:r>
        <w:r w:rsidR="00032066" w:rsidRPr="00032066">
          <w:t>, 488 U.S. 1024, 109 S. Ct. 829, 102 L. Ed. 2d 962 (1989)</w:t>
        </w:r>
      </w:ins>
      <w:ins w:id="131" w:author="Jonathan Cervas" w:date="2023-06-18T21:27:00Z">
        <w:r w:rsidR="00032066">
          <w:t xml:space="preserve"> </w:t>
        </w:r>
      </w:ins>
      <w:del w:id="132" w:author="Jonathan Cervas" w:date="2023-06-18T21:26:00Z">
        <w:r w:rsidRPr="00B806FD" w:rsidDel="00032066">
          <w:rPr>
            <w:i/>
            <w:iCs/>
          </w:rPr>
          <w:delText>Id.</w:delText>
        </w:r>
        <w:r w:rsidRPr="00B806FD" w:rsidDel="00032066">
          <w:delText xml:space="preserve"> at 1179.</w:delText>
        </w:r>
      </w:del>
      <w:ins w:id="133" w:author="Jonathan Cervas" w:date="2023-06-18T21:27:00Z">
        <w:r w:rsidR="00032066">
          <w:t>(“</w:t>
        </w:r>
      </w:ins>
      <w:ins w:id="134" w:author="Jonathan Cervas" w:date="2023-06-18T21:26:00Z">
        <w:r w:rsidR="00032066" w:rsidRPr="00032066">
          <w:t>We hold that plaintiffs have not alleged, and on this record cannot allege, facts sufficient to state a claim under the Supreme Court's holding in </w:t>
        </w:r>
        <w:r w:rsidR="00032066" w:rsidRPr="00032066">
          <w:rPr>
            <w:i/>
            <w:iCs/>
          </w:rPr>
          <w:t xml:space="preserve">Davis v. </w:t>
        </w:r>
        <w:proofErr w:type="spellStart"/>
        <w:r w:rsidR="00032066" w:rsidRPr="00032066">
          <w:rPr>
            <w:i/>
            <w:iCs/>
          </w:rPr>
          <w:t>Bandemer</w:t>
        </w:r>
        <w:proofErr w:type="spellEnd"/>
        <w:r w:rsidR="00032066" w:rsidRPr="00032066">
          <w:rPr>
            <w:i/>
            <w:iCs/>
          </w:rPr>
          <w:t>,</w:t>
        </w:r>
        <w:r w:rsidR="00032066" w:rsidRPr="00032066">
          <w:t xml:space="preserve"> 478 U.S. 109, 106 </w:t>
        </w:r>
        <w:proofErr w:type="spellStart"/>
        <w:r w:rsidR="00032066" w:rsidRPr="00032066">
          <w:t>S.Ct</w:t>
        </w:r>
        <w:proofErr w:type="spellEnd"/>
        <w:r w:rsidR="00032066" w:rsidRPr="00032066">
          <w:t>. 2797, 92 L.Ed.2d 85 (1986). Accordingly, the motion to dismiss is granted with prejudice.</w:t>
        </w:r>
      </w:ins>
      <w:ins w:id="135" w:author="Jonathan Cervas" w:date="2023-06-18T21:27:00Z">
        <w:r w:rsidR="00032066">
          <w:t>”)</w:t>
        </w:r>
      </w:ins>
    </w:p>
  </w:footnote>
  <w:footnote w:id="22">
    <w:p w14:paraId="53685CC9" w14:textId="381D7A7F" w:rsidR="008D703D" w:rsidRPr="00B806FD" w:rsidRDefault="008D703D" w:rsidP="00B806FD">
      <w:pPr>
        <w:pStyle w:val="FootnoteText"/>
      </w:pPr>
      <w:r w:rsidRPr="00B806FD">
        <w:rPr>
          <w:rStyle w:val="FootnoteReference"/>
        </w:rPr>
        <w:footnoteRef/>
      </w:r>
      <w:r w:rsidRPr="00B806FD">
        <w:t xml:space="preserve"> </w:t>
      </w:r>
      <w:r w:rsidRPr="00B806FD">
        <w:tab/>
      </w:r>
      <w:del w:id="136" w:author="Jonathan Cervas" w:date="2023-06-18T23:51:00Z">
        <w:r w:rsidRPr="00B806FD" w:rsidDel="00064077">
          <w:rPr>
            <w:noProof/>
          </w:rPr>
          <w:delText>Davis v. Bandemer, 478 U.S. 109</w:delText>
        </w:r>
      </w:del>
      <w:del w:id="137" w:author="Jonathan Cervas" w:date="2023-06-18T23:50:00Z">
        <w:r w:rsidRPr="00B806FD" w:rsidDel="00064077">
          <w:rPr>
            <w:noProof/>
          </w:rPr>
          <w:delText xml:space="preserve">, 140 </w:delText>
        </w:r>
      </w:del>
      <w:del w:id="138" w:author="Jonathan Cervas" w:date="2023-06-18T23:51:00Z">
        <w:r w:rsidRPr="00B806FD" w:rsidDel="00064077">
          <w:rPr>
            <w:noProof/>
          </w:rPr>
          <w:delText>(1986).</w:delText>
        </w:r>
      </w:del>
      <w:ins w:id="139" w:author="Jonathan Cervas" w:date="2023-06-18T23:52:00Z">
        <w:r w:rsidR="00064077" w:rsidRPr="00064077">
          <w:t xml:space="preserve"> </w:t>
        </w:r>
        <w:r w:rsidR="00064077" w:rsidRPr="00064077">
          <w:rPr>
            <w:noProof/>
          </w:rPr>
          <w:t>Davis v. Bandemer, 478 U.S. 109, 110, 106 S. Ct. 2797, 2798, 92 L. Ed. 2d 85 (1986), abrogated by Rucho v. Common Cause, 204 L. Ed. 2d 931, 139 S. Ct. 2484 (2019)</w:t>
        </w:r>
        <w:r w:rsidR="00064077">
          <w:rPr>
            <w:noProof/>
          </w:rPr>
          <w:t>. (“</w:t>
        </w:r>
        <w:r w:rsidR="00064077" w:rsidRPr="00064077">
          <w:rPr>
            <w:noProof/>
          </w:rPr>
          <w:t>The claim is whether each political group in the State should have the same chance to elect representatives of its choice as any other political group, and this Court declines to hold that such claim is never justiciable</w:t>
        </w:r>
        <w:r w:rsidR="00064077">
          <w:rPr>
            <w:noProof/>
          </w:rPr>
          <w:t>.”)</w:t>
        </w:r>
        <w:r w:rsidR="00064077" w:rsidRPr="00064077">
          <w:rPr>
            <w:noProof/>
          </w:rPr>
          <w:t xml:space="preserve"> </w:t>
        </w:r>
      </w:ins>
    </w:p>
  </w:footnote>
  <w:footnote w:id="23">
    <w:p w14:paraId="65BC6F92" w14:textId="77CF51AC"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113.</w:t>
      </w:r>
      <w:ins w:id="140" w:author="Jonathan Cervas" w:date="2023-06-18T23:53:00Z">
        <w:r w:rsidR="00064077">
          <w:t xml:space="preserve"> (“</w:t>
        </w:r>
        <w:r w:rsidR="00064077" w:rsidRPr="00064077">
          <w:t>Although we find such political gerrymandering to be justiciable, we conclude that the District Court applied an insufficiently demanding standard in finding unconstitutional vote dilution. Consequently, we reverse.</w:t>
        </w:r>
        <w:r w:rsidR="00064077">
          <w:t>”)</w:t>
        </w:r>
      </w:ins>
    </w:p>
  </w:footnote>
  <w:footnote w:id="24">
    <w:p w14:paraId="09112B1B" w14:textId="4B64FF54"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139 (stating that “[</w:t>
      </w:r>
      <w:proofErr w:type="spellStart"/>
      <w:r w:rsidRPr="00B806FD">
        <w:t>i</w:t>
      </w:r>
      <w:proofErr w:type="spellEnd"/>
      <w:r w:rsidRPr="00B806FD">
        <w:t>]n those cases, the racial minorities asserting the successful equal protection claims had essentially been shut out of the political process.”).</w:t>
      </w:r>
    </w:p>
  </w:footnote>
  <w:footnote w:id="25">
    <w:p w14:paraId="72AF4FF8" w14:textId="1A6C4632"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rPr>
          <w:i/>
          <w:iCs/>
        </w:rPr>
        <w:t>e.g.,</w:t>
      </w:r>
      <w:r w:rsidRPr="00B806FD">
        <w:t xml:space="preserve"> Republican Party of North Carolina v. Martin, 980 F.2d 943, 947 (4th Cir. 1992).</w:t>
      </w:r>
    </w:p>
  </w:footnote>
  <w:footnote w:id="26">
    <w:p w14:paraId="4A9BE0E4" w14:textId="5CAD3017"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 e.g.</w:t>
      </w:r>
      <w:r w:rsidRPr="00B806FD">
        <w:t>, Duckworth v. State Admin. Bd. of Election L</w:t>
      </w:r>
      <w:r w:rsidRPr="00B806FD">
        <w:rPr>
          <w:i/>
          <w:iCs/>
        </w:rPr>
        <w:t>.</w:t>
      </w:r>
      <w:r w:rsidRPr="00B806FD">
        <w:t xml:space="preserve">, 332 F.3d 769 (4th Cir. 2003); Smith v. Boyle, 144 F.3d 1060 (7th Cir. 1998); La Porte County Republican Cent. Comm. v. Bd. of Comm'rs of County of La Porte, 43 F.3d 1126 (7th Cir. 1994).  </w:t>
      </w:r>
      <w:r w:rsidRPr="00B806FD">
        <w:rPr>
          <w:i/>
          <w:iCs/>
        </w:rPr>
        <w:t xml:space="preserve">See </w:t>
      </w:r>
      <w:proofErr w:type="spellStart"/>
      <w:r w:rsidRPr="00B806FD">
        <w:t>Vieth</w:t>
      </w:r>
      <w:proofErr w:type="spellEnd"/>
      <w:r w:rsidRPr="00B806FD">
        <w:t xml:space="preserve"> v. Jubelirer, 541 U.S. 267, 280 (2004) note 6.</w:t>
      </w:r>
      <w:r w:rsidRPr="00B806FD">
        <w:rPr>
          <w:i/>
          <w:iCs/>
        </w:rPr>
        <w:t xml:space="preserve">  </w:t>
      </w:r>
      <w:r w:rsidRPr="00B806FD">
        <w:t xml:space="preserve">In </w:t>
      </w:r>
      <w:proofErr w:type="spellStart"/>
      <w:r w:rsidRPr="00B806FD">
        <w:rPr>
          <w:i/>
          <w:iCs/>
        </w:rPr>
        <w:t>Vieth</w:t>
      </w:r>
      <w:proofErr w:type="spellEnd"/>
      <w:r w:rsidRPr="00B806FD">
        <w:t>, Justice Scalia listed a multitude of cases post-</w:t>
      </w:r>
      <w:proofErr w:type="spellStart"/>
      <w:r w:rsidRPr="00B806FD">
        <w:rPr>
          <w:i/>
          <w:iCs/>
        </w:rPr>
        <w:t>Bandemer</w:t>
      </w:r>
      <w:proofErr w:type="spellEnd"/>
      <w:r w:rsidRPr="00B806FD">
        <w:rPr>
          <w:i/>
          <w:iCs/>
        </w:rPr>
        <w:t xml:space="preserve"> </w:t>
      </w:r>
      <w:r w:rsidRPr="00B806FD">
        <w:t>involving partisan gerrymandering claims where relief was denied.</w:t>
      </w:r>
    </w:p>
  </w:footnote>
  <w:footnote w:id="27">
    <w:p w14:paraId="590F7826" w14:textId="5D015F41" w:rsidR="008D703D" w:rsidRPr="00B806FD" w:rsidRDefault="008D703D" w:rsidP="00B806FD">
      <w:pPr>
        <w:pStyle w:val="FootnoteText"/>
      </w:pPr>
      <w:r w:rsidRPr="00B806FD">
        <w:rPr>
          <w:rStyle w:val="FootnoteReference"/>
        </w:rPr>
        <w:footnoteRef/>
      </w:r>
      <w:r w:rsidRPr="00B806FD">
        <w:t xml:space="preserve"> </w:t>
      </w:r>
      <w:r w:rsidRPr="00B806FD">
        <w:tab/>
      </w:r>
      <w:proofErr w:type="spellStart"/>
      <w:r w:rsidRPr="00B806FD">
        <w:rPr>
          <w:i/>
          <w:iCs/>
        </w:rPr>
        <w:t>Vieth</w:t>
      </w:r>
      <w:proofErr w:type="spellEnd"/>
      <w:r w:rsidRPr="00B806FD">
        <w:t>, 541 U.S. at 271-72.</w:t>
      </w:r>
    </w:p>
  </w:footnote>
  <w:footnote w:id="28">
    <w:p w14:paraId="4181242B" w14:textId="7938941C"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305–06.</w:t>
      </w:r>
    </w:p>
  </w:footnote>
  <w:footnote w:id="29">
    <w:p w14:paraId="125561B6" w14:textId="2BCFCE32"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 id.</w:t>
      </w:r>
      <w:r w:rsidRPr="00B806FD">
        <w:t xml:space="preserve"> at 317.</w:t>
      </w:r>
      <w:r w:rsidRPr="00B806FD">
        <w:rPr>
          <w:i/>
          <w:iCs/>
        </w:rPr>
        <w:t xml:space="preserve"> </w:t>
      </w:r>
      <w:r w:rsidRPr="00B806FD">
        <w:t xml:space="preserve">(Stevens, J., dissenting); </w:t>
      </w:r>
      <w:r w:rsidRPr="00B806FD">
        <w:rPr>
          <w:i/>
          <w:iCs/>
        </w:rPr>
        <w:t>see also</w:t>
      </w:r>
      <w:r w:rsidRPr="00B806FD">
        <w:t xml:space="preserve"> </w:t>
      </w:r>
      <w:r w:rsidRPr="00B806FD">
        <w:rPr>
          <w:smallCaps/>
        </w:rPr>
        <w:t>Anthony J. McGann et al.</w:t>
      </w:r>
      <w:r w:rsidRPr="00B806FD">
        <w:t xml:space="preserve">, </w:t>
      </w:r>
      <w:r w:rsidRPr="00B806FD">
        <w:rPr>
          <w:smallCaps/>
        </w:rPr>
        <w:t>Gerrymandering in America: the House of Representatives, the Supreme Court, and The Future of Popular Sovereignty</w:t>
      </w:r>
      <w:r w:rsidRPr="00B806FD">
        <w:t xml:space="preserve"> 22 (2016).</w:t>
      </w:r>
    </w:p>
  </w:footnote>
  <w:footnote w:id="30">
    <w:p w14:paraId="70923FA8" w14:textId="40BD7B31" w:rsidR="008D703D" w:rsidRPr="00B806FD" w:rsidRDefault="008D703D" w:rsidP="00B806FD">
      <w:pPr>
        <w:pStyle w:val="FootnoteText"/>
      </w:pPr>
      <w:r w:rsidRPr="00B806FD">
        <w:rPr>
          <w:rStyle w:val="FootnoteReference"/>
        </w:rPr>
        <w:footnoteRef/>
      </w:r>
      <w:r w:rsidRPr="00B806FD">
        <w:t xml:space="preserve"> </w:t>
      </w:r>
      <w:r w:rsidRPr="00B806FD">
        <w:tab/>
      </w:r>
      <w:proofErr w:type="spellStart"/>
      <w:r w:rsidRPr="00B806FD">
        <w:rPr>
          <w:i/>
          <w:iCs/>
        </w:rPr>
        <w:t>Vieth</w:t>
      </w:r>
      <w:proofErr w:type="spellEnd"/>
      <w:r w:rsidRPr="00B806FD">
        <w:t>, 541 U.S. at 306.</w:t>
      </w:r>
    </w:p>
  </w:footnote>
  <w:footnote w:id="31">
    <w:p w14:paraId="35A1073E" w14:textId="6A214E7C"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 generally,</w:t>
      </w:r>
      <w:r w:rsidRPr="00B806FD">
        <w:t xml:space="preserve"> </w:t>
      </w:r>
      <w:r w:rsidRPr="00B806FD">
        <w:rPr>
          <w:i/>
          <w:iCs/>
        </w:rPr>
        <w:t>id.</w:t>
      </w:r>
      <w:r w:rsidRPr="00B806FD">
        <w:t xml:space="preserve"> at 317 (Stevens, J. dissenting); </w:t>
      </w:r>
      <w:r w:rsidRPr="00B806FD">
        <w:rPr>
          <w:i/>
          <w:iCs/>
        </w:rPr>
        <w:t>id.</w:t>
      </w:r>
      <w:r w:rsidRPr="00B806FD">
        <w:t xml:space="preserve"> at 343 (</w:t>
      </w:r>
      <w:proofErr w:type="spellStart"/>
      <w:proofErr w:type="gramStart"/>
      <w:r w:rsidRPr="00B806FD">
        <w:t>Souter,J</w:t>
      </w:r>
      <w:proofErr w:type="spellEnd"/>
      <w:r w:rsidRPr="00B806FD">
        <w:t>.</w:t>
      </w:r>
      <w:proofErr w:type="gramEnd"/>
      <w:r w:rsidRPr="00B806FD">
        <w:t xml:space="preserve">, with Ginsberg, J., dissenting); </w:t>
      </w:r>
      <w:r w:rsidRPr="00B806FD">
        <w:rPr>
          <w:i/>
          <w:iCs/>
        </w:rPr>
        <w:t>id.</w:t>
      </w:r>
      <w:r w:rsidRPr="00B806FD">
        <w:t xml:space="preserve"> at 355. (Breyer, J., dissenting).  </w:t>
      </w:r>
      <w:r w:rsidRPr="00B806FD">
        <w:rPr>
          <w:i/>
          <w:iCs/>
        </w:rPr>
        <w:t>See also</w:t>
      </w:r>
      <w:r w:rsidRPr="00B806FD">
        <w:t xml:space="preserve"> J. Clark Kelso, Vieth v. Jubelirer</w:t>
      </w:r>
      <w:r w:rsidRPr="00B806FD">
        <w:rPr>
          <w:i/>
          <w:iCs/>
        </w:rPr>
        <w:t>: Judicial Review of Political Gerrymanders</w:t>
      </w:r>
      <w:r w:rsidRPr="00B806FD">
        <w:t xml:space="preserve">, 3 </w:t>
      </w:r>
      <w:r w:rsidRPr="00B806FD">
        <w:rPr>
          <w:smallCaps/>
        </w:rPr>
        <w:t xml:space="preserve">Election L. J. Rules Pol. </w:t>
      </w:r>
      <w:proofErr w:type="spellStart"/>
      <w:r w:rsidRPr="00B806FD">
        <w:rPr>
          <w:smallCaps/>
        </w:rPr>
        <w:t>Pol'y</w:t>
      </w:r>
      <w:proofErr w:type="spellEnd"/>
      <w:r w:rsidRPr="00B806FD">
        <w:t xml:space="preserve"> 47 (2004).</w:t>
      </w:r>
    </w:p>
  </w:footnote>
  <w:footnote w:id="32">
    <w:p w14:paraId="7D9FAF0F" w14:textId="4422D694" w:rsidR="008D703D" w:rsidRPr="00B806FD" w:rsidRDefault="008D703D" w:rsidP="00B806FD">
      <w:pPr>
        <w:pStyle w:val="FootnoteText"/>
      </w:pPr>
      <w:r w:rsidRPr="00B806FD">
        <w:rPr>
          <w:rStyle w:val="FootnoteReference"/>
        </w:rPr>
        <w:footnoteRef/>
      </w:r>
      <w:r w:rsidRPr="00B806FD">
        <w:t xml:space="preserve"> </w:t>
      </w:r>
      <w:r w:rsidRPr="00B806FD">
        <w:tab/>
      </w:r>
      <w:proofErr w:type="spellStart"/>
      <w:r w:rsidRPr="00B806FD">
        <w:rPr>
          <w:i/>
          <w:iCs/>
        </w:rPr>
        <w:t>Vieth</w:t>
      </w:r>
      <w:proofErr w:type="spellEnd"/>
      <w:r w:rsidRPr="00B806FD">
        <w:t>, 541 U.S. at 269.</w:t>
      </w:r>
    </w:p>
  </w:footnote>
  <w:footnote w:id="33">
    <w:p w14:paraId="720BD4F9" w14:textId="068B1FA5" w:rsidR="008D703D" w:rsidRPr="00B806FD" w:rsidRDefault="008D703D" w:rsidP="00B806FD">
      <w:pPr>
        <w:pStyle w:val="FootnoteText"/>
      </w:pPr>
      <w:r w:rsidRPr="00B806FD">
        <w:rPr>
          <w:rStyle w:val="FootnoteReference"/>
        </w:rPr>
        <w:footnoteRef/>
      </w:r>
      <w:r w:rsidRPr="00B806FD">
        <w:t xml:space="preserve"> </w:t>
      </w:r>
      <w:r w:rsidRPr="00B806FD">
        <w:tab/>
        <w:t xml:space="preserve">For an overview of </w:t>
      </w:r>
      <w:proofErr w:type="spellStart"/>
      <w:r w:rsidRPr="00B806FD">
        <w:rPr>
          <w:i/>
          <w:iCs/>
        </w:rPr>
        <w:t>Vieth</w:t>
      </w:r>
      <w:proofErr w:type="spellEnd"/>
      <w:r w:rsidRPr="00B806FD">
        <w:rPr>
          <w:i/>
          <w:iCs/>
        </w:rPr>
        <w:t>,</w:t>
      </w:r>
      <w:r w:rsidRPr="00B806FD">
        <w:t xml:space="preserve"> see </w:t>
      </w:r>
      <w:r w:rsidRPr="00B806FD">
        <w:rPr>
          <w:smallCaps/>
        </w:rPr>
        <w:t>McGann et al.</w:t>
      </w:r>
      <w:r w:rsidRPr="00B806FD">
        <w:t xml:space="preserve">, </w:t>
      </w:r>
      <w:r w:rsidRPr="00B806FD">
        <w:rPr>
          <w:i/>
          <w:iCs/>
        </w:rPr>
        <w:t>supra</w:t>
      </w:r>
      <w:r w:rsidRPr="00B806FD">
        <w:t xml:space="preserve"> note </w:t>
      </w:r>
      <w:ins w:id="142" w:author="Jonathan Cervas" w:date="2023-06-29T15:48:00Z">
        <w:r w:rsidR="006C5DE6">
          <w:fldChar w:fldCharType="begin"/>
        </w:r>
        <w:r w:rsidR="006C5DE6">
          <w:instrText xml:space="preserve"> NOTEREF _Ref138946114 \h </w:instrText>
        </w:r>
      </w:ins>
      <w:r w:rsidR="006C5DE6">
        <w:fldChar w:fldCharType="separate"/>
      </w:r>
      <w:ins w:id="143" w:author="Jonathan Cervas" w:date="2023-06-29T15:48:00Z">
        <w:r w:rsidR="006C5DE6">
          <w:t>29</w:t>
        </w:r>
        <w:r w:rsidR="006C5DE6">
          <w:fldChar w:fldCharType="end"/>
        </w:r>
      </w:ins>
      <w:del w:id="144" w:author="Jonathan Cervas" w:date="2023-06-29T15:48:00Z">
        <w:r w:rsidRPr="00B806FD" w:rsidDel="006C5DE6">
          <w:delText>29</w:delText>
        </w:r>
      </w:del>
      <w:r w:rsidRPr="00B806FD">
        <w:t>, at 52.</w:t>
      </w:r>
    </w:p>
  </w:footnote>
  <w:footnote w:id="34">
    <w:p w14:paraId="4AF63E7B" w14:textId="0538AEC2" w:rsidR="008D703D" w:rsidRPr="00B806FD" w:rsidRDefault="008D703D" w:rsidP="00B806FD">
      <w:pPr>
        <w:pStyle w:val="FootnoteText"/>
      </w:pPr>
      <w:r w:rsidRPr="00B806FD">
        <w:rPr>
          <w:rStyle w:val="FootnoteReference"/>
        </w:rPr>
        <w:footnoteRef/>
      </w:r>
      <w:r w:rsidRPr="00B806FD">
        <w:t xml:space="preserve"> </w:t>
      </w:r>
      <w:r w:rsidRPr="00B806FD">
        <w:tab/>
      </w:r>
      <w:proofErr w:type="spellStart"/>
      <w:r w:rsidRPr="00B806FD">
        <w:rPr>
          <w:i/>
          <w:iCs/>
        </w:rPr>
        <w:t>Vieth</w:t>
      </w:r>
      <w:proofErr w:type="spellEnd"/>
      <w:r w:rsidRPr="00B806FD">
        <w:t>, 541 U.S. at 2</w:t>
      </w:r>
      <w:ins w:id="145" w:author="Jonathan Cervas" w:date="2023-06-20T15:05:00Z">
        <w:r w:rsidR="00DD7CD7">
          <w:t>68</w:t>
        </w:r>
      </w:ins>
      <w:del w:id="146" w:author="Jonathan Cervas" w:date="2023-06-20T15:05:00Z">
        <w:r w:rsidRPr="00B806FD" w:rsidDel="00DD7CD7">
          <w:delText>91</w:delText>
        </w:r>
      </w:del>
      <w:r w:rsidRPr="00B806FD">
        <w:t>.</w:t>
      </w:r>
    </w:p>
  </w:footnote>
  <w:footnote w:id="35">
    <w:p w14:paraId="63C7CF6B" w14:textId="4C419D85"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noProof/>
        </w:rPr>
        <w:t>League of United Latin Am. Citizens v. Perry, 548 U.S. 399, 447 (2006).</w:t>
      </w:r>
      <w:ins w:id="147" w:author="Jonathan Cervas" w:date="2023-06-20T15:08:00Z">
        <w:r w:rsidR="00DD7CD7">
          <w:rPr>
            <w:noProof/>
          </w:rPr>
          <w:t xml:space="preserve"> (“</w:t>
        </w:r>
        <w:r w:rsidR="00DD7CD7" w:rsidRPr="00DD7CD7">
          <w:rPr>
            <w:noProof/>
          </w:rPr>
          <w:t>We reject the statewide challenge to Texas' redistricting as an unconstitutional political gerrymander</w:t>
        </w:r>
      </w:ins>
      <w:ins w:id="148" w:author="Jonathan Cervas" w:date="2023-06-20T15:09:00Z">
        <w:r w:rsidR="00DD7CD7">
          <w:rPr>
            <w:noProof/>
          </w:rPr>
          <w:t>.</w:t>
        </w:r>
      </w:ins>
      <w:ins w:id="149" w:author="Jonathan Cervas" w:date="2023-06-20T15:08:00Z">
        <w:r w:rsidR="00DD7CD7">
          <w:rPr>
            <w:noProof/>
          </w:rPr>
          <w:t>”)</w:t>
        </w:r>
      </w:ins>
    </w:p>
  </w:footnote>
  <w:footnote w:id="36">
    <w:p w14:paraId="036D3ACE" w14:textId="2B39A68F" w:rsidR="008D703D" w:rsidRPr="00B806FD" w:rsidRDefault="008D703D" w:rsidP="00B806FD">
      <w:pPr>
        <w:pStyle w:val="FootnoteText"/>
      </w:pPr>
      <w:r w:rsidRPr="00B806FD">
        <w:rPr>
          <w:rStyle w:val="FootnoteReference"/>
        </w:rPr>
        <w:footnoteRef/>
      </w:r>
      <w:r w:rsidRPr="00B806FD">
        <w:t xml:space="preserve"> </w:t>
      </w:r>
      <w:r w:rsidRPr="00B806FD">
        <w:tab/>
        <w:t xml:space="preserve">Bernard Grofman &amp; Gary King, </w:t>
      </w:r>
      <w:r w:rsidRPr="00B806FD">
        <w:rPr>
          <w:i/>
          <w:iCs/>
        </w:rPr>
        <w:t xml:space="preserve">The Future of Partisan Symmetry as a Judicial Test for Partisan Gerrymandering after </w:t>
      </w:r>
      <w:r w:rsidRPr="00B806FD">
        <w:t xml:space="preserve">LULAC v. Perry, 6 </w:t>
      </w:r>
      <w:r w:rsidRPr="00B806FD">
        <w:rPr>
          <w:smallCaps/>
        </w:rPr>
        <w:t>Election L. J. Rules Pol. Pol'y</w:t>
      </w:r>
      <w:r w:rsidRPr="00B806FD">
        <w:t xml:space="preserve"> 2 (2007), http://www.liebertpub.com/doi/10.1089/elj.2006.6002 [https://perma.cc/C9CL-MLN8] (last visited Oct. 18, 2022).</w:t>
      </w:r>
    </w:p>
  </w:footnote>
  <w:footnote w:id="37">
    <w:p w14:paraId="107598C7" w14:textId="04202765" w:rsidR="008D703D" w:rsidRPr="00B806FD" w:rsidRDefault="008D703D" w:rsidP="00B806FD">
      <w:pPr>
        <w:pStyle w:val="FootnoteText"/>
      </w:pPr>
      <w:r w:rsidRPr="00B806FD">
        <w:rPr>
          <w:rStyle w:val="FootnoteReference"/>
        </w:rPr>
        <w:footnoteRef/>
      </w:r>
      <w:r w:rsidRPr="00B806FD">
        <w:t xml:space="preserve"> </w:t>
      </w:r>
      <w:r w:rsidRPr="00B806FD">
        <w:tab/>
        <w:t xml:space="preserve">Kristopher </w:t>
      </w:r>
      <w:proofErr w:type="spellStart"/>
      <w:r w:rsidRPr="00B806FD">
        <w:t>Tapp</w:t>
      </w:r>
      <w:proofErr w:type="spellEnd"/>
      <w:r w:rsidRPr="00B806FD">
        <w:t xml:space="preserve">, </w:t>
      </w:r>
      <w:r w:rsidRPr="00B806FD">
        <w:rPr>
          <w:i/>
          <w:iCs/>
        </w:rPr>
        <w:t>Measuring Political Gerrymandering</w:t>
      </w:r>
      <w:r w:rsidRPr="00B806FD">
        <w:t xml:space="preserve">, 126 </w:t>
      </w:r>
      <w:r w:rsidRPr="00B806FD">
        <w:rPr>
          <w:smallCaps/>
        </w:rPr>
        <w:t>Am. Mathematical Monthly</w:t>
      </w:r>
      <w:r w:rsidRPr="00B806FD">
        <w:t xml:space="preserve"> 593 (2019) (“Motivated by Kennedy’s criteria, Stephanopoulos and McGhee proposed their efficiency gap formula to measure the degree of partisan gerrymandering in an election [11, 16].  Their formula was one key to the plaintiffs’ success in the Gill v. Whitford (2016 case)”); Moon Duchin, </w:t>
      </w:r>
      <w:r w:rsidRPr="00B806FD">
        <w:rPr>
          <w:i/>
          <w:iCs/>
        </w:rPr>
        <w:t>Outlier Analysis for Pennsylvania Congressional Redistricting</w:t>
      </w:r>
      <w:r w:rsidRPr="00B806FD">
        <w:t xml:space="preserve">, </w:t>
      </w:r>
      <w:r w:rsidRPr="00B806FD">
        <w:rPr>
          <w:smallCaps/>
        </w:rPr>
        <w:t>Tech. Rep.</w:t>
      </w:r>
      <w:r w:rsidRPr="00B806FD">
        <w:t xml:space="preserve"> 18 (2018); Jonathan Rodden &amp; Thomas Weighill, </w:t>
      </w:r>
      <w:r w:rsidRPr="00B806FD">
        <w:rPr>
          <w:i/>
          <w:iCs/>
        </w:rPr>
        <w:t>Political Geography and Representation: A Case Study of Districting in Pennsylvania</w:t>
      </w:r>
      <w:r w:rsidRPr="00B806FD">
        <w:t xml:space="preserve">, </w:t>
      </w:r>
      <w:r w:rsidRPr="00B806FD">
        <w:rPr>
          <w:i/>
          <w:iCs/>
        </w:rPr>
        <w:t>in</w:t>
      </w:r>
      <w:r w:rsidRPr="00B806FD">
        <w:t xml:space="preserve"> </w:t>
      </w:r>
      <w:r w:rsidRPr="00B806FD">
        <w:rPr>
          <w:smallCaps/>
        </w:rPr>
        <w:t>Political Geometry</w:t>
      </w:r>
      <w:r w:rsidRPr="00B806FD">
        <w:t xml:space="preserve"> 101 (Moon Duchin &amp; Olivia Walch eds., 2022).</w:t>
      </w:r>
    </w:p>
  </w:footnote>
  <w:footnote w:id="38">
    <w:p w14:paraId="0A72B6A7" w14:textId="0A498E3A"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 e.g.</w:t>
      </w:r>
      <w:r w:rsidRPr="00B806FD">
        <w:t xml:space="preserve">, </w:t>
      </w:r>
      <w:r w:rsidRPr="00B806FD">
        <w:rPr>
          <w:noProof/>
        </w:rPr>
        <w:t xml:space="preserve">Gill v. Whitford, </w:t>
      </w:r>
      <w:del w:id="152" w:author="Jonathan Cervas" w:date="2023-06-20T15:12:00Z">
        <w:r w:rsidRPr="00B806FD" w:rsidDel="00DD7CD7">
          <w:rPr>
            <w:noProof/>
          </w:rPr>
          <w:delText xml:space="preserve">585 </w:delText>
        </w:r>
      </w:del>
      <w:ins w:id="153" w:author="Jonathan Cervas" w:date="2023-06-20T15:12:00Z">
        <w:r w:rsidR="00DD7CD7" w:rsidRPr="00DD7CD7">
          <w:rPr>
            <w:noProof/>
          </w:rPr>
          <w:t xml:space="preserve">138 S. Ct. </w:t>
        </w:r>
      </w:ins>
      <w:ins w:id="154" w:author="Jonathan Cervas" w:date="2023-06-20T15:16:00Z">
        <w:r w:rsidR="00FE39A5">
          <w:rPr>
            <w:noProof/>
          </w:rPr>
          <w:t>at</w:t>
        </w:r>
      </w:ins>
      <w:ins w:id="155" w:author="Jonathan Cervas" w:date="2023-06-20T15:12:00Z">
        <w:r w:rsidR="00DD7CD7" w:rsidRPr="00DD7CD7">
          <w:rPr>
            <w:noProof/>
          </w:rPr>
          <w:t xml:space="preserve"> 1919–20</w:t>
        </w:r>
        <w:r w:rsidR="00DD7CD7" w:rsidRPr="00DD7CD7" w:rsidDel="00DD7CD7">
          <w:rPr>
            <w:noProof/>
          </w:rPr>
          <w:t xml:space="preserve"> </w:t>
        </w:r>
      </w:ins>
      <w:del w:id="156" w:author="Jonathan Cervas" w:date="2023-06-20T15:12:00Z">
        <w:r w:rsidRPr="00B806FD" w:rsidDel="00DD7CD7">
          <w:rPr>
            <w:noProof/>
          </w:rPr>
          <w:delText>U.S. ___ (2018), slip op. at 1</w:delText>
        </w:r>
      </w:del>
      <w:r w:rsidRPr="00B806FD">
        <w:rPr>
          <w:noProof/>
        </w:rPr>
        <w:t xml:space="preserve">; Rucho v. Common Cause, 139 S.Ct. </w:t>
      </w:r>
      <w:ins w:id="157" w:author="Jonathan Cervas" w:date="2023-06-20T15:16:00Z">
        <w:r w:rsidR="00FE39A5">
          <w:rPr>
            <w:noProof/>
          </w:rPr>
          <w:t>at</w:t>
        </w:r>
      </w:ins>
      <w:del w:id="158" w:author="Jonathan Cervas" w:date="2023-06-20T15:16:00Z">
        <w:r w:rsidRPr="00B806FD" w:rsidDel="00FE39A5">
          <w:rPr>
            <w:noProof/>
          </w:rPr>
          <w:delText>2484</w:delText>
        </w:r>
      </w:del>
      <w:ins w:id="159" w:author="Jonathan Cervas" w:date="2023-06-20T15:13:00Z">
        <w:r w:rsidR="00DD7CD7">
          <w:rPr>
            <w:noProof/>
          </w:rPr>
          <w:t xml:space="preserve"> </w:t>
        </w:r>
        <w:r w:rsidR="00DD7CD7" w:rsidRPr="00DD7CD7">
          <w:rPr>
            <w:noProof/>
          </w:rPr>
          <w:t>2487</w:t>
        </w:r>
      </w:ins>
      <w:r w:rsidRPr="00B806FD">
        <w:rPr>
          <w:noProof/>
        </w:rPr>
        <w:t xml:space="preserve"> (2019).</w:t>
      </w:r>
    </w:p>
  </w:footnote>
  <w:footnote w:id="39">
    <w:p w14:paraId="6DD5EC86" w14:textId="177BD6E4" w:rsidR="008D703D" w:rsidRPr="00B806FD" w:rsidRDefault="008D703D" w:rsidP="00B806FD">
      <w:pPr>
        <w:pStyle w:val="FootnoteText"/>
      </w:pPr>
      <w:r w:rsidRPr="00B806FD">
        <w:rPr>
          <w:rStyle w:val="FootnoteReference"/>
        </w:rPr>
        <w:footnoteRef/>
      </w:r>
      <w:r w:rsidRPr="00B806FD">
        <w:t xml:space="preserve"> </w:t>
      </w:r>
      <w:r w:rsidRPr="00B806FD">
        <w:tab/>
      </w:r>
      <w:proofErr w:type="spellStart"/>
      <w:r w:rsidRPr="00B806FD">
        <w:t>Whitford</w:t>
      </w:r>
      <w:proofErr w:type="spellEnd"/>
      <w:r w:rsidRPr="00B806FD">
        <w:t xml:space="preserve"> v. Gill, 218 F. Supp. 3d 837, 843 (W.D. Wis. 2016).</w:t>
      </w:r>
    </w:p>
  </w:footnote>
  <w:footnote w:id="40">
    <w:p w14:paraId="42DFB1F0" w14:textId="091A1457" w:rsidR="008D703D" w:rsidRPr="00B806FD" w:rsidRDefault="008D703D" w:rsidP="00B806FD">
      <w:pPr>
        <w:pStyle w:val="FootnoteText"/>
      </w:pPr>
      <w:r w:rsidRPr="00B806FD">
        <w:rPr>
          <w:rStyle w:val="FootnoteReference"/>
        </w:rPr>
        <w:footnoteRef/>
      </w:r>
      <w:r w:rsidRPr="00B806FD">
        <w:t xml:space="preserve"> </w:t>
      </w:r>
      <w:r w:rsidRPr="00B806FD">
        <w:tab/>
        <w:t>Common Cause v. Rucho, 279 F. Supp. 3d 587, 597-98 (M.D.N.C. 2018).</w:t>
      </w:r>
    </w:p>
  </w:footnote>
  <w:footnote w:id="41">
    <w:p w14:paraId="1ABA1556" w14:textId="2D396820"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noProof/>
        </w:rPr>
        <w:t>Benisek v. Lamone, 241 F. Supp. 3d 566, 568 (D. Md. 2017).</w:t>
      </w:r>
    </w:p>
  </w:footnote>
  <w:footnote w:id="42">
    <w:p w14:paraId="6FD15337" w14:textId="041FF8DE" w:rsidR="008D703D" w:rsidRPr="00B806FD" w:rsidRDefault="008D703D" w:rsidP="00B806FD">
      <w:pPr>
        <w:pStyle w:val="FootnoteText"/>
      </w:pPr>
      <w:r w:rsidRPr="00B806FD">
        <w:rPr>
          <w:rStyle w:val="FootnoteReference"/>
        </w:rPr>
        <w:footnoteRef/>
      </w:r>
      <w:r w:rsidRPr="00B806FD">
        <w:t xml:space="preserve"> </w:t>
      </w:r>
      <w:r w:rsidRPr="00B806FD">
        <w:tab/>
      </w:r>
      <w:proofErr w:type="spellStart"/>
      <w:r w:rsidRPr="00B806FD">
        <w:rPr>
          <w:i/>
          <w:iCs/>
        </w:rPr>
        <w:t>Rucho</w:t>
      </w:r>
      <w:proofErr w:type="spellEnd"/>
      <w:r w:rsidRPr="00B806FD">
        <w:t>, 139 S. Ct. at 2506-07.</w:t>
      </w:r>
    </w:p>
  </w:footnote>
  <w:footnote w:id="43">
    <w:p w14:paraId="4C72500D" w14:textId="15CD4C9B" w:rsidR="008D703D" w:rsidRPr="00B806FD" w:rsidRDefault="008D703D" w:rsidP="00B806FD">
      <w:pPr>
        <w:pStyle w:val="FootnoteText"/>
        <w:rPr>
          <w:i/>
          <w:iCs/>
        </w:rPr>
      </w:pPr>
      <w:r w:rsidRPr="00B806FD">
        <w:rPr>
          <w:rStyle w:val="FootnoteReference"/>
        </w:rPr>
        <w:footnoteRef/>
      </w:r>
      <w:r w:rsidRPr="00B806FD">
        <w:t xml:space="preserve"> </w:t>
      </w:r>
      <w:r w:rsidRPr="00B806FD">
        <w:tab/>
      </w:r>
      <w:r w:rsidRPr="00B806FD">
        <w:rPr>
          <w:i/>
          <w:iCs/>
        </w:rPr>
        <w:t>See generally</w:t>
      </w:r>
      <w:r w:rsidRPr="00B806FD">
        <w:t xml:space="preserve"> </w:t>
      </w:r>
      <w:ins w:id="160" w:author="Jonathan Cervas" w:date="2023-06-20T15:24:00Z">
        <w:r w:rsidR="005E7BEA">
          <w:rPr>
            <w:i/>
            <w:iCs/>
          </w:rPr>
          <w:t>I</w:t>
        </w:r>
      </w:ins>
      <w:del w:id="161" w:author="Jonathan Cervas" w:date="2023-06-20T15:23:00Z">
        <w:r w:rsidRPr="00B806FD" w:rsidDel="005E7BEA">
          <w:rPr>
            <w:i/>
            <w:iCs/>
          </w:rPr>
          <w:delText>i</w:delText>
        </w:r>
      </w:del>
      <w:r w:rsidRPr="00B806FD">
        <w:rPr>
          <w:i/>
          <w:iCs/>
        </w:rPr>
        <w:t>d.</w:t>
      </w:r>
      <w:ins w:id="162" w:author="Jonathan Cervas" w:date="2023-06-20T15:24:00Z">
        <w:r w:rsidR="005E7BEA">
          <w:rPr>
            <w:i/>
            <w:iCs/>
          </w:rPr>
          <w:t xml:space="preserve"> </w:t>
        </w:r>
        <w:r w:rsidR="005E7BEA" w:rsidRPr="005E7BEA">
          <w:rPr>
            <w:rPrChange w:id="163" w:author="Jonathan Cervas" w:date="2023-06-20T15:24:00Z">
              <w:rPr>
                <w:i/>
                <w:iCs/>
              </w:rPr>
            </w:rPrChange>
          </w:rPr>
          <w:t>at 2509</w:t>
        </w:r>
        <w:r w:rsidR="00621B73">
          <w:t>-</w:t>
        </w:r>
      </w:ins>
      <w:ins w:id="164" w:author="Jonathan Cervas" w:date="2023-06-20T15:25:00Z">
        <w:r w:rsidR="00621B73">
          <w:t>2525</w:t>
        </w:r>
      </w:ins>
      <w:ins w:id="165" w:author="Jonathan Cervas" w:date="2023-06-20T15:24:00Z">
        <w:r w:rsidR="005E7BEA" w:rsidRPr="005E7BEA">
          <w:rPr>
            <w:rPrChange w:id="166" w:author="Jonathan Cervas" w:date="2023-06-20T15:24:00Z">
              <w:rPr>
                <w:i/>
                <w:iCs/>
              </w:rPr>
            </w:rPrChange>
          </w:rPr>
          <w:t>.</w:t>
        </w:r>
      </w:ins>
    </w:p>
  </w:footnote>
  <w:footnote w:id="44">
    <w:p w14:paraId="5875F24A" w14:textId="1042D139"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Davis</w:t>
      </w:r>
      <w:r w:rsidRPr="00B806FD">
        <w:t>, 478 U.S. at 113.</w:t>
      </w:r>
    </w:p>
  </w:footnote>
  <w:footnote w:id="45">
    <w:p w14:paraId="3FDCEC7B" w14:textId="1E8F3DB1" w:rsidR="008D703D" w:rsidRPr="00B806FD" w:rsidRDefault="008D703D" w:rsidP="00B806FD">
      <w:pPr>
        <w:pStyle w:val="FootnoteText"/>
      </w:pPr>
      <w:r w:rsidRPr="00B806FD">
        <w:rPr>
          <w:rStyle w:val="FootnoteReference"/>
        </w:rPr>
        <w:footnoteRef/>
      </w:r>
      <w:r w:rsidRPr="00B806FD">
        <w:t xml:space="preserve"> </w:t>
      </w:r>
      <w:r w:rsidRPr="00B806FD">
        <w:tab/>
      </w:r>
      <w:proofErr w:type="spellStart"/>
      <w:r w:rsidRPr="00B806FD">
        <w:rPr>
          <w:i/>
          <w:iCs/>
        </w:rPr>
        <w:t>Rucho</w:t>
      </w:r>
      <w:proofErr w:type="spellEnd"/>
      <w:r w:rsidRPr="00B806FD">
        <w:t>, 139 S. Ct. at 2491.</w:t>
      </w:r>
    </w:p>
  </w:footnote>
  <w:footnote w:id="46">
    <w:p w14:paraId="1968FE3B" w14:textId="687D8244"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2494 (emphasis added</w:t>
      </w:r>
      <w:ins w:id="169" w:author="Jonathan Cervas" w:date="2023-06-20T15:40:00Z">
        <w:r w:rsidR="009953F0">
          <w:t>,</w:t>
        </w:r>
      </w:ins>
      <w:del w:id="170" w:author="Jonathan Cervas" w:date="2023-06-20T15:40:00Z">
        <w:r w:rsidRPr="00B806FD" w:rsidDel="009953F0">
          <w:delText>)</w:delText>
        </w:r>
      </w:del>
      <w:r w:rsidRPr="00B806FD">
        <w:t xml:space="preserve"> quotations omitted)</w:t>
      </w:r>
      <w:ins w:id="171" w:author="Jonathan Cervas" w:date="2023-06-20T15:39:00Z">
        <w:r w:rsidR="009953F0">
          <w:t xml:space="preserve"> citing Gill </w:t>
        </w:r>
        <w:proofErr w:type="gramStart"/>
        <w:r w:rsidR="009953F0">
          <w:t>at</w:t>
        </w:r>
        <w:proofErr w:type="gramEnd"/>
        <w:r w:rsidR="009953F0">
          <w:t xml:space="preserve"> 1926</w:t>
        </w:r>
      </w:ins>
      <w:r w:rsidRPr="00B806FD">
        <w:t xml:space="preserve">; </w:t>
      </w:r>
      <w:r w:rsidRPr="00B806FD">
        <w:rPr>
          <w:i/>
          <w:iCs/>
        </w:rPr>
        <w:t>See also id.</w:t>
      </w:r>
      <w:r w:rsidRPr="00B806FD">
        <w:t xml:space="preserve"> at 2506-07.</w:t>
      </w:r>
    </w:p>
  </w:footnote>
  <w:footnote w:id="47">
    <w:p w14:paraId="6BEDE536" w14:textId="2769BC22"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2507.</w:t>
      </w:r>
    </w:p>
  </w:footnote>
  <w:footnote w:id="48">
    <w:p w14:paraId="207F4945" w14:textId="53F3BF40"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2506.</w:t>
      </w:r>
    </w:p>
  </w:footnote>
  <w:footnote w:id="49">
    <w:p w14:paraId="4E2AB142" w14:textId="0C993EFF"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2507.</w:t>
      </w:r>
    </w:p>
  </w:footnote>
  <w:footnote w:id="50">
    <w:p w14:paraId="56DF1EF8" w14:textId="2D53F1C2"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2499</w:t>
      </w:r>
      <w:ins w:id="175" w:author="Jonathan Cervas" w:date="2023-06-18T17:36:00Z">
        <w:r w:rsidR="004A6ABE">
          <w:t xml:space="preserve"> (emphasis original)</w:t>
        </w:r>
      </w:ins>
      <w:r w:rsidRPr="00B806FD">
        <w:t>.</w:t>
      </w:r>
    </w:p>
  </w:footnote>
  <w:footnote w:id="51">
    <w:p w14:paraId="48B402CF" w14:textId="02438283"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I</w:t>
      </w:r>
      <w:ins w:id="176" w:author="Jonathan Cervas" w:date="2023-06-20T15:47:00Z">
        <w:r w:rsidR="0006500D">
          <w:rPr>
            <w:i/>
            <w:iCs/>
          </w:rPr>
          <w:t>bid</w:t>
        </w:r>
      </w:ins>
      <w:del w:id="177" w:author="Jonathan Cervas" w:date="2023-06-20T15:47:00Z">
        <w:r w:rsidRPr="00B806FD" w:rsidDel="0006500D">
          <w:rPr>
            <w:i/>
            <w:iCs/>
          </w:rPr>
          <w:delText>d</w:delText>
        </w:r>
      </w:del>
      <w:r w:rsidRPr="00B806FD">
        <w:rPr>
          <w:i/>
          <w:iCs/>
        </w:rPr>
        <w:t>.</w:t>
      </w:r>
    </w:p>
  </w:footnote>
  <w:footnote w:id="52">
    <w:p w14:paraId="3CDC9C8F" w14:textId="67418159" w:rsidR="008D703D" w:rsidRPr="00B806FD" w:rsidRDefault="008D703D" w:rsidP="00B806FD">
      <w:pPr>
        <w:pStyle w:val="FootnoteText"/>
      </w:pPr>
      <w:r w:rsidRPr="00B806FD">
        <w:rPr>
          <w:rStyle w:val="FootnoteReference"/>
        </w:rPr>
        <w:footnoteRef/>
      </w:r>
      <w:r w:rsidRPr="00B806FD">
        <w:t xml:space="preserve"> </w:t>
      </w:r>
      <w:r w:rsidRPr="00B806FD">
        <w:tab/>
        <w:t xml:space="preserve">Bernard Grofman, </w:t>
      </w:r>
      <w:r w:rsidRPr="00B806FD">
        <w:rPr>
          <w:i/>
          <w:iCs/>
        </w:rPr>
        <w:t>For Single-Member Districts, Random is Not Equal</w:t>
      </w:r>
      <w:r w:rsidRPr="00B806FD">
        <w:t xml:space="preserve">, </w:t>
      </w:r>
      <w:r w:rsidRPr="00B806FD">
        <w:rPr>
          <w:i/>
          <w:iCs/>
        </w:rPr>
        <w:t>in</w:t>
      </w:r>
      <w:r w:rsidRPr="00B806FD">
        <w:t xml:space="preserve"> </w:t>
      </w:r>
      <w:r w:rsidRPr="00B806FD">
        <w:rPr>
          <w:smallCaps/>
        </w:rPr>
        <w:t>Representation and Redistricting Issues,</w:t>
      </w:r>
      <w:r w:rsidRPr="00B806FD">
        <w:t xml:space="preserve"> 55 (Bernard Grofman et al. eds., 1982); G. Gudgin &amp; P. J. Taylor, </w:t>
      </w:r>
      <w:r w:rsidRPr="00B806FD">
        <w:rPr>
          <w:i/>
          <w:iCs/>
        </w:rPr>
        <w:t>The Decomposition of Electoral Bias in a Plurality Election</w:t>
      </w:r>
      <w:r w:rsidRPr="00B806FD">
        <w:t xml:space="preserve">, 10 </w:t>
      </w:r>
      <w:r w:rsidRPr="00B806FD">
        <w:rPr>
          <w:smallCaps/>
        </w:rPr>
        <w:t>Br. J. Pol. Sci.</w:t>
      </w:r>
      <w:r w:rsidRPr="00B806FD">
        <w:t xml:space="preserve"> 515, 516 (1980); </w:t>
      </w:r>
      <w:r w:rsidRPr="00B806FD">
        <w:rPr>
          <w:smallCaps/>
        </w:rPr>
        <w:t>G. Gudgin et al.</w:t>
      </w:r>
      <w:r w:rsidRPr="00B806FD">
        <w:t xml:space="preserve">, </w:t>
      </w:r>
      <w:r w:rsidRPr="00B806FD">
        <w:rPr>
          <w:smallCaps/>
        </w:rPr>
        <w:t>Seats, Votes, and the Spatial Organisation of Elections</w:t>
      </w:r>
      <w:r w:rsidRPr="00B806FD">
        <w:t xml:space="preserve"> 200 (2012); </w:t>
      </w:r>
      <w:r w:rsidRPr="00B806FD">
        <w:rPr>
          <w:smallCaps/>
        </w:rPr>
        <w:t>M.S. Shugart &amp; R. Taagepera</w:t>
      </w:r>
      <w:r w:rsidRPr="00B806FD">
        <w:t xml:space="preserve">, </w:t>
      </w:r>
      <w:r w:rsidRPr="00B806FD">
        <w:rPr>
          <w:smallCaps/>
        </w:rPr>
        <w:t>Votes from Seats: Logical Models of Electoral Systems 4</w:t>
      </w:r>
      <w:r w:rsidRPr="00B806FD">
        <w:t xml:space="preserve"> (2017); Rein Taagepera, </w:t>
      </w:r>
      <w:r w:rsidRPr="00B806FD">
        <w:rPr>
          <w:i/>
          <w:iCs/>
        </w:rPr>
        <w:t>Seats and Votes: A Generalization of the Cube Law of Elections</w:t>
      </w:r>
      <w:r w:rsidRPr="00B806FD">
        <w:t xml:space="preserve">, 2 </w:t>
      </w:r>
      <w:r w:rsidRPr="00B806FD">
        <w:rPr>
          <w:smallCaps/>
        </w:rPr>
        <w:t>Soc. Sci. Res.</w:t>
      </w:r>
      <w:r w:rsidRPr="00B806FD">
        <w:t xml:space="preserve"> 257 (1973).</w:t>
      </w:r>
    </w:p>
  </w:footnote>
  <w:footnote w:id="53">
    <w:p w14:paraId="766F0039" w14:textId="5EFAAAA0" w:rsidR="008D703D" w:rsidRPr="00B806FD" w:rsidRDefault="008D703D" w:rsidP="00B806FD">
      <w:pPr>
        <w:pStyle w:val="FootnoteText"/>
      </w:pPr>
      <w:r w:rsidRPr="00B806FD">
        <w:rPr>
          <w:rStyle w:val="FootnoteReference"/>
        </w:rPr>
        <w:footnoteRef/>
      </w:r>
      <w:r w:rsidRPr="00B806FD">
        <w:t xml:space="preserve"> </w:t>
      </w:r>
      <w:r w:rsidRPr="00B806FD">
        <w:tab/>
        <w:t xml:space="preserve">Grofman and King, </w:t>
      </w:r>
      <w:r w:rsidRPr="00B806FD">
        <w:rPr>
          <w:i/>
          <w:iCs/>
        </w:rPr>
        <w:t>supra</w:t>
      </w:r>
      <w:r w:rsidRPr="00B806FD">
        <w:t xml:space="preserve"> note 36 at 5; Jonathan N. Katz et al., </w:t>
      </w:r>
      <w:r w:rsidRPr="00B806FD">
        <w:rPr>
          <w:i/>
          <w:iCs/>
        </w:rPr>
        <w:t>Theoretical Foundations and Empirical Evaluations of Partisan Fairness in District-Based Democracies</w:t>
      </w:r>
      <w:r w:rsidRPr="00B806FD">
        <w:t xml:space="preserve">, 114 </w:t>
      </w:r>
      <w:r w:rsidRPr="00B806FD">
        <w:rPr>
          <w:smallCaps/>
        </w:rPr>
        <w:t>Am. Pol. Sci. Rev.</w:t>
      </w:r>
      <w:r w:rsidRPr="00B806FD">
        <w:t xml:space="preserve"> 164, 166 (2020).</w:t>
      </w:r>
    </w:p>
  </w:footnote>
  <w:footnote w:id="54">
    <w:p w14:paraId="1B688897" w14:textId="61C5EC2F" w:rsidR="008D703D" w:rsidRPr="00B806FD" w:rsidRDefault="008D703D" w:rsidP="00B806FD">
      <w:pPr>
        <w:pStyle w:val="FootnoteText"/>
      </w:pPr>
      <w:r w:rsidRPr="00B806FD">
        <w:rPr>
          <w:rStyle w:val="FootnoteReference"/>
        </w:rPr>
        <w:footnoteRef/>
      </w:r>
      <w:r w:rsidRPr="00B806FD">
        <w:t xml:space="preserve"> </w:t>
      </w:r>
      <w:r w:rsidRPr="00B806FD">
        <w:tab/>
      </w:r>
      <w:proofErr w:type="spellStart"/>
      <w:r w:rsidRPr="00B806FD">
        <w:t>Amariah</w:t>
      </w:r>
      <w:proofErr w:type="spellEnd"/>
      <w:r w:rsidRPr="00B806FD">
        <w:t xml:space="preserve"> Becker et al., </w:t>
      </w:r>
      <w:r w:rsidRPr="00B806FD">
        <w:rPr>
          <w:i/>
          <w:iCs/>
        </w:rPr>
        <w:t>Computational Redistricting and the Voting Rights Act</w:t>
      </w:r>
      <w:r w:rsidRPr="00B806FD">
        <w:t xml:space="preserve">, 20 </w:t>
      </w:r>
      <w:r w:rsidRPr="00B806FD">
        <w:rPr>
          <w:smallCaps/>
        </w:rPr>
        <w:t>Election L. J. Rules Pol. Pol'y</w:t>
      </w:r>
      <w:r w:rsidRPr="00B806FD">
        <w:t xml:space="preserve"> 407, 409 (2021); Daryl DeFord et al., </w:t>
      </w:r>
      <w:r w:rsidRPr="00B806FD">
        <w:rPr>
          <w:i/>
          <w:iCs/>
        </w:rPr>
        <w:t>Recombination: A Family of Markov Chains for Redistricting</w:t>
      </w:r>
      <w:r w:rsidRPr="00B806FD">
        <w:t xml:space="preserve">, </w:t>
      </w:r>
      <w:r w:rsidRPr="00B806FD">
        <w:rPr>
          <w:smallCaps/>
        </w:rPr>
        <w:t>Harv. Data Sci. Rev.</w:t>
      </w:r>
      <w:r w:rsidRPr="00B806FD">
        <w:t xml:space="preserve"> (2021), https://hdsr.mitpress.mit.edu/pub/1ds8ptxu </w:t>
      </w:r>
      <w:r w:rsidRPr="00B806FD">
        <w:rPr>
          <w:rStyle w:val="normaltextrun"/>
          <w:rFonts w:cs="Segoe UI"/>
          <w:shd w:val="clear" w:color="auto" w:fill="E1E3E6"/>
        </w:rPr>
        <w:t>[https://perma.cc/BL6R-CKWZ]</w:t>
      </w:r>
      <w:r w:rsidRPr="00B806FD">
        <w:t xml:space="preserve"> (last visited Oct. 18, 2022); Moon Duchin &amp; Douglas M Spencer, </w:t>
      </w:r>
      <w:r w:rsidRPr="00B806FD">
        <w:rPr>
          <w:i/>
          <w:iCs/>
        </w:rPr>
        <w:t>Models, Race, and the Law</w:t>
      </w:r>
      <w:r w:rsidRPr="00B806FD">
        <w:t xml:space="preserve">, </w:t>
      </w:r>
      <w:r w:rsidRPr="00B806FD">
        <w:rPr>
          <w:smallCaps/>
        </w:rPr>
        <w:t xml:space="preserve">Yale L. J. Forum </w:t>
      </w:r>
      <w:r w:rsidRPr="00B806FD">
        <w:t xml:space="preserve">744, 750 (2021); </w:t>
      </w:r>
      <w:r w:rsidRPr="00B806FD">
        <w:rPr>
          <w:smallCaps/>
        </w:rPr>
        <w:t>Political Geometry: Rethinking Redistricting in the US with Math, Law, and Everything In Between 109</w:t>
      </w:r>
      <w:r w:rsidRPr="00B806FD">
        <w:t xml:space="preserve"> (Moon Duchin &amp; Olivia Walch eds., 2022).</w:t>
      </w:r>
    </w:p>
  </w:footnote>
  <w:footnote w:id="55">
    <w:p w14:paraId="144CC254" w14:textId="2430C160"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rPr>
          <w:i/>
          <w:iCs/>
        </w:rPr>
        <w:t xml:space="preserve">League of Women Voters of Pa., </w:t>
      </w:r>
      <w:r w:rsidRPr="00B806FD">
        <w:t>178 A.3d at 825; League of Women Voters of Fla. v. Detzner, 172 So. 3d 363, 449 (Fla. 2015).</w:t>
      </w:r>
    </w:p>
  </w:footnote>
  <w:footnote w:id="56">
    <w:p w14:paraId="5FC7D034" w14:textId="7C98D578"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bCs/>
          <w:i/>
          <w:iCs/>
        </w:rPr>
        <w:t>See</w:t>
      </w:r>
      <w:r w:rsidRPr="00B806FD">
        <w:rPr>
          <w:bCs/>
        </w:rPr>
        <w:t xml:space="preserve"> </w:t>
      </w:r>
      <w:r w:rsidRPr="00B806FD">
        <w:rPr>
          <w:bCs/>
          <w:noProof/>
        </w:rPr>
        <w:t>Harper v. Lewis, No. 19-CVS-012667 (N.C. Super. Ct. 2019).</w:t>
      </w:r>
    </w:p>
  </w:footnote>
  <w:footnote w:id="57">
    <w:p w14:paraId="0F8B43DE" w14:textId="0411E6A3" w:rsidR="008D703D" w:rsidRPr="00B806FD" w:rsidRDefault="008D703D" w:rsidP="00B806FD">
      <w:pPr>
        <w:pStyle w:val="FootnoteText"/>
      </w:pPr>
      <w:r w:rsidRPr="00B806FD">
        <w:rPr>
          <w:rStyle w:val="FootnoteReference"/>
        </w:rPr>
        <w:footnoteRef/>
      </w:r>
      <w:r w:rsidRPr="00B806FD">
        <w:t xml:space="preserve"> </w:t>
      </w:r>
      <w:r w:rsidRPr="00B806FD">
        <w:tab/>
        <w:t xml:space="preserve">Jonathan R. Cervas &amp; Bernard Grofman, </w:t>
      </w:r>
      <w:r w:rsidRPr="00B806FD">
        <w:rPr>
          <w:i/>
          <w:iCs/>
        </w:rPr>
        <w:t>Tools for Identifying Partisan Gerrymandering with an Application to Congressional Districting in Pennsylvania</w:t>
      </w:r>
      <w:r w:rsidRPr="00B806FD">
        <w:t xml:space="preserve">, 76 </w:t>
      </w:r>
      <w:r w:rsidRPr="00B806FD">
        <w:rPr>
          <w:smallCaps/>
        </w:rPr>
        <w:t>Pol. Geography</w:t>
      </w:r>
      <w:r w:rsidRPr="00B806FD">
        <w:t xml:space="preserve"> 102069 (2020); Grofman and Cervas, </w:t>
      </w:r>
      <w:r w:rsidRPr="00B806FD">
        <w:rPr>
          <w:i/>
          <w:iCs/>
        </w:rPr>
        <w:t>supra</w:t>
      </w:r>
      <w:r w:rsidRPr="00B806FD">
        <w:t xml:space="preserve"> note 15 at 270; Samuel Wang et al., </w:t>
      </w:r>
      <w:r w:rsidRPr="00B806FD">
        <w:rPr>
          <w:i/>
          <w:iCs/>
        </w:rPr>
        <w:t>Laboratories of Democracy Reform: State Constitutions and Partisan Gerrymandering</w:t>
      </w:r>
      <w:r w:rsidRPr="00B806FD">
        <w:t xml:space="preserve">, 22 </w:t>
      </w:r>
      <w:r w:rsidRPr="00B806FD">
        <w:rPr>
          <w:smallCaps/>
        </w:rPr>
        <w:t>U. of Pa. J. Const. L.</w:t>
      </w:r>
      <w:r w:rsidRPr="00B806FD">
        <w:t xml:space="preserve"> 203, 223 (2019).</w:t>
      </w:r>
    </w:p>
  </w:footnote>
  <w:footnote w:id="58">
    <w:p w14:paraId="6CB7617B" w14:textId="132ADE7F" w:rsidR="008D703D" w:rsidRPr="00B806FD" w:rsidRDefault="008D703D" w:rsidP="00B806FD">
      <w:pPr>
        <w:pStyle w:val="FootnoteText"/>
      </w:pPr>
      <w:r w:rsidRPr="00B806FD">
        <w:rPr>
          <w:rStyle w:val="FootnoteReference"/>
        </w:rPr>
        <w:footnoteRef/>
      </w:r>
      <w:r w:rsidRPr="00B806FD">
        <w:t xml:space="preserve"> </w:t>
      </w:r>
      <w:r w:rsidRPr="00B806FD">
        <w:tab/>
        <w:t xml:space="preserve">The map that was to be replaced was itself drawn as a remedy to an earlier racial gerrymander.  </w:t>
      </w:r>
      <w:r w:rsidRPr="00B806FD">
        <w:rPr>
          <w:noProof/>
        </w:rPr>
        <w:t>Harris v. McCrory, 159 F. Supp. 3d 600 (2016).</w:t>
      </w:r>
      <w:r w:rsidRPr="00B806FD">
        <w:t xml:space="preserve">  While drawing the remedy, the legislator (and named defendant) admitted to drawing with partisanship as its primary motivation, saying they “propose[d] that [the Committee] draw the maps to give a partisan advantage to ten Republicans and three Democrats because [he] d[id] not believe it [would be] possible to draw a map with eleven Republicans and two Democrats."  </w:t>
      </w:r>
      <w:r w:rsidRPr="00B806FD">
        <w:rPr>
          <w:i/>
          <w:iCs/>
        </w:rPr>
        <w:t>Common Cause</w:t>
      </w:r>
      <w:r w:rsidRPr="00B806FD">
        <w:t>, 279 F. Supp. 3d at 604.  That map was approved on a party-line vote.</w:t>
      </w:r>
    </w:p>
  </w:footnote>
  <w:footnote w:id="59">
    <w:p w14:paraId="5223909C" w14:textId="78DD5CD1" w:rsidR="008D703D" w:rsidRPr="00B806FD" w:rsidRDefault="008D703D" w:rsidP="00B806FD">
      <w:pPr>
        <w:pStyle w:val="FootnoteText"/>
      </w:pPr>
      <w:r w:rsidRPr="00B806FD">
        <w:rPr>
          <w:rStyle w:val="FootnoteReference"/>
        </w:rPr>
        <w:footnoteRef/>
      </w:r>
      <w:r w:rsidRPr="00B806FD">
        <w:t xml:space="preserve"> </w:t>
      </w:r>
      <w:r w:rsidRPr="00B806FD">
        <w:tab/>
        <w:t>Harper, No. 19-CVS-012667.</w:t>
      </w:r>
    </w:p>
  </w:footnote>
  <w:footnote w:id="60">
    <w:p w14:paraId="396FA449" w14:textId="0E024EEB" w:rsidR="008D703D" w:rsidRPr="00B806FD" w:rsidRDefault="008D703D" w:rsidP="00B806FD">
      <w:pPr>
        <w:pStyle w:val="FootnoteText"/>
      </w:pPr>
      <w:r w:rsidRPr="00B806FD">
        <w:rPr>
          <w:rStyle w:val="FootnoteReference"/>
        </w:rPr>
        <w:footnoteRef/>
      </w:r>
      <w:r w:rsidRPr="00B806FD">
        <w:t xml:space="preserve"> </w:t>
      </w:r>
      <w:r w:rsidRPr="00B806FD">
        <w:tab/>
        <w:t>Fla. Const. art. III, §20 (a).</w:t>
      </w:r>
    </w:p>
  </w:footnote>
  <w:footnote w:id="61">
    <w:p w14:paraId="0AFE68C7" w14:textId="79E2508C" w:rsidR="008D703D" w:rsidRPr="00B806FD" w:rsidRDefault="008D703D" w:rsidP="00B806FD">
      <w:pPr>
        <w:pStyle w:val="FootnoteText"/>
      </w:pPr>
      <w:r w:rsidRPr="00B806FD">
        <w:rPr>
          <w:rStyle w:val="FootnoteReference"/>
        </w:rPr>
        <w:footnoteRef/>
      </w:r>
      <w:r w:rsidRPr="00B806FD">
        <w:t xml:space="preserve"> </w:t>
      </w:r>
      <w:r w:rsidRPr="00B806FD">
        <w:tab/>
        <w:t xml:space="preserve">Pa. Const. art. I, § 5; </w:t>
      </w:r>
      <w:r w:rsidRPr="00B806FD">
        <w:rPr>
          <w:i/>
          <w:iCs/>
        </w:rPr>
        <w:t>League of Women Voters of Pa.</w:t>
      </w:r>
      <w:r w:rsidRPr="00B806FD">
        <w:t>, 178 A.3d at 816.</w:t>
      </w:r>
    </w:p>
  </w:footnote>
  <w:footnote w:id="62">
    <w:p w14:paraId="5D064F1E" w14:textId="7D40BBCE" w:rsidR="008D703D" w:rsidRPr="00B806FD" w:rsidRDefault="008D703D" w:rsidP="00B806FD">
      <w:pPr>
        <w:pStyle w:val="FootnoteText"/>
      </w:pPr>
      <w:r w:rsidRPr="00B806FD">
        <w:rPr>
          <w:rStyle w:val="FootnoteReference"/>
        </w:rPr>
        <w:footnoteRef/>
      </w:r>
      <w:r w:rsidRPr="00B806FD">
        <w:t xml:space="preserve"> </w:t>
      </w:r>
      <w:r w:rsidRPr="00B806FD">
        <w:tab/>
        <w:t>N.C. Const. art. I § 10.</w:t>
      </w:r>
    </w:p>
  </w:footnote>
  <w:footnote w:id="63">
    <w:p w14:paraId="56160DE9" w14:textId="2EAF8BBA"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League of Women Voters of Pa.</w:t>
      </w:r>
      <w:r w:rsidRPr="00B806FD">
        <w:t xml:space="preserve">, 178 A.3d at 830. (referring to “Professor Nathaniel </w:t>
      </w:r>
      <w:proofErr w:type="spellStart"/>
      <w:r w:rsidRPr="00B806FD">
        <w:t>Persily</w:t>
      </w:r>
      <w:proofErr w:type="spellEnd"/>
      <w:r w:rsidRPr="00B806FD">
        <w:t xml:space="preserve">, the expert [the] Court engaged in its Order of January 26th”).  Nathaniel </w:t>
      </w:r>
      <w:proofErr w:type="spellStart"/>
      <w:r w:rsidRPr="00B806FD">
        <w:t>Persily</w:t>
      </w:r>
      <w:proofErr w:type="spellEnd"/>
      <w:r w:rsidRPr="00B806FD">
        <w:t xml:space="preserve"> is the James B. McClatchy Professor of Law at Stanford Law School.  </w:t>
      </w:r>
      <w:r w:rsidRPr="00B806FD">
        <w:rPr>
          <w:i/>
          <w:iCs/>
        </w:rPr>
        <w:t xml:space="preserve">Nathaniel </w:t>
      </w:r>
      <w:proofErr w:type="spellStart"/>
      <w:r w:rsidRPr="00B806FD">
        <w:rPr>
          <w:i/>
          <w:iCs/>
        </w:rPr>
        <w:t>Persily</w:t>
      </w:r>
      <w:proofErr w:type="spellEnd"/>
      <w:r w:rsidRPr="00B806FD">
        <w:rPr>
          <w:i/>
          <w:iCs/>
        </w:rPr>
        <w:t>, Biography</w:t>
      </w:r>
      <w:r w:rsidRPr="00B806FD">
        <w:t xml:space="preserve">, </w:t>
      </w:r>
      <w:r w:rsidRPr="00B806FD">
        <w:rPr>
          <w:smallCaps/>
        </w:rPr>
        <w:t>Stan. L. Sch.</w:t>
      </w:r>
      <w:r w:rsidRPr="00B806FD">
        <w:t xml:space="preserve">, https://law.stanford.edu/directory/nathaniel-persily/ [https://perma.cc/3ATH-RA9V] (last visited Dec. 22, 2022). </w:t>
      </w:r>
    </w:p>
  </w:footnote>
  <w:footnote w:id="64">
    <w:p w14:paraId="27207F95" w14:textId="207C2F87"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t>Romo v. Detzner, Nos. 2012-CA-412 &amp; 2012-CA-490 (Fla. 2d. Cir. Ct. July 10, 2014) (trial court order).</w:t>
      </w:r>
    </w:p>
  </w:footnote>
  <w:footnote w:id="65">
    <w:p w14:paraId="24CB4C19" w14:textId="736D455B" w:rsidR="008D703D" w:rsidRPr="00B806FD" w:rsidRDefault="008D703D" w:rsidP="00B806FD">
      <w:pPr>
        <w:pStyle w:val="FootnoteText"/>
      </w:pPr>
      <w:r w:rsidRPr="00B806FD">
        <w:rPr>
          <w:rStyle w:val="FootnoteReference"/>
        </w:rPr>
        <w:footnoteRef/>
      </w:r>
      <w:r w:rsidRPr="00B806FD">
        <w:t xml:space="preserve"> </w:t>
      </w:r>
      <w:r w:rsidRPr="00B806FD">
        <w:tab/>
        <w:t xml:space="preserve">On December 2, 2015, the Florida Supreme Court issued an opinion intended to bring finality to litigation surrounding the state’s congressional redistricting that “spanned nearly four years in state courts.”  </w:t>
      </w:r>
      <w:r w:rsidRPr="00B806FD">
        <w:rPr>
          <w:i/>
          <w:iCs/>
        </w:rPr>
        <w:t xml:space="preserve"> </w:t>
      </w:r>
      <w:r w:rsidRPr="00B806FD">
        <w:t xml:space="preserve">League of Women Voters of Fla. v. Detzner, 172 So. 3d 363, 449 (Fla. 2015); </w:t>
      </w:r>
      <w:r w:rsidRPr="00B806FD">
        <w:rPr>
          <w:i/>
          <w:iCs/>
        </w:rPr>
        <w:t xml:space="preserve">see also </w:t>
      </w:r>
      <w:r w:rsidRPr="00B806FD">
        <w:t>League of Women Voters v. Detzner, No. 2012-CA-2842 (Fla. Cir. Ct., Dec. 30, 2015) (final judgment adopting remedial senate plan).</w:t>
      </w:r>
    </w:p>
  </w:footnote>
  <w:footnote w:id="66">
    <w:p w14:paraId="2633342C" w14:textId="19206DA2" w:rsidR="008D703D" w:rsidRPr="00B806FD" w:rsidRDefault="008D703D" w:rsidP="00B806FD">
      <w:pPr>
        <w:pStyle w:val="FootnoteText"/>
      </w:pPr>
      <w:r w:rsidRPr="00B806FD">
        <w:rPr>
          <w:rStyle w:val="FootnoteReference"/>
        </w:rPr>
        <w:footnoteRef/>
      </w:r>
      <w:r w:rsidRPr="00B806FD">
        <w:t xml:space="preserve"> </w:t>
      </w:r>
      <w:r w:rsidRPr="00B806FD">
        <w:tab/>
        <w:t xml:space="preserve">In addition to the challenge of the Congressional maps, the state court first overturned the state legislative maps.  </w:t>
      </w:r>
      <w:r w:rsidRPr="00B806FD">
        <w:rPr>
          <w:noProof/>
        </w:rPr>
        <w:t>Common Cause v. Lewis, 834 S.E.2d 425 (2019).</w:t>
      </w:r>
    </w:p>
  </w:footnote>
  <w:footnote w:id="67">
    <w:p w14:paraId="156554B4" w14:textId="0A54D731" w:rsidR="008D703D" w:rsidRPr="00B806FD" w:rsidRDefault="008D703D" w:rsidP="00B806FD">
      <w:pPr>
        <w:pStyle w:val="FootnoteText"/>
      </w:pPr>
      <w:r w:rsidRPr="00B806FD">
        <w:rPr>
          <w:rStyle w:val="FootnoteReference"/>
        </w:rPr>
        <w:footnoteRef/>
      </w:r>
      <w:r w:rsidRPr="00B806FD">
        <w:t xml:space="preserve"> </w:t>
      </w:r>
      <w:r w:rsidRPr="00B806FD">
        <w:tab/>
        <w:t>Urging the General Assembly to adopt a map in “an expeditious process . . . that ensures full transparency and allows for bipartisan participation and consensus to create new congressional districts that likewise seek to achieve this fundamental constitutional objective.”  Harper v. Lewis, No. 19-CVS-012667, at 17-18 (N.C. Super. Ct. Oct. 28, 2019) (order granting injunctive preliminary relief).</w:t>
      </w:r>
    </w:p>
  </w:footnote>
  <w:footnote w:id="68">
    <w:p w14:paraId="6B6F3343" w14:textId="1E7DCCEA" w:rsidR="008D703D" w:rsidRPr="00B806FD" w:rsidRDefault="008D703D" w:rsidP="00B806FD">
      <w:pPr>
        <w:pStyle w:val="FootnoteText"/>
      </w:pPr>
      <w:r w:rsidRPr="00B806FD">
        <w:rPr>
          <w:rStyle w:val="FootnoteReference"/>
        </w:rPr>
        <w:footnoteRef/>
      </w:r>
      <w:r w:rsidRPr="00B806FD">
        <w:t xml:space="preserve"> </w:t>
      </w:r>
      <w:r w:rsidRPr="00B806FD">
        <w:tab/>
        <w:t xml:space="preserve">While the new maps crafted by the legislature raised questions about their fairness, the court unanimously accepted the map to avoid needing to move primaries. Judge Paul Ridgeway said, “the net result is the grievous and flawed 2016 map has been replaced.”  Brian Murphy &amp; Will Doran, </w:t>
      </w:r>
      <w:r w:rsidRPr="00B806FD">
        <w:rPr>
          <w:i/>
          <w:iCs/>
        </w:rPr>
        <w:t>New Congressional Maps in North Carolina Will Stand for 2020, Court Rules</w:t>
      </w:r>
      <w:r w:rsidRPr="00B806FD">
        <w:t xml:space="preserve">, </w:t>
      </w:r>
      <w:r w:rsidRPr="00B806FD">
        <w:rPr>
          <w:smallCaps/>
        </w:rPr>
        <w:t>The News &amp; Observer</w:t>
      </w:r>
      <w:r w:rsidRPr="00B806FD">
        <w:t xml:space="preserve"> (Dec. 3, 2019), https://www.google.com/url?sa=t&amp;rct=j&amp;q=&amp;esrc=s&amp;source=web&amp;cd=&amp;ved=2ahUKEwi-u_Gc4ZD8AhUkK1kFHSGEAigQFnoECAgQAQ&amp;url=https%3A%2F%2Fwww.newsobserver.com%2Fnews%2Fpolitics-government%2Felection%2Farticle237958719.html&amp;usg=AOvVaw0ZCyYbbEqo4K7hX1Dh8h6C [https://perma.cc/ZD3K-TUZH].</w:t>
      </w:r>
    </w:p>
  </w:footnote>
  <w:footnote w:id="69">
    <w:p w14:paraId="5DB57F16" w14:textId="1EA96A72" w:rsidR="00414F57" w:rsidRPr="00B806FD" w:rsidRDefault="00414F57" w:rsidP="00B806FD">
      <w:pPr>
        <w:pStyle w:val="FootnoteText"/>
      </w:pPr>
      <w:r w:rsidRPr="00B806FD">
        <w:rPr>
          <w:rStyle w:val="FootnoteReference"/>
        </w:rPr>
        <w:footnoteRef/>
      </w:r>
      <w:r w:rsidRPr="00B806FD">
        <w:t xml:space="preserve"> </w:t>
      </w:r>
      <w:r w:rsidRPr="00B806FD">
        <w:tab/>
        <w:t>Montana has had a commission since 1973, but only after the 2020 census and after the 1980 census did it have more than one congressional seat</w:t>
      </w:r>
      <w:r w:rsidRPr="00B806FD">
        <w:rPr>
          <w:i/>
          <w:iCs/>
        </w:rPr>
        <w:t>.  See also</w:t>
      </w:r>
      <w:r w:rsidRPr="00B806FD">
        <w:rPr>
          <w:smallCaps/>
        </w:rPr>
        <w:t xml:space="preserve"> </w:t>
      </w:r>
      <w:proofErr w:type="spellStart"/>
      <w:r w:rsidRPr="00B806FD">
        <w:rPr>
          <w:smallCaps/>
        </w:rPr>
        <w:t>Nat'l</w:t>
      </w:r>
      <w:proofErr w:type="spellEnd"/>
      <w:r w:rsidRPr="00B806FD">
        <w:rPr>
          <w:smallCaps/>
        </w:rPr>
        <w:t xml:space="preserve"> Conf. of State Legislatures </w:t>
      </w:r>
      <w:r w:rsidRPr="00B806FD">
        <w:t>(2021), https://www.ncsl.org/redistricting-and-census/creation-of-redistricting-commissions [https://perma.cc/7QDS-JR9W].</w:t>
      </w:r>
    </w:p>
  </w:footnote>
  <w:footnote w:id="70">
    <w:p w14:paraId="16D95426" w14:textId="19C232F0"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 xml:space="preserve">Id.  </w:t>
      </w:r>
      <w:ins w:id="185" w:author="Jonathan Cervas" w:date="2023-06-18T18:11:00Z">
        <w:r w:rsidR="00E11495">
          <w:rPr>
            <w:i/>
            <w:iCs/>
          </w:rPr>
          <w:t>(</w:t>
        </w:r>
      </w:ins>
      <w:r w:rsidRPr="00B806FD">
        <w:t>Arizona, California, Colorado, Hawaii, Idaho, Michigan, Montana, New Jersey, New York, Virginia, Washington</w:t>
      </w:r>
      <w:del w:id="186" w:author="Jonathan Cervas" w:date="2023-06-18T18:11:00Z">
        <w:r w:rsidRPr="00B806FD" w:rsidDel="00E11495">
          <w:delText>.</w:delText>
        </w:r>
      </w:del>
      <w:ins w:id="187" w:author="Jonathan Cervas" w:date="2023-06-18T18:11:00Z">
        <w:r w:rsidR="00E11495">
          <w:t>)</w:t>
        </w:r>
      </w:ins>
      <w:r w:rsidRPr="00B806FD">
        <w:t xml:space="preserve"> </w:t>
      </w:r>
    </w:p>
  </w:footnote>
  <w:footnote w:id="71">
    <w:p w14:paraId="2A7DF186" w14:textId="3A6E01C5" w:rsidR="00414F57" w:rsidRPr="00B806FD" w:rsidRDefault="00414F57" w:rsidP="00B806FD">
      <w:pPr>
        <w:pStyle w:val="FootnoteText"/>
        <w:rPr>
          <w:bCs/>
        </w:rPr>
      </w:pPr>
      <w:r w:rsidRPr="00B806FD">
        <w:rPr>
          <w:rStyle w:val="FootnoteReference"/>
        </w:rPr>
        <w:footnoteRef/>
      </w:r>
      <w:r w:rsidRPr="00B806FD">
        <w:t xml:space="preserve"> </w:t>
      </w:r>
      <w:r w:rsidRPr="00B806FD">
        <w:tab/>
      </w:r>
      <w:r w:rsidRPr="00B806FD">
        <w:rPr>
          <w:i/>
          <w:iCs/>
        </w:rPr>
        <w:t xml:space="preserve">Id.  </w:t>
      </w:r>
      <w:r w:rsidRPr="00B806FD">
        <w:t>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B806FD">
        <w:rPr>
          <w:b/>
        </w:rPr>
        <w:t xml:space="preserve">  </w:t>
      </w:r>
      <w:r w:rsidRPr="00B806FD">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B806FD">
        <w:rPr>
          <w:bCs/>
        </w:rPr>
        <w:t xml:space="preserve">See further discussion of Connecticut and Ohio below. </w:t>
      </w:r>
    </w:p>
  </w:footnote>
  <w:footnote w:id="72">
    <w:p w14:paraId="3CA7729A" w14:textId="0C6238AD" w:rsidR="00414F57" w:rsidRPr="00B806FD" w:rsidRDefault="00414F57" w:rsidP="00B806FD">
      <w:pPr>
        <w:pStyle w:val="FootnoteText"/>
      </w:pPr>
      <w:r w:rsidRPr="00B806FD">
        <w:rPr>
          <w:rStyle w:val="FootnoteReference"/>
        </w:rPr>
        <w:footnoteRef/>
      </w:r>
      <w:r w:rsidRPr="00B806FD">
        <w:t xml:space="preserve"> </w:t>
      </w:r>
      <w:r w:rsidRPr="00B806FD">
        <w:tab/>
        <w:t xml:space="preserve">Williams and Underhill, </w:t>
      </w:r>
      <w:r w:rsidRPr="00B806FD">
        <w:rPr>
          <w:i/>
          <w:iCs/>
        </w:rPr>
        <w:t>supra</w:t>
      </w:r>
      <w:r w:rsidRPr="00B806FD">
        <w:t xml:space="preserve"> note 10.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w:t>
      </w:r>
    </w:p>
  </w:footnote>
  <w:footnote w:id="73">
    <w:p w14:paraId="7EE45E60" w14:textId="1696F5CB" w:rsidR="00414F57" w:rsidRPr="00B806FD" w:rsidRDefault="00414F57" w:rsidP="00B806FD">
      <w:pPr>
        <w:pStyle w:val="FootnoteText"/>
      </w:pPr>
      <w:r w:rsidRPr="00B806FD">
        <w:rPr>
          <w:rStyle w:val="FootnoteReference"/>
        </w:rPr>
        <w:footnoteRef/>
      </w:r>
      <w:r w:rsidRPr="00B806FD">
        <w:t xml:space="preserve"> </w:t>
      </w:r>
      <w:r w:rsidRPr="00B806FD">
        <w:tab/>
        <w:t xml:space="preserve">Bernard Grofman, </w:t>
      </w:r>
      <w:r w:rsidRPr="00B806FD">
        <w:rPr>
          <w:i/>
          <w:iCs/>
        </w:rPr>
        <w:t xml:space="preserve">Criteria </w:t>
      </w:r>
      <w:proofErr w:type="gramStart"/>
      <w:r w:rsidRPr="00B806FD">
        <w:rPr>
          <w:i/>
          <w:iCs/>
        </w:rPr>
        <w:t>For</w:t>
      </w:r>
      <w:proofErr w:type="gramEnd"/>
      <w:r w:rsidRPr="00B806FD">
        <w:rPr>
          <w:i/>
          <w:iCs/>
        </w:rPr>
        <w:t xml:space="preserve"> Districting: A Social Science Perspective</w:t>
      </w:r>
      <w:r w:rsidRPr="00B806FD">
        <w:t xml:space="preserve">, 33 </w:t>
      </w:r>
      <w:r w:rsidRPr="00B806FD">
        <w:rPr>
          <w:smallCaps/>
        </w:rPr>
        <w:t>UCLA L. Rev.</w:t>
      </w:r>
      <w:r w:rsidRPr="00B806FD">
        <w:t xml:space="preserve"> 77, 177 tbl. 3 (1985)</w:t>
      </w:r>
      <w:r w:rsidRPr="00B806FD">
        <w:rPr>
          <w:rStyle w:val="normaltextrun"/>
          <w:rFonts w:cs="Segoe UI"/>
          <w:shd w:val="clear" w:color="auto" w:fill="E1E3E6"/>
        </w:rPr>
        <w:t>.</w:t>
      </w:r>
      <w:r w:rsidRPr="00B806FD" w:rsidDel="00583281">
        <w:t xml:space="preserve"> </w:t>
      </w:r>
    </w:p>
  </w:footnote>
  <w:footnote w:id="74">
    <w:p w14:paraId="1A058050" w14:textId="711E1672" w:rsidR="00414F57" w:rsidRPr="00B806FD" w:rsidRDefault="00414F57" w:rsidP="00B806FD">
      <w:pPr>
        <w:pStyle w:val="FootnoteText"/>
        <w:rPr>
          <w:b/>
        </w:rPr>
      </w:pPr>
      <w:r w:rsidRPr="00B806FD">
        <w:rPr>
          <w:rStyle w:val="FootnoteReference"/>
        </w:rPr>
        <w:footnoteRef/>
      </w:r>
      <w:r w:rsidRPr="00B806FD">
        <w:t xml:space="preserve"> </w:t>
      </w:r>
      <w:r w:rsidRPr="00B806FD">
        <w:tab/>
        <w:t>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Fla. Const. art. III § 20(a).  Florida state courts made use of this language in the 2010 round.  League of Women Voters of Fla. v. Detzner, 172 So. 3d 363, 375 (Fla. 2015)</w:t>
      </w:r>
    </w:p>
  </w:footnote>
  <w:footnote w:id="75">
    <w:p w14:paraId="60184538" w14:textId="1E57F756" w:rsidR="00414F57" w:rsidRPr="00B806FD" w:rsidRDefault="00414F57" w:rsidP="00B806FD">
      <w:pPr>
        <w:pStyle w:val="FootnoteText"/>
      </w:pPr>
      <w:r w:rsidRPr="00B806FD">
        <w:rPr>
          <w:rStyle w:val="FootnoteReference"/>
        </w:rPr>
        <w:footnoteRef/>
      </w:r>
      <w:r w:rsidRPr="00B806FD">
        <w:t xml:space="preserve"> </w:t>
      </w:r>
      <w:r w:rsidRPr="00B806FD">
        <w:tab/>
      </w:r>
      <w:proofErr w:type="spellStart"/>
      <w:r w:rsidRPr="00B806FD">
        <w:rPr>
          <w:i/>
          <w:iCs/>
        </w:rPr>
        <w:t>Rucho</w:t>
      </w:r>
      <w:proofErr w:type="spellEnd"/>
      <w:r w:rsidRPr="00B806FD">
        <w:t>, 139 S. Ct.</w:t>
      </w:r>
      <w:r w:rsidR="00E11495">
        <w:t xml:space="preserve"> </w:t>
      </w:r>
      <w:r w:rsidRPr="00B806FD">
        <w:t>at 2507.</w:t>
      </w:r>
    </w:p>
  </w:footnote>
  <w:footnote w:id="76">
    <w:p w14:paraId="1E244C1D" w14:textId="12B0A38A"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2490.</w:t>
      </w:r>
    </w:p>
  </w:footnote>
  <w:footnote w:id="77">
    <w:p w14:paraId="7188B50C" w14:textId="278803ED" w:rsidR="00414F57" w:rsidRPr="00B806FD" w:rsidRDefault="00414F57" w:rsidP="00B806FD">
      <w:pPr>
        <w:pStyle w:val="FootnoteText"/>
      </w:pPr>
      <w:r w:rsidRPr="00B806FD">
        <w:rPr>
          <w:rStyle w:val="FootnoteReference"/>
        </w:rPr>
        <w:footnoteRef/>
      </w:r>
      <w:r w:rsidRPr="00B806FD">
        <w:t xml:space="preserve"> </w:t>
      </w:r>
      <w:r w:rsidRPr="00B806FD">
        <w:tab/>
        <w:t xml:space="preserve">U.S. Const., art. I, § 4 ("The times, places, and manner of holding elections for senators and representatives shall be prescribed in each state by the legislature thereof; but the Congress may at any time by law make or alter such regulations, except as to the places of choosing senators."); </w:t>
      </w:r>
      <w:proofErr w:type="spellStart"/>
      <w:r w:rsidRPr="008A2C26">
        <w:rPr>
          <w:i/>
          <w:iCs/>
          <w:rPrChange w:id="191" w:author="Jonathan Cervas" w:date="2023-06-20T17:31:00Z">
            <w:rPr/>
          </w:rPrChange>
        </w:rPr>
        <w:t>Rucho</w:t>
      </w:r>
      <w:proofErr w:type="spellEnd"/>
      <w:del w:id="192" w:author="Jonathan Cervas" w:date="2023-06-20T17:31:00Z">
        <w:r w:rsidRPr="00B806FD" w:rsidDel="008A2C26">
          <w:delText xml:space="preserve"> v. Common Cause</w:delText>
        </w:r>
      </w:del>
      <w:r w:rsidRPr="00B806FD">
        <w:t xml:space="preserve">, </w:t>
      </w:r>
      <w:ins w:id="193" w:author="Jonathan Cervas" w:date="2023-06-20T17:31:00Z">
        <w:r w:rsidR="008A2C26">
          <w:t xml:space="preserve">139 </w:t>
        </w:r>
      </w:ins>
      <w:r w:rsidRPr="00B806FD">
        <w:t xml:space="preserve">S. Ct. </w:t>
      </w:r>
      <w:ins w:id="194" w:author="Jonathan Cervas" w:date="2023-06-20T17:32:00Z">
        <w:r w:rsidR="008A2C26">
          <w:t xml:space="preserve">at </w:t>
        </w:r>
      </w:ins>
      <w:del w:id="195" w:author="Jonathan Cervas" w:date="2023-06-20T17:32:00Z">
        <w:r w:rsidRPr="00B806FD" w:rsidDel="008A2C26">
          <w:delText xml:space="preserve">2484, </w:delText>
        </w:r>
      </w:del>
      <w:r w:rsidRPr="00B806FD">
        <w:t>2507</w:t>
      </w:r>
      <w:del w:id="196" w:author="Jonathan Cervas" w:date="2023-06-20T17:32:00Z">
        <w:r w:rsidRPr="00B806FD" w:rsidDel="008A2C26">
          <w:delText xml:space="preserve"> (2019)</w:delText>
        </w:r>
      </w:del>
      <w:r w:rsidRPr="00B806FD">
        <w:t>.</w:t>
      </w:r>
    </w:p>
  </w:footnote>
  <w:footnote w:id="78">
    <w:p w14:paraId="24967643" w14:textId="26847379" w:rsidR="00414F57" w:rsidRPr="00B806FD" w:rsidRDefault="00414F57" w:rsidP="00B806FD">
      <w:pPr>
        <w:pStyle w:val="FootnoteText"/>
      </w:pPr>
      <w:r w:rsidRPr="00B806FD">
        <w:rPr>
          <w:rStyle w:val="FootnoteReference"/>
        </w:rPr>
        <w:footnoteRef/>
      </w:r>
      <w:r w:rsidRPr="00B806FD">
        <w:t xml:space="preserve"> </w:t>
      </w:r>
      <w:r w:rsidRPr="00B806FD">
        <w:tab/>
        <w:t xml:space="preserve">It went on to say that state statutes and constitutions do not provide a renewed basis for federal courts to wade into "one of the most intensely partisan aspects of American political life."  </w:t>
      </w:r>
      <w:r w:rsidRPr="00B806FD">
        <w:rPr>
          <w:i/>
          <w:iCs/>
        </w:rPr>
        <w:t>Id.</w:t>
      </w:r>
      <w:ins w:id="197" w:author="Jonathan Cervas" w:date="2023-06-20T17:32:00Z">
        <w:r w:rsidR="008A2C26">
          <w:rPr>
            <w:i/>
            <w:iCs/>
          </w:rPr>
          <w:t xml:space="preserve"> </w:t>
        </w:r>
      </w:ins>
      <w:r w:rsidRPr="00B806FD">
        <w:t>at 2507 (emphasis added).</w:t>
      </w:r>
    </w:p>
  </w:footnote>
  <w:footnote w:id="79">
    <w:p w14:paraId="3B43A735" w14:textId="3C61B465" w:rsidR="00414F57" w:rsidRPr="00B806FD" w:rsidRDefault="00414F57" w:rsidP="00B806FD">
      <w:pPr>
        <w:pStyle w:val="FootnoteText"/>
      </w:pPr>
      <w:r w:rsidRPr="00B806FD">
        <w:rPr>
          <w:rStyle w:val="FootnoteReference"/>
        </w:rPr>
        <w:footnoteRef/>
      </w:r>
      <w:r w:rsidRPr="00B806FD">
        <w:t xml:space="preserve"> </w:t>
      </w:r>
      <w:r w:rsidRPr="00B806FD">
        <w:tab/>
        <w:t xml:space="preserve">Douglas, </w:t>
      </w:r>
      <w:r w:rsidRPr="00B806FD">
        <w:rPr>
          <w:i/>
          <w:iCs/>
        </w:rPr>
        <w:t>supra</w:t>
      </w:r>
      <w:r w:rsidRPr="00B806FD">
        <w:t xml:space="preserve"> note </w:t>
      </w:r>
      <w:ins w:id="198" w:author="Jonathan Cervas" w:date="2023-06-20T17:34:00Z">
        <w:r w:rsidR="008A2C26">
          <w:fldChar w:fldCharType="begin"/>
        </w:r>
        <w:r w:rsidR="008A2C26">
          <w:instrText xml:space="preserve"> NOTEREF _Ref138174865 \h </w:instrText>
        </w:r>
      </w:ins>
      <w:r w:rsidR="008A2C26">
        <w:fldChar w:fldCharType="separate"/>
      </w:r>
      <w:ins w:id="199" w:author="Jonathan Cervas" w:date="2023-06-20T17:34:00Z">
        <w:r w:rsidR="008A2C26">
          <w:t>13</w:t>
        </w:r>
        <w:r w:rsidR="008A2C26">
          <w:fldChar w:fldCharType="end"/>
        </w:r>
      </w:ins>
      <w:del w:id="200" w:author="Jonathan Cervas" w:date="2023-06-20T17:34:00Z">
        <w:r w:rsidRPr="00B806FD" w:rsidDel="008A2C26">
          <w:delText>13</w:delText>
        </w:r>
      </w:del>
      <w:r w:rsidRPr="00B806FD">
        <w:t xml:space="preserve"> at 103; Wang et al, </w:t>
      </w:r>
      <w:r w:rsidRPr="00B806FD">
        <w:rPr>
          <w:i/>
          <w:iCs/>
        </w:rPr>
        <w:t>supra</w:t>
      </w:r>
      <w:r w:rsidRPr="00B806FD">
        <w:t xml:space="preserve"> note </w:t>
      </w:r>
      <w:ins w:id="201" w:author="Jonathan Cervas" w:date="2023-06-20T17:34:00Z">
        <w:r w:rsidR="008A2C26">
          <w:fldChar w:fldCharType="begin"/>
        </w:r>
        <w:r w:rsidR="008A2C26">
          <w:instrText xml:space="preserve"> NOTEREF _Ref138174896 \h </w:instrText>
        </w:r>
      </w:ins>
      <w:r w:rsidR="008A2C26">
        <w:fldChar w:fldCharType="separate"/>
      </w:r>
      <w:ins w:id="202" w:author="Jonathan Cervas" w:date="2023-06-20T17:34:00Z">
        <w:r w:rsidR="008A2C26">
          <w:t>57</w:t>
        </w:r>
        <w:r w:rsidR="008A2C26">
          <w:fldChar w:fldCharType="end"/>
        </w:r>
        <w:r w:rsidR="008A2C26">
          <w:t xml:space="preserve"> </w:t>
        </w:r>
      </w:ins>
      <w:del w:id="203" w:author="Jonathan Cervas" w:date="2023-06-20T17:34:00Z">
        <w:r w:rsidRPr="00B806FD" w:rsidDel="008A2C26">
          <w:delText xml:space="preserve">57 </w:delText>
        </w:r>
      </w:del>
      <w:r w:rsidRPr="00B806FD">
        <w:t>at 258-88.  (Arizona, Arkansas, Colorado, Delaware, Illinois, Indiana, Kentucky, Maryland, Massachusetts, Missouri, Montana, Nebraska, New Hampshire, New Mexico, North Carolina, Oklahoma, Oregon, Pennsylvania, South Carolina, South Dakota, Tennessee, Utah, Vermont, Virginia, Washington, and Wyoming).</w:t>
      </w:r>
    </w:p>
  </w:footnote>
  <w:footnote w:id="80">
    <w:p w14:paraId="2D725EF1" w14:textId="2D4CC65D" w:rsidR="00414F57" w:rsidRPr="00B806FD" w:rsidRDefault="00414F57" w:rsidP="00B806FD">
      <w:pPr>
        <w:pStyle w:val="FootnoteText"/>
      </w:pPr>
      <w:r w:rsidRPr="00B806FD">
        <w:rPr>
          <w:rStyle w:val="FootnoteReference"/>
        </w:rPr>
        <w:footnoteRef/>
      </w:r>
      <w:r w:rsidRPr="00B806FD">
        <w:t xml:space="preserve"> </w:t>
      </w:r>
      <w:r w:rsidRPr="00B806FD">
        <w:tab/>
        <w:t xml:space="preserve">Grofman and Cervas, </w:t>
      </w:r>
      <w:r w:rsidRPr="00B806FD">
        <w:rPr>
          <w:i/>
          <w:iCs/>
        </w:rPr>
        <w:t>supra</w:t>
      </w:r>
      <w:r w:rsidRPr="00B806FD">
        <w:t xml:space="preserve"> note </w:t>
      </w:r>
      <w:ins w:id="204" w:author="Jonathan Cervas" w:date="2023-06-20T17:37:00Z">
        <w:r w:rsidR="00D13FD7">
          <w:fldChar w:fldCharType="begin"/>
        </w:r>
        <w:r w:rsidR="00D13FD7">
          <w:instrText xml:space="preserve"> NOTEREF _Ref138175061 \h </w:instrText>
        </w:r>
      </w:ins>
      <w:r w:rsidR="00D13FD7">
        <w:fldChar w:fldCharType="separate"/>
      </w:r>
      <w:ins w:id="205" w:author="Jonathan Cervas" w:date="2023-06-20T17:37:00Z">
        <w:r w:rsidR="00D13FD7">
          <w:t>15</w:t>
        </w:r>
        <w:r w:rsidR="00D13FD7">
          <w:fldChar w:fldCharType="end"/>
        </w:r>
        <w:r w:rsidR="00D13FD7">
          <w:t xml:space="preserve"> </w:t>
        </w:r>
      </w:ins>
      <w:del w:id="206" w:author="Jonathan Cervas" w:date="2023-06-20T17:37:00Z">
        <w:r w:rsidRPr="00B806FD" w:rsidDel="00D13FD7">
          <w:delText xml:space="preserve">15. </w:delText>
        </w:r>
      </w:del>
      <w:r w:rsidRPr="00B806FD">
        <w:t>at 267.</w:t>
      </w:r>
    </w:p>
  </w:footnote>
  <w:footnote w:id="81">
    <w:p w14:paraId="17B1105B" w14:textId="46741508" w:rsidR="00414F57" w:rsidRPr="00B806FD" w:rsidRDefault="00414F57" w:rsidP="00B806FD">
      <w:pPr>
        <w:pStyle w:val="FootnoteText"/>
      </w:pPr>
      <w:r w:rsidRPr="00B806FD">
        <w:rPr>
          <w:rStyle w:val="FootnoteReference"/>
        </w:rPr>
        <w:footnoteRef/>
      </w:r>
      <w:r w:rsidRPr="00B806FD">
        <w:t xml:space="preserve"> </w:t>
      </w:r>
      <w:r w:rsidRPr="00B806FD">
        <w:tab/>
        <w:t xml:space="preserve">Baker v. </w:t>
      </w:r>
      <w:proofErr w:type="spellStart"/>
      <w:r w:rsidRPr="00B806FD">
        <w:t>Carr</w:t>
      </w:r>
      <w:proofErr w:type="spellEnd"/>
      <w:r w:rsidRPr="00B806FD">
        <w:t>, 369 U.S. 186</w:t>
      </w:r>
      <w:ins w:id="207" w:author="Jonathan Cervas" w:date="2023-06-20T17:37:00Z">
        <w:r w:rsidR="00D13FD7">
          <w:t xml:space="preserve"> </w:t>
        </w:r>
      </w:ins>
      <w:del w:id="208" w:author="Jonathan Cervas" w:date="2023-06-20T17:37:00Z">
        <w:r w:rsidRPr="00B806FD" w:rsidDel="00D13FD7">
          <w:delText xml:space="preserve">, 186 </w:delText>
        </w:r>
      </w:del>
      <w:r w:rsidRPr="00B806FD">
        <w:t>(1962)</w:t>
      </w:r>
      <w:r w:rsidRPr="00B806FD">
        <w:rPr>
          <w:i/>
          <w:iCs/>
        </w:rPr>
        <w:t>.</w:t>
      </w:r>
    </w:p>
  </w:footnote>
  <w:footnote w:id="82">
    <w:p w14:paraId="7ECD2D80" w14:textId="75708874" w:rsidR="00414F57" w:rsidRPr="00B806FD" w:rsidRDefault="00414F57" w:rsidP="00B806FD">
      <w:pPr>
        <w:pStyle w:val="FootnoteText"/>
      </w:pPr>
      <w:r w:rsidRPr="00B806FD">
        <w:rPr>
          <w:rStyle w:val="FootnoteReference"/>
        </w:rPr>
        <w:footnoteRef/>
      </w:r>
      <w:r w:rsidRPr="00B806FD">
        <w:t xml:space="preserve"> </w:t>
      </w:r>
      <w:r w:rsidRPr="00B806FD">
        <w:tab/>
        <w:t xml:space="preserve">Morris P. Fiorina, </w:t>
      </w:r>
      <w:r w:rsidRPr="00B806FD">
        <w:rPr>
          <w:i/>
          <w:iCs/>
        </w:rPr>
        <w:t xml:space="preserve">Divided Government in the American States: A Byproduct of Legislative </w:t>
      </w:r>
      <w:proofErr w:type="gramStart"/>
      <w:r w:rsidRPr="00B806FD">
        <w:rPr>
          <w:i/>
          <w:iCs/>
        </w:rPr>
        <w:t>Professionalism?</w:t>
      </w:r>
      <w:r w:rsidRPr="00B806FD">
        <w:t>,</w:t>
      </w:r>
      <w:proofErr w:type="gramEnd"/>
      <w:r w:rsidRPr="00B806FD">
        <w:t xml:space="preserve"> 88 </w:t>
      </w:r>
      <w:r w:rsidRPr="00B806FD">
        <w:rPr>
          <w:smallCaps/>
        </w:rPr>
        <w:t>Am. Pol. Sci. Rev.</w:t>
      </w:r>
      <w:r w:rsidRPr="00B806FD">
        <w:t xml:space="preserve"> 304, 304 (1994).</w:t>
      </w:r>
    </w:p>
  </w:footnote>
  <w:footnote w:id="83">
    <w:p w14:paraId="20577B6B" w14:textId="1256D70A" w:rsidR="00414F57" w:rsidRPr="00B806FD" w:rsidRDefault="00414F57" w:rsidP="00B806FD">
      <w:pPr>
        <w:pStyle w:val="FootnoteText"/>
      </w:pPr>
      <w:r w:rsidRPr="00B806FD">
        <w:rPr>
          <w:rStyle w:val="FootnoteReference"/>
        </w:rPr>
        <w:footnoteRef/>
      </w:r>
      <w:r w:rsidRPr="00B806FD">
        <w:t xml:space="preserve"> </w:t>
      </w:r>
      <w:r w:rsidRPr="00B806FD">
        <w:tab/>
        <w:t xml:space="preserve">Gary C. Jacobson, </w:t>
      </w:r>
      <w:r w:rsidRPr="00B806FD">
        <w:rPr>
          <w:i/>
          <w:iCs/>
        </w:rPr>
        <w:t>It’s Nothing Personal: The Decline of the Incumbency Advantage in US House Elections</w:t>
      </w:r>
      <w:r w:rsidRPr="00B806FD">
        <w:t xml:space="preserve">, 77 </w:t>
      </w:r>
      <w:r w:rsidRPr="00B806FD">
        <w:rPr>
          <w:smallCaps/>
        </w:rPr>
        <w:t>J. Pol.</w:t>
      </w:r>
      <w:r w:rsidRPr="00B806FD">
        <w:t xml:space="preserve"> 861, 861 (2015).</w:t>
      </w:r>
    </w:p>
  </w:footnote>
  <w:footnote w:id="84">
    <w:p w14:paraId="57266B59" w14:textId="1D720EC7" w:rsidR="00414F57" w:rsidRPr="00B806FD" w:rsidRDefault="00414F57" w:rsidP="00B806FD">
      <w:pPr>
        <w:pStyle w:val="ListParagraph"/>
        <w:ind w:left="0"/>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r>
      <w:r w:rsidRPr="00B806FD">
        <w:rPr>
          <w:smallCaps/>
          <w:sz w:val="18"/>
          <w:szCs w:val="18"/>
        </w:rPr>
        <w:t>J.H. Aldrich &amp; J.D. Griffin</w:t>
      </w:r>
      <w:r w:rsidRPr="00B806FD">
        <w:rPr>
          <w:sz w:val="18"/>
          <w:szCs w:val="18"/>
        </w:rPr>
        <w:t xml:space="preserve">, </w:t>
      </w:r>
      <w:r w:rsidRPr="00B806FD">
        <w:rPr>
          <w:smallCaps/>
          <w:sz w:val="18"/>
          <w:szCs w:val="18"/>
        </w:rPr>
        <w:t>Why Parties Matter: Political Competition and Democracy in the American South</w:t>
      </w:r>
      <w:r w:rsidRPr="00B806FD">
        <w:rPr>
          <w:sz w:val="18"/>
          <w:szCs w:val="18"/>
        </w:rPr>
        <w:t xml:space="preserve"> 122-23 (2018), https://books.google.com/books?id=bSE-DwAAQBAJ [https://perma.cc/6GET-9SV6]; Samuel Issacharoff &amp; Richard H. Pildes, </w:t>
      </w:r>
      <w:r w:rsidRPr="00B806FD">
        <w:rPr>
          <w:i/>
          <w:iCs/>
          <w:sz w:val="18"/>
          <w:szCs w:val="18"/>
        </w:rPr>
        <w:t>Majoritarianism and Minoritarianism in the Law of Democracy</w:t>
      </w:r>
      <w:r w:rsidRPr="00B806FD">
        <w:rPr>
          <w:sz w:val="18"/>
          <w:szCs w:val="18"/>
        </w:rPr>
        <w:t xml:space="preserve">, </w:t>
      </w:r>
      <w:r w:rsidRPr="00B806FD">
        <w:rPr>
          <w:smallCaps/>
          <w:sz w:val="18"/>
          <w:szCs w:val="18"/>
        </w:rPr>
        <w:t xml:space="preserve">N.Y.U. Pub. </w:t>
      </w:r>
      <w:proofErr w:type="gramStart"/>
      <w:r w:rsidRPr="00B806FD">
        <w:rPr>
          <w:smallCaps/>
          <w:sz w:val="18"/>
          <w:szCs w:val="18"/>
        </w:rPr>
        <w:t>L.</w:t>
      </w:r>
      <w:proofErr w:type="gramEnd"/>
      <w:r w:rsidRPr="00B806FD">
        <w:rPr>
          <w:smallCaps/>
          <w:sz w:val="18"/>
          <w:szCs w:val="18"/>
        </w:rPr>
        <w:t xml:space="preserve"> and Legal Theory Rsch. Paper Series</w:t>
      </w:r>
      <w:r w:rsidRPr="00B806FD">
        <w:rPr>
          <w:sz w:val="18"/>
          <w:szCs w:val="18"/>
        </w:rPr>
        <w:t xml:space="preserve"> (2023), https://www.ssrn.com/abstract=4240006 [https://perma.cc/Y5NE-WX9Q] (last visited Oct. 21, 2022).  As noted earlier, the place where we most expect to see egregious partisan gerrymandering are states where one party has complete control of the redistricting process control.  When we describe state government control, we will use the term </w:t>
      </w:r>
      <w:r w:rsidRPr="00B806FD">
        <w:rPr>
          <w:i/>
          <w:sz w:val="18"/>
          <w:szCs w:val="18"/>
        </w:rPr>
        <w:t>trifecta</w:t>
      </w:r>
      <w:r w:rsidRPr="00B806FD">
        <w:rPr>
          <w:sz w:val="18"/>
          <w:szCs w:val="18"/>
        </w:rPr>
        <w:t xml:space="preserve">.  When we talk about control over redistricting, will use the term </w:t>
      </w:r>
      <w:r w:rsidRPr="00B806FD">
        <w:rPr>
          <w:i/>
          <w:iCs/>
          <w:sz w:val="18"/>
          <w:szCs w:val="18"/>
        </w:rPr>
        <w:t>party control</w:t>
      </w:r>
      <w:r w:rsidRPr="00B806FD">
        <w:rPr>
          <w:sz w:val="18"/>
          <w:szCs w:val="18"/>
        </w:rPr>
        <w:t>.</w:t>
      </w:r>
    </w:p>
  </w:footnote>
  <w:footnote w:id="85">
    <w:p w14:paraId="77F10700" w14:textId="2BFC2FD3" w:rsidR="00414F57" w:rsidRPr="00B806FD" w:rsidRDefault="00414F57" w:rsidP="00B806FD">
      <w:pPr>
        <w:pStyle w:val="FootnoteText"/>
      </w:pPr>
      <w:r w:rsidRPr="00B806FD">
        <w:rPr>
          <w:rStyle w:val="FootnoteReference"/>
        </w:rPr>
        <w:footnoteRef/>
      </w:r>
      <w:r w:rsidRPr="00B806FD">
        <w:t xml:space="preserve"> </w:t>
      </w:r>
      <w:r w:rsidRPr="00B806FD">
        <w:tab/>
        <w:t xml:space="preserve">Levitt, </w:t>
      </w:r>
      <w:r w:rsidRPr="00B806FD">
        <w:rPr>
          <w:i/>
          <w:iCs/>
        </w:rPr>
        <w:t>supra</w:t>
      </w:r>
      <w:r w:rsidRPr="00B806FD">
        <w:t xml:space="preserve"> note </w:t>
      </w:r>
      <w:ins w:id="209" w:author="Jonathan Cervas" w:date="2023-06-20T17:40:00Z">
        <w:r w:rsidR="00D13FD7">
          <w:fldChar w:fldCharType="begin"/>
        </w:r>
        <w:r w:rsidR="00D13FD7">
          <w:instrText xml:space="preserve"> NOTEREF _Ref138175261 \h </w:instrText>
        </w:r>
      </w:ins>
      <w:r w:rsidR="00D13FD7">
        <w:fldChar w:fldCharType="separate"/>
      </w:r>
      <w:ins w:id="210" w:author="Jonathan Cervas" w:date="2023-06-20T17:40:00Z">
        <w:r w:rsidR="00D13FD7">
          <w:t>3</w:t>
        </w:r>
        <w:r w:rsidR="00D13FD7">
          <w:fldChar w:fldCharType="end"/>
        </w:r>
      </w:ins>
      <w:del w:id="211" w:author="Jonathan Cervas" w:date="2023-06-20T17:40:00Z">
        <w:r w:rsidRPr="00B806FD" w:rsidDel="00D13FD7">
          <w:delText>3</w:delText>
        </w:r>
      </w:del>
      <w:r w:rsidRPr="00B806FD">
        <w:t>.</w:t>
      </w:r>
    </w:p>
  </w:footnote>
  <w:footnote w:id="86">
    <w:p w14:paraId="74A68AC0" w14:textId="233CF81F" w:rsidR="00414F57" w:rsidRPr="00B806FD" w:rsidRDefault="00414F57" w:rsidP="00B806FD">
      <w:pPr>
        <w:pStyle w:val="FootnoteText"/>
      </w:pPr>
      <w:r w:rsidRPr="00B806FD">
        <w:rPr>
          <w:rStyle w:val="FootnoteReference"/>
        </w:rPr>
        <w:footnoteRef/>
      </w:r>
      <w:r w:rsidRPr="00B806FD">
        <w:t xml:space="preserve"> </w:t>
      </w:r>
      <w:r w:rsidRPr="00B806FD">
        <w:tab/>
        <w:t>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87">
    <w:p w14:paraId="3425DC6A" w14:textId="75077CDF" w:rsidR="00414F57" w:rsidRPr="00B806FD" w:rsidRDefault="00414F57" w:rsidP="00B806FD">
      <w:pPr>
        <w:pStyle w:val="FootnoteText"/>
      </w:pPr>
      <w:r w:rsidRPr="00B806FD">
        <w:rPr>
          <w:rStyle w:val="FootnoteReference"/>
        </w:rPr>
        <w:footnoteRef/>
      </w:r>
      <w:r w:rsidRPr="00B806FD">
        <w:t xml:space="preserve"> </w:t>
      </w:r>
      <w:r w:rsidRPr="00B806FD">
        <w:tab/>
        <w:t>Going into 2010, Democrats had party control in six states (Arkansas, Illinois, West Virginia, Maryland, Massachusetts, Rhode Island; forty-four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two-to-one Republican-to-Democrat ratios.  Nebraska’s legislature is non-partisan.</w:t>
      </w:r>
    </w:p>
  </w:footnote>
  <w:footnote w:id="88">
    <w:p w14:paraId="2B85A14E" w14:textId="3B4E7F62"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bCs/>
          <w:i/>
          <w:iCs/>
        </w:rPr>
        <w:t>See</w:t>
      </w:r>
      <w:r w:rsidRPr="00B806FD">
        <w:rPr>
          <w:bCs/>
        </w:rPr>
        <w:t xml:space="preserve"> </w:t>
      </w:r>
      <w:r w:rsidRPr="00B806FD">
        <w:rPr>
          <w:bCs/>
          <w:i/>
          <w:iCs/>
        </w:rPr>
        <w:t>infra</w:t>
      </w:r>
      <w:r w:rsidRPr="00B806FD">
        <w:rPr>
          <w:bCs/>
        </w:rPr>
        <w:t xml:space="preserve"> </w:t>
      </w:r>
      <w:r w:rsidRPr="00B806FD">
        <w:rPr>
          <w:bCs/>
        </w:rPr>
        <w:fldChar w:fldCharType="begin"/>
      </w:r>
      <w:r w:rsidRPr="00B806FD">
        <w:rPr>
          <w:bCs/>
        </w:rPr>
        <w:instrText xml:space="preserve"> REF _Ref123137422 \h  \* MERGEFORMAT </w:instrText>
      </w:r>
      <w:r w:rsidRPr="00B806FD">
        <w:rPr>
          <w:bCs/>
        </w:rPr>
      </w:r>
      <w:r w:rsidRPr="00B806FD">
        <w:rPr>
          <w:bCs/>
        </w:rPr>
        <w:fldChar w:fldCharType="separate"/>
      </w:r>
      <w:proofErr w:type="spellStart"/>
      <w:r w:rsidRPr="00B806FD">
        <w:t>tbl</w:t>
      </w:r>
      <w:proofErr w:type="spellEnd"/>
      <w:r w:rsidRPr="00B806FD">
        <w:t xml:space="preserve">. </w:t>
      </w:r>
      <w:r w:rsidRPr="00B806FD">
        <w:rPr>
          <w:noProof/>
        </w:rPr>
        <w:t>1</w:t>
      </w:r>
      <w:r w:rsidRPr="00B806FD">
        <w:rPr>
          <w:bCs/>
        </w:rPr>
        <w:fldChar w:fldCharType="end"/>
      </w:r>
      <w:r w:rsidRPr="00B806FD">
        <w:rPr>
          <w:bCs/>
        </w:rPr>
        <w:t xml:space="preserve"> and </w:t>
      </w:r>
      <w:r w:rsidRPr="00B806FD">
        <w:rPr>
          <w:bCs/>
        </w:rPr>
        <w:fldChar w:fldCharType="begin"/>
      </w:r>
      <w:r w:rsidRPr="00B806FD">
        <w:rPr>
          <w:bCs/>
        </w:rPr>
        <w:instrText xml:space="preserve"> REF _Ref123163956 \h  \* MERGEFORMAT </w:instrText>
      </w:r>
      <w:r w:rsidRPr="00B806FD">
        <w:rPr>
          <w:bCs/>
        </w:rPr>
      </w:r>
      <w:r w:rsidRPr="00B806FD">
        <w:rPr>
          <w:bCs/>
        </w:rPr>
        <w:fldChar w:fldCharType="separate"/>
      </w:r>
      <w:proofErr w:type="spellStart"/>
      <w:r w:rsidRPr="00B806FD">
        <w:t>tbl</w:t>
      </w:r>
      <w:proofErr w:type="spellEnd"/>
      <w:r w:rsidRPr="00B806FD">
        <w:t xml:space="preserve">. </w:t>
      </w:r>
      <w:r w:rsidRPr="00B806FD">
        <w:rPr>
          <w:noProof/>
        </w:rPr>
        <w:t>2</w:t>
      </w:r>
      <w:r w:rsidRPr="00B806FD">
        <w:rPr>
          <w:bCs/>
        </w:rPr>
        <w:fldChar w:fldCharType="end"/>
      </w:r>
      <w:r w:rsidRPr="00B806FD">
        <w:rPr>
          <w:bCs/>
        </w:rPr>
        <w:t xml:space="preserve"> for more detail</w:t>
      </w:r>
      <w:r w:rsidRPr="00B806FD">
        <w:t>.  The district advantage is calculated by finding the difference in the total number of districts for which each party had complete control over the process.</w:t>
      </w:r>
    </w:p>
  </w:footnote>
  <w:footnote w:id="89">
    <w:p w14:paraId="4089FC29" w14:textId="75A1B020" w:rsidR="00414F57" w:rsidRPr="00B806FD" w:rsidRDefault="00414F57" w:rsidP="00B806FD">
      <w:pPr>
        <w:pStyle w:val="FootnoteText"/>
      </w:pPr>
      <w:r w:rsidRPr="00B806FD">
        <w:rPr>
          <w:rStyle w:val="FootnoteReference"/>
        </w:rPr>
        <w:footnoteRef/>
      </w:r>
      <w:r w:rsidRPr="00B806FD">
        <w:t xml:space="preserve"> </w:t>
      </w:r>
      <w:r w:rsidRPr="00B806FD">
        <w:tab/>
        <w:t xml:space="preserve">Morris P. Fiorina &amp; Samuel J. Abrams, </w:t>
      </w:r>
      <w:r w:rsidRPr="00B806FD">
        <w:rPr>
          <w:i/>
          <w:iCs/>
        </w:rPr>
        <w:t>Political Polarization in the American Public</w:t>
      </w:r>
      <w:r w:rsidRPr="00B806FD">
        <w:t xml:space="preserve">, 11 </w:t>
      </w:r>
      <w:r w:rsidRPr="00B806FD">
        <w:rPr>
          <w:smallCaps/>
        </w:rPr>
        <w:t>Ann. Rev. Pol. Sci.</w:t>
      </w:r>
      <w:r w:rsidRPr="00B806FD">
        <w:t xml:space="preserve"> 563 (2008); </w:t>
      </w:r>
      <w:r w:rsidRPr="00B806FD">
        <w:rPr>
          <w:smallCaps/>
        </w:rPr>
        <w:t>N. McCarty et al.</w:t>
      </w:r>
      <w:r w:rsidRPr="00B806FD">
        <w:t xml:space="preserve">, </w:t>
      </w:r>
      <w:r w:rsidRPr="00B806FD">
        <w:rPr>
          <w:smallCaps/>
        </w:rPr>
        <w:t>Polarized America, second edition: The Dance of Ideology and Unequal Riches</w:t>
      </w:r>
      <w:r w:rsidRPr="00B806FD">
        <w:t xml:space="preserve"> 24 (2016); Richard H Pildes, </w:t>
      </w:r>
      <w:r w:rsidRPr="00B806FD">
        <w:rPr>
          <w:i/>
          <w:iCs/>
        </w:rPr>
        <w:t>Why the Center Does Not Hold: The Causes of Hyperpolarized Democracy in America</w:t>
      </w:r>
      <w:r w:rsidRPr="00B806FD">
        <w:t xml:space="preserve">, 99 </w:t>
      </w:r>
      <w:r w:rsidRPr="00B806FD">
        <w:rPr>
          <w:smallCaps/>
        </w:rPr>
        <w:t>Cal. L. Rev.</w:t>
      </w:r>
      <w:r w:rsidRPr="00B806FD">
        <w:t xml:space="preserve"> 62 (2011)</w:t>
      </w:r>
      <w:ins w:id="213" w:author="Jonathan Cervas" w:date="2023-06-20T17:42:00Z">
        <w:r w:rsidR="00D13FD7">
          <w:t>;</w:t>
        </w:r>
      </w:ins>
      <w:del w:id="214" w:author="Jonathan Cervas" w:date="2023-06-20T17:42:00Z">
        <w:r w:rsidRPr="00B806FD" w:rsidDel="00D13FD7">
          <w:delText>.</w:delText>
        </w:r>
      </w:del>
      <w:ins w:id="215" w:author="Jonathan Cervas" w:date="2023-06-20T17:42:00Z">
        <w:r w:rsidR="00D13FD7">
          <w:t xml:space="preserve"> </w:t>
        </w:r>
        <w:r w:rsidR="00D13FD7">
          <w:rPr>
            <w:smallCaps/>
          </w:rPr>
          <w:t>Keena Lipsitz</w:t>
        </w:r>
        <w:r w:rsidR="00D13FD7">
          <w:t xml:space="preserve">, </w:t>
        </w:r>
        <w:r w:rsidR="00D13FD7">
          <w:rPr>
            <w:smallCaps/>
          </w:rPr>
          <w:t>Competitive Elections and the American Voter</w:t>
        </w:r>
        <w:r w:rsidR="00D13FD7">
          <w:t xml:space="preserve"> (University of Pennsylvania Press) (2011).</w:t>
        </w:r>
      </w:ins>
    </w:p>
  </w:footnote>
  <w:footnote w:id="90">
    <w:p w14:paraId="089B8E09" w14:textId="43775479" w:rsidR="00414F57" w:rsidRPr="00B806FD" w:rsidRDefault="00414F57" w:rsidP="00B806FD">
      <w:pPr>
        <w:pStyle w:val="FootnoteText"/>
      </w:pPr>
      <w:r w:rsidRPr="00B806FD">
        <w:rPr>
          <w:rStyle w:val="FootnoteReference"/>
        </w:rPr>
        <w:footnoteRef/>
      </w:r>
      <w:r w:rsidRPr="00B806FD">
        <w:t xml:space="preserve"> </w:t>
      </w:r>
      <w:r w:rsidRPr="00B806FD">
        <w:tab/>
        <w:t xml:space="preserve">Frances E. Lee, </w:t>
      </w:r>
      <w:r w:rsidRPr="00B806FD">
        <w:rPr>
          <w:i/>
          <w:iCs/>
        </w:rPr>
        <w:t>How Party Polarization Affects Governance</w:t>
      </w:r>
      <w:r w:rsidRPr="00B806FD">
        <w:t xml:space="preserve">, 18 </w:t>
      </w:r>
      <w:r w:rsidRPr="00B806FD">
        <w:rPr>
          <w:smallCaps/>
        </w:rPr>
        <w:t>Ann. Rev. Pol. Sci.</w:t>
      </w:r>
      <w:r w:rsidRPr="00B806FD">
        <w:t xml:space="preserve"> 261 (2015); </w:t>
      </w:r>
      <w:r w:rsidRPr="00B806FD">
        <w:rPr>
          <w:smallCaps/>
        </w:rPr>
        <w:t>Frances E. Lee</w:t>
      </w:r>
      <w:r w:rsidRPr="00B806FD">
        <w:t xml:space="preserve">, </w:t>
      </w:r>
      <w:r w:rsidRPr="00B806FD">
        <w:rPr>
          <w:smallCaps/>
        </w:rPr>
        <w:t>Insecure Majorities: Congress and the Perpetual Campaign</w:t>
      </w:r>
      <w:r w:rsidRPr="00B806FD">
        <w:t xml:space="preserve"> (2016).</w:t>
      </w:r>
    </w:p>
  </w:footnote>
  <w:footnote w:id="91">
    <w:p w14:paraId="52A49A47" w14:textId="09ABADC8" w:rsidR="00414F57" w:rsidRPr="00B806FD" w:rsidRDefault="00414F57" w:rsidP="00B806FD">
      <w:pPr>
        <w:pStyle w:val="FootnoteText"/>
      </w:pPr>
      <w:r w:rsidRPr="00B806FD">
        <w:rPr>
          <w:rStyle w:val="FootnoteReference"/>
        </w:rPr>
        <w:footnoteRef/>
      </w:r>
      <w:r w:rsidRPr="00B806FD">
        <w:t xml:space="preserve"> </w:t>
      </w:r>
      <w:r w:rsidRPr="00B806FD">
        <w:tab/>
        <w:t>At least in Pennsylvania and North Carolina.</w:t>
      </w:r>
    </w:p>
  </w:footnote>
  <w:footnote w:id="92">
    <w:p w14:paraId="0FBF79AD" w14:textId="3D4FDFF2" w:rsidR="00414F57" w:rsidRPr="00B806FD" w:rsidRDefault="00414F57" w:rsidP="00B806FD">
      <w:pPr>
        <w:pStyle w:val="FootnoteText"/>
      </w:pPr>
      <w:r w:rsidRPr="00B806FD">
        <w:rPr>
          <w:rStyle w:val="FootnoteReference"/>
        </w:rPr>
        <w:footnoteRef/>
      </w:r>
      <w:r w:rsidRPr="00B806FD">
        <w:t xml:space="preserve"> </w:t>
      </w:r>
      <w:r w:rsidRPr="00B806FD">
        <w:tab/>
        <w:t xml:space="preserve">For instance, in New York, the Court of Appeals split 4-3, though all members of the Court were appointed by Democratic governors.  Sara Dorn, </w:t>
      </w:r>
      <w:r w:rsidRPr="00B806FD">
        <w:rPr>
          <w:i/>
          <w:iCs/>
        </w:rPr>
        <w:t>Court of Appeals Throws Out New York Redistricting Maps</w:t>
      </w:r>
      <w:r w:rsidRPr="00B806FD">
        <w:t xml:space="preserve">, </w:t>
      </w:r>
      <w:r w:rsidRPr="00B806FD">
        <w:rPr>
          <w:smallCaps/>
        </w:rPr>
        <w:t>City &amp; State N.Y.</w:t>
      </w:r>
      <w:r w:rsidRPr="00B806FD">
        <w:t xml:space="preserve"> (2022), https://www.cityandstateny.com/policy/2022/04/court-appeals-throws-out-ny-maps/366199/ [https://perma.cc/L2QE-7LL6] (last visited Dec. 22, 2022).  In Ohio, all the Democratic justices were joined by the a single GOP justice in overturning the maps on a 4-3 vote, with all three dissents by GOP justices. Associated Press, </w:t>
      </w:r>
      <w:r w:rsidRPr="00B806FD">
        <w:rPr>
          <w:i/>
          <w:iCs/>
        </w:rPr>
        <w:t>Ohio Supreme Court Scraps 2nd GOP-Drawn Congressional Map</w:t>
      </w:r>
      <w:r w:rsidRPr="00B806FD">
        <w:t xml:space="preserve">, </w:t>
      </w:r>
      <w:r w:rsidRPr="00B806FD">
        <w:rPr>
          <w:smallCaps/>
        </w:rPr>
        <w:t>POLITICO</w:t>
      </w:r>
      <w:r w:rsidRPr="00B806FD">
        <w:t xml:space="preserve"> (July 19, 2022, 2:16 P.M.), https://www.politico.com/news/2022/07/19/ohio-supreme-court-scraps-2nd-gop-drawn-congressional-map-00046583 [https://perma.cc/CX96-3U8V].</w:t>
      </w:r>
    </w:p>
  </w:footnote>
  <w:footnote w:id="93">
    <w:p w14:paraId="3FAB9A32" w14:textId="7522209C" w:rsidR="00414F57" w:rsidRPr="00B806FD" w:rsidRDefault="00414F57" w:rsidP="00B806FD">
      <w:pPr>
        <w:pStyle w:val="FootnoteText"/>
      </w:pPr>
      <w:r w:rsidRPr="00B806FD">
        <w:rPr>
          <w:rStyle w:val="FootnoteReference"/>
        </w:rPr>
        <w:footnoteRef/>
      </w:r>
      <w:r w:rsidRPr="00B806FD">
        <w:rPr>
          <w:b/>
          <w:bCs/>
        </w:rPr>
        <w:t xml:space="preserve"> </w:t>
      </w:r>
      <w:r w:rsidRPr="00B806FD">
        <w:rPr>
          <w:b/>
          <w:bCs/>
        </w:rPr>
        <w:tab/>
      </w:r>
      <w:r w:rsidRPr="00B806FD">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94">
    <w:p w14:paraId="35473A6B" w14:textId="3949F99B" w:rsidR="00414F57" w:rsidRPr="00B806FD" w:rsidRDefault="00414F57" w:rsidP="00B806FD">
      <w:pPr>
        <w:pStyle w:val="FootnoteText"/>
      </w:pPr>
      <w:r w:rsidRPr="00B806FD">
        <w:rPr>
          <w:rStyle w:val="FootnoteReference"/>
        </w:rPr>
        <w:footnoteRef/>
      </w:r>
      <w:r w:rsidRPr="00B806FD">
        <w:t xml:space="preserve"> </w:t>
      </w:r>
      <w:r w:rsidRPr="00B806FD">
        <w:tab/>
        <w:t>This data is P.L. 94-171.  It includes detailed data on the entire population of the United States and is viewed as the authoritative dataset for redistricting.</w:t>
      </w:r>
    </w:p>
  </w:footnote>
  <w:footnote w:id="95">
    <w:p w14:paraId="0898F4F0" w14:textId="04DAE651"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rPr>
        <w:t>See</w:t>
      </w:r>
      <w:r w:rsidRPr="00B806FD">
        <w:t xml:space="preserve"> NCSL, </w:t>
      </w:r>
      <w:r w:rsidRPr="00B806FD">
        <w:rPr>
          <w:i/>
          <w:iCs/>
        </w:rPr>
        <w:t>2020 Census Delays and the Impact on Redistricting</w:t>
      </w:r>
      <w:r w:rsidRPr="00B806FD">
        <w:t>, NAT'L CONF. ON STATE LEGISLATURES (2021), https://www.ncsl.org/research/redistricting/2020-census-delays-and-the-impact-on-redistricting-637261879.aspx [https://perma.cc/NGA7-2DHA] (last visited Dec. 22, 2022).  This delay occurred in part because of COVID-19 and in part because of administrative failures.</w:t>
      </w:r>
    </w:p>
  </w:footnote>
  <w:footnote w:id="96">
    <w:p w14:paraId="6EF95B66" w14:textId="46C504D0"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noProof/>
        </w:rPr>
        <w:t>Shelby County. v. Holder, 570 U.S. 529 (2013).</w:t>
      </w:r>
    </w:p>
  </w:footnote>
  <w:footnote w:id="97">
    <w:p w14:paraId="6F344B71" w14:textId="32520160" w:rsidR="00414F57" w:rsidRPr="00B806FD" w:rsidRDefault="00414F57" w:rsidP="00B806FD">
      <w:pPr>
        <w:pStyle w:val="FootnoteText"/>
      </w:pPr>
      <w:r w:rsidRPr="00B806FD">
        <w:rPr>
          <w:rStyle w:val="FootnoteReference"/>
        </w:rPr>
        <w:footnoteRef/>
      </w:r>
      <w:r w:rsidRPr="00B806FD">
        <w:t xml:space="preserve"> </w:t>
      </w:r>
      <w:r w:rsidRPr="00B806FD">
        <w:tab/>
        <w:t xml:space="preserve">Richard L. Engstrom, </w:t>
      </w:r>
      <w:r w:rsidRPr="00B806FD">
        <w:rPr>
          <w:i/>
          <w:iCs/>
        </w:rPr>
        <w:t>Shelby County v. Holder and the Gutting of Federal Preclearance of Election Law Changes</w:t>
      </w:r>
      <w:r w:rsidRPr="00B806FD">
        <w:t xml:space="preserve">, 2 </w:t>
      </w:r>
      <w:r w:rsidRPr="00B806FD">
        <w:rPr>
          <w:smallCaps/>
        </w:rPr>
        <w:t>Pol. Groups Identities</w:t>
      </w:r>
      <w:r w:rsidRPr="00B806FD">
        <w:t xml:space="preserve"> 530, 534 (2014); Richard L Hasen, </w:t>
      </w:r>
      <w:r w:rsidRPr="00B806FD">
        <w:rPr>
          <w:i/>
          <w:iCs/>
        </w:rPr>
        <w:t>Shelby County and the Illusion of Minimalism</w:t>
      </w:r>
      <w:r w:rsidRPr="00B806FD">
        <w:t xml:space="preserve">, 22 </w:t>
      </w:r>
      <w:r w:rsidRPr="00B806FD">
        <w:rPr>
          <w:smallCaps/>
        </w:rPr>
        <w:t>Wm. &amp; Mary Bill Rts. J.</w:t>
      </w:r>
      <w:r w:rsidRPr="00B806FD">
        <w:t xml:space="preserve"> 713, 716 (2013).</w:t>
      </w:r>
    </w:p>
  </w:footnote>
  <w:footnote w:id="98">
    <w:p w14:paraId="443F23C3" w14:textId="43D71388" w:rsidR="00414F57" w:rsidRPr="00B806FD" w:rsidRDefault="00414F57" w:rsidP="00B806FD">
      <w:pPr>
        <w:pStyle w:val="FootnoteText"/>
      </w:pPr>
      <w:r w:rsidRPr="00B806FD">
        <w:rPr>
          <w:rStyle w:val="FootnoteReference"/>
        </w:rPr>
        <w:footnoteRef/>
      </w:r>
      <w:r w:rsidRPr="00B806FD">
        <w:t xml:space="preserve"> </w:t>
      </w:r>
      <w:r w:rsidRPr="00B806FD">
        <w:tab/>
        <w:t>52 U.S.C. §§ 10301-10313 (2014) (originally enacted 42 U.S.C. §§ 1973–73p (2006)).</w:t>
      </w:r>
    </w:p>
  </w:footnote>
  <w:footnote w:id="99">
    <w:p w14:paraId="454BD777" w14:textId="62A485BB" w:rsidR="00414F57" w:rsidRPr="00B806FD" w:rsidRDefault="00414F57" w:rsidP="00B806FD">
      <w:pPr>
        <w:pStyle w:val="FootnoteText"/>
      </w:pPr>
      <w:r w:rsidRPr="00B806FD">
        <w:rPr>
          <w:rStyle w:val="FootnoteReference"/>
        </w:rPr>
        <w:footnoteRef/>
      </w:r>
      <w:r w:rsidRPr="00B806FD">
        <w:t xml:space="preserve"> </w:t>
      </w:r>
      <w:r w:rsidRPr="00B806FD">
        <w:tab/>
        <w:t xml:space="preserve">James </w:t>
      </w:r>
      <w:proofErr w:type="spellStart"/>
      <w:r w:rsidRPr="00B806FD">
        <w:t>Blacksher</w:t>
      </w:r>
      <w:proofErr w:type="spellEnd"/>
      <w:r w:rsidRPr="00B806FD">
        <w:t xml:space="preserve"> &amp; Lani Guinier, </w:t>
      </w:r>
      <w:r w:rsidRPr="00B806FD">
        <w:rPr>
          <w:i/>
          <w:iCs/>
        </w:rPr>
        <w:t>Free at Last: Rejecting Equal Sovereignty and Restoring the Constitutional Right to Vote Shelby County v. Holder</w:t>
      </w:r>
      <w:r w:rsidRPr="00B806FD">
        <w:t xml:space="preserve">, 8 </w:t>
      </w:r>
      <w:r w:rsidRPr="00B806FD">
        <w:rPr>
          <w:smallCaps/>
        </w:rPr>
        <w:t>Harv. L. Pol'y Rev.</w:t>
      </w:r>
      <w:r w:rsidRPr="00B806FD">
        <w:t xml:space="preserve"> 39, 43-44 (2014).</w:t>
      </w:r>
    </w:p>
  </w:footnote>
  <w:footnote w:id="100">
    <w:p w14:paraId="0995D217" w14:textId="243A260F"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smallCaps/>
        </w:rPr>
        <w:t>National Conference of State Legislatures</w:t>
      </w:r>
      <w:r w:rsidRPr="00B806FD">
        <w:t xml:space="preserve">, </w:t>
      </w:r>
      <w:r w:rsidRPr="00B806FD">
        <w:rPr>
          <w:smallCaps/>
        </w:rPr>
        <w:t xml:space="preserve">Redistricting Law 2020, </w:t>
      </w:r>
      <w:r w:rsidRPr="00B806FD">
        <w:t>at 80 tbl. 6 (2019).  (Alabama, Alaska, Arizona, (part) California, (part) Florida, Georgia, Louisiana, (part) Michigan, Mississippi, (part) New Hampshire, (part) New York, (part) North Carolina, South Carolina, (part) South Dakota, Texas, Virginia).</w:t>
      </w:r>
    </w:p>
  </w:footnote>
  <w:footnote w:id="101">
    <w:p w14:paraId="53A9785F" w14:textId="1C66FA9A" w:rsidR="00414F57" w:rsidRPr="00B806FD" w:rsidRDefault="00414F57" w:rsidP="00B806FD">
      <w:pPr>
        <w:pStyle w:val="FootnoteText"/>
      </w:pPr>
      <w:r w:rsidRPr="00B806FD">
        <w:rPr>
          <w:rStyle w:val="FootnoteReference"/>
        </w:rPr>
        <w:footnoteRef/>
      </w:r>
      <w:r w:rsidRPr="00B806FD">
        <w:t xml:space="preserve"> </w:t>
      </w:r>
      <w:r w:rsidRPr="00B806FD">
        <w:tab/>
        <w:t xml:space="preserve">By invalidating section 4(b) of the Voting Rights Act, the </w:t>
      </w:r>
      <w:r w:rsidRPr="00B806FD">
        <w:rPr>
          <w:i/>
          <w:iCs/>
        </w:rPr>
        <w:t xml:space="preserve">Shelby </w:t>
      </w:r>
      <w:r w:rsidRPr="00B806FD">
        <w:t xml:space="preserve">court eliminated the enforcement mechanism provided by Section 5.  </w:t>
      </w:r>
      <w:r w:rsidRPr="00B806FD">
        <w:rPr>
          <w:i/>
          <w:iCs/>
        </w:rPr>
        <w:t xml:space="preserve">See </w:t>
      </w:r>
      <w:r w:rsidRPr="00B806FD">
        <w:rPr>
          <w:i/>
        </w:rPr>
        <w:t>Shelby County</w:t>
      </w:r>
      <w:r w:rsidRPr="00B806FD">
        <w:t>, 570 U.S. at 557.</w:t>
      </w:r>
    </w:p>
  </w:footnote>
  <w:footnote w:id="102">
    <w:p w14:paraId="277BC14F" w14:textId="504F83EB" w:rsidR="00414F57" w:rsidRPr="00B806FD" w:rsidRDefault="00414F57" w:rsidP="00B806FD">
      <w:pPr>
        <w:pStyle w:val="FootnoteText"/>
      </w:pPr>
      <w:r w:rsidRPr="00B806FD">
        <w:rPr>
          <w:rStyle w:val="FootnoteReference"/>
        </w:rPr>
        <w:footnoteRef/>
      </w:r>
      <w:r w:rsidRPr="00B806FD">
        <w:t xml:space="preserve"> </w:t>
      </w:r>
      <w:r w:rsidRPr="00B806FD">
        <w:tab/>
        <w:t xml:space="preserve">The John R. Lewis Voting Rights Advancement Act was proposed by the Congress in 2021.  It has not been passed at the time of the writing of this essay.  Andrews Garber, </w:t>
      </w:r>
      <w:r w:rsidRPr="00B806FD">
        <w:rPr>
          <w:i/>
          <w:iCs/>
        </w:rPr>
        <w:t>Debunking False Claims About the John Lewis Voting Rights Act</w:t>
      </w:r>
      <w:r w:rsidRPr="00B806FD">
        <w:t xml:space="preserve">, </w:t>
      </w:r>
      <w:r w:rsidRPr="00B806FD">
        <w:rPr>
          <w:smallCaps/>
        </w:rPr>
        <w:t>Brennan Center for Justice</w:t>
      </w:r>
      <w:r w:rsidRPr="00B806FD">
        <w:t xml:space="preserve"> (Jan. 13, 2022), https://www.brennancenter.org/our-work/research-reports/debunking-false-claims-about-john-lewis-voting-rights-act [https://perma.cc/ZSZ3-BXCW].</w:t>
      </w:r>
    </w:p>
  </w:footnote>
  <w:footnote w:id="103">
    <w:p w14:paraId="51B3C3A6" w14:textId="4C41C588"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smallCaps/>
        </w:rPr>
        <w:t>Michelle Davis et al., National Conference of State Legislatures</w:t>
      </w:r>
      <w:r w:rsidRPr="00B806FD">
        <w:t xml:space="preserve">, </w:t>
      </w:r>
      <w:r w:rsidRPr="00B806FD">
        <w:rPr>
          <w:i/>
          <w:iCs/>
        </w:rPr>
        <w:t>supra</w:t>
      </w:r>
      <w:r w:rsidRPr="00B806FD">
        <w:t xml:space="preserve"> note 7, at xvi.</w:t>
      </w:r>
    </w:p>
  </w:footnote>
  <w:footnote w:id="104">
    <w:p w14:paraId="786589DF" w14:textId="03D731FE" w:rsidR="00414F57" w:rsidRPr="00F334CE" w:rsidRDefault="00414F57" w:rsidP="00B806FD">
      <w:pPr>
        <w:pStyle w:val="FootnoteText"/>
        <w:rPr>
          <w:rFonts w:ascii="Alegreya" w:hAnsi="Alegreya" w:cstheme="minorBidi"/>
        </w:rPr>
      </w:pPr>
      <w:r w:rsidRPr="00B806FD">
        <w:rPr>
          <w:rStyle w:val="FootnoteReference"/>
        </w:rPr>
        <w:footnoteRef/>
      </w:r>
      <w:r w:rsidRPr="00B806FD">
        <w:t xml:space="preserve"> </w:t>
      </w:r>
      <w:r w:rsidRPr="00B806FD">
        <w:tab/>
      </w:r>
      <w:r w:rsidRPr="00B806FD">
        <w:rPr>
          <w:i/>
          <w:iCs/>
        </w:rPr>
        <w:t>See generally</w:t>
      </w:r>
      <w:r w:rsidRPr="00B806FD">
        <w:t xml:space="preserve"> </w:t>
      </w:r>
      <w:ins w:id="217" w:author="Jonathan Cervas" w:date="2023-06-18T18:48:00Z">
        <w:r w:rsidR="00E53BF8" w:rsidRPr="00E53BF8">
          <w:t>Merrill v. Milligan, 142 S. Ct. 879, 882 (2022) ("In light of this Court's many precedents applying the Purcell principle and staying lower court injunctions of state election laws in the period close to an election, I concur in the Court's order granting a stay of the District Court's injunction here.")</w:t>
        </w:r>
      </w:ins>
      <w:del w:id="218" w:author="Jonathan Cervas" w:date="2023-06-18T18:48:00Z">
        <w:r w:rsidRPr="00B806FD" w:rsidDel="00E53BF8">
          <w:delText>Merrill v. Milligan, 142 S.Ct. 879, 883 (2022)</w:delText>
        </w:r>
      </w:del>
      <w:r w:rsidRPr="00B806FD">
        <w:t>;</w:t>
      </w:r>
      <w:del w:id="219" w:author="Jonathan Cervas" w:date="2023-06-18T18:50:00Z">
        <w:r w:rsidRPr="00B806FD" w:rsidDel="00E53BF8">
          <w:delText xml:space="preserve"> Complaint, Galmon v. Ardoin, No. 3:22-CV-214 at 1 (M.D. La. 2022)</w:delText>
        </w:r>
      </w:del>
      <w:ins w:id="220" w:author="Jonathan Cervas" w:date="2023-06-18T18:51:00Z">
        <w:r w:rsidR="00E53BF8" w:rsidRPr="00F334CE">
          <w:rPr>
            <w:rFonts w:ascii="Alegreya" w:hAnsi="Alegreya" w:cstheme="minorBidi"/>
            <w:rPrChange w:id="221" w:author="Jonathan Cervas" w:date="2023-06-18T18:57:00Z">
              <w:rPr>
                <w:rFonts w:ascii="Arial" w:hAnsi="Arial" w:cs="Arial"/>
                <w:color w:val="212121"/>
                <w:sz w:val="21"/>
                <w:szCs w:val="21"/>
              </w:rPr>
            </w:rPrChange>
          </w:rPr>
          <w:t xml:space="preserve"> </w:t>
        </w:r>
      </w:ins>
      <w:ins w:id="222" w:author="Jonathan Cervas" w:date="2023-06-18T18:57:00Z">
        <w:r w:rsidR="00F334CE">
          <w:t xml:space="preserve">; </w:t>
        </w:r>
      </w:ins>
      <w:proofErr w:type="spellStart"/>
      <w:ins w:id="223" w:author="Jonathan Cervas" w:date="2023-06-18T18:56:00Z">
        <w:r w:rsidR="00F334CE" w:rsidRPr="00F334CE">
          <w:rPr>
            <w:rFonts w:ascii="Alegreya" w:hAnsi="Alegreya" w:cstheme="minorBidi"/>
            <w:rPrChange w:id="224" w:author="Jonathan Cervas" w:date="2023-06-18T18:57:00Z">
              <w:rPr>
                <w:rFonts w:ascii="Arial" w:hAnsi="Arial" w:cs="Arial"/>
                <w:color w:val="212121"/>
                <w:szCs w:val="21"/>
              </w:rPr>
            </w:rPrChange>
          </w:rPr>
          <w:t>Ardoin</w:t>
        </w:r>
        <w:proofErr w:type="spellEnd"/>
        <w:r w:rsidR="00F334CE" w:rsidRPr="00F334CE">
          <w:rPr>
            <w:rFonts w:ascii="Alegreya" w:hAnsi="Alegreya" w:cstheme="minorBidi"/>
            <w:rPrChange w:id="225" w:author="Jonathan Cervas" w:date="2023-06-18T18:57:00Z">
              <w:rPr>
                <w:rFonts w:ascii="Arial" w:hAnsi="Arial" w:cs="Arial"/>
                <w:color w:val="212121"/>
                <w:szCs w:val="21"/>
              </w:rPr>
            </w:rPrChange>
          </w:rPr>
          <w:t xml:space="preserve"> v. Robinson, 142 </w:t>
        </w:r>
        <w:proofErr w:type="spellStart"/>
        <w:r w:rsidR="00F334CE" w:rsidRPr="00F334CE">
          <w:rPr>
            <w:rFonts w:ascii="Alegreya" w:hAnsi="Alegreya" w:cstheme="minorBidi"/>
            <w:rPrChange w:id="226" w:author="Jonathan Cervas" w:date="2023-06-18T18:57:00Z">
              <w:rPr>
                <w:rFonts w:ascii="Arial" w:hAnsi="Arial" w:cs="Arial"/>
                <w:color w:val="212121"/>
                <w:szCs w:val="21"/>
              </w:rPr>
            </w:rPrChange>
          </w:rPr>
          <w:t>S.Ct</w:t>
        </w:r>
        <w:proofErr w:type="spellEnd"/>
        <w:r w:rsidR="00F334CE" w:rsidRPr="00F334CE">
          <w:rPr>
            <w:rFonts w:ascii="Alegreya" w:hAnsi="Alegreya" w:cstheme="minorBidi"/>
            <w:rPrChange w:id="227" w:author="Jonathan Cervas" w:date="2023-06-18T18:57:00Z">
              <w:rPr>
                <w:rFonts w:ascii="Arial" w:hAnsi="Arial" w:cs="Arial"/>
                <w:color w:val="212121"/>
                <w:szCs w:val="21"/>
              </w:rPr>
            </w:rPrChange>
          </w:rPr>
          <w:t>. 2892 (Mem) (</w:t>
        </w:r>
      </w:ins>
      <w:ins w:id="228" w:author="Jonathan Cervas" w:date="2023-06-18T18:57:00Z">
        <w:r w:rsidR="00F334CE" w:rsidRPr="00F334CE">
          <w:t>October 12, 2022</w:t>
        </w:r>
      </w:ins>
      <w:ins w:id="229" w:author="Jonathan Cervas" w:date="2023-06-18T18:56:00Z">
        <w:r w:rsidR="00F334CE" w:rsidRPr="00F334CE">
          <w:rPr>
            <w:rFonts w:ascii="Alegreya" w:hAnsi="Alegreya" w:cstheme="minorBidi"/>
            <w:rPrChange w:id="230" w:author="Jonathan Cervas" w:date="2023-06-18T18:57:00Z">
              <w:rPr>
                <w:rFonts w:ascii="Arial" w:hAnsi="Arial" w:cs="Arial"/>
                <w:color w:val="212121"/>
                <w:szCs w:val="21"/>
              </w:rPr>
            </w:rPrChange>
          </w:rPr>
          <w:t>) (“The case is held in abeyance pending this Court's decision in </w:t>
        </w:r>
        <w:r w:rsidR="00F334CE" w:rsidRPr="00F334CE">
          <w:rPr>
            <w:rFonts w:ascii="Alegreya" w:hAnsi="Alegreya" w:cstheme="minorBidi"/>
            <w:rPrChange w:id="231" w:author="Jonathan Cervas" w:date="2023-06-18T18:57:00Z">
              <w:rPr>
                <w:rFonts w:ascii="Arial" w:hAnsi="Arial" w:cs="Arial"/>
                <w:i/>
                <w:iCs/>
                <w:color w:val="212121"/>
                <w:szCs w:val="21"/>
              </w:rPr>
            </w:rPrChange>
          </w:rPr>
          <w:t>Merrill, AL Sec. of State, et al. v. Milligan, Evan, et al. </w:t>
        </w:r>
        <w:r w:rsidR="00F334CE" w:rsidRPr="00F334CE">
          <w:rPr>
            <w:rFonts w:ascii="Alegreya" w:hAnsi="Alegreya" w:cstheme="minorBidi"/>
            <w:rPrChange w:id="232" w:author="Jonathan Cervas" w:date="2023-06-18T18:57:00Z">
              <w:rPr>
                <w:rFonts w:ascii="Arial" w:hAnsi="Arial" w:cs="Arial"/>
                <w:color w:val="212121"/>
                <w:szCs w:val="21"/>
              </w:rPr>
            </w:rPrChange>
          </w:rPr>
          <w:t>(No. 21-1086 and No. 21-1087) or further order of the Court.”)</w:t>
        </w:r>
      </w:ins>
      <w:del w:id="233" w:author="Jonathan Cervas" w:date="2023-06-18T18:50:00Z">
        <w:r w:rsidRPr="00B806FD" w:rsidDel="00E53BF8">
          <w:rPr>
            <w:noProof/>
          </w:rPr>
          <w:delText>.</w:delText>
        </w:r>
      </w:del>
    </w:p>
  </w:footnote>
  <w:footnote w:id="105">
    <w:p w14:paraId="6A6736A8" w14:textId="6D27B9AE" w:rsidR="00414F57" w:rsidRPr="00B806FD" w:rsidRDefault="00414F57" w:rsidP="00B806FD">
      <w:pPr>
        <w:pStyle w:val="FootnoteText"/>
      </w:pPr>
      <w:r w:rsidRPr="00B806FD">
        <w:rPr>
          <w:rStyle w:val="FootnoteReference"/>
        </w:rPr>
        <w:footnoteRef/>
      </w:r>
      <w:r w:rsidRPr="00B806FD">
        <w:t xml:space="preserve"> </w:t>
      </w:r>
      <w:r w:rsidRPr="00B806FD">
        <w:tab/>
        <w:t xml:space="preserve">Richard L. Hasen, </w:t>
      </w:r>
      <w:r w:rsidRPr="00B806FD">
        <w:rPr>
          <w:i/>
          <w:iCs/>
        </w:rPr>
        <w:t>Race or Party, Race as Party, or Party All the Time: Three Uneasy Approaches to Conjoined Polarization in Redistricting and Voting Cases</w:t>
      </w:r>
      <w:r w:rsidRPr="00B806FD">
        <w:t xml:space="preserve">, 59 </w:t>
      </w:r>
      <w:r w:rsidRPr="00B806FD">
        <w:rPr>
          <w:smallCaps/>
        </w:rPr>
        <w:t>Wm. L. Rev.</w:t>
      </w:r>
      <w:r w:rsidRPr="00B806FD">
        <w:t xml:space="preserve"> 1837, 1839 (2018).</w:t>
      </w:r>
    </w:p>
  </w:footnote>
  <w:footnote w:id="106">
    <w:p w14:paraId="14A8B49C" w14:textId="21424F5D"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w:t>
      </w:r>
      <w:proofErr w:type="gramStart"/>
      <w:r w:rsidRPr="00B806FD">
        <w:t>at</w:t>
      </w:r>
      <w:proofErr w:type="gramEnd"/>
      <w:r w:rsidRPr="00B806FD">
        <w:t xml:space="preserve"> 1838.</w:t>
      </w:r>
    </w:p>
  </w:footnote>
  <w:footnote w:id="107">
    <w:p w14:paraId="27257587" w14:textId="510788BD" w:rsidR="00414F57" w:rsidRPr="00B806FD" w:rsidRDefault="00414F57" w:rsidP="00B806FD">
      <w:pPr>
        <w:pStyle w:val="FootnoteText"/>
      </w:pPr>
      <w:r w:rsidRPr="00B806FD">
        <w:rPr>
          <w:rStyle w:val="FootnoteReference"/>
        </w:rPr>
        <w:footnoteRef/>
      </w:r>
      <w:r w:rsidRPr="00B806FD">
        <w:t xml:space="preserve"> </w:t>
      </w:r>
      <w:r w:rsidRPr="00B806FD">
        <w:tab/>
        <w:t>For example, in Georgia in 2020, whites supported Trump over Biden 69% to 30%.  Blacks gave only 11% support to Trump, and Hispanics split 37% to Trump and 62% to Biden.  Georgia Exit Polls based on 4,385 total respondents, C</w:t>
      </w:r>
      <w:r w:rsidRPr="00B806FD">
        <w:rPr>
          <w:smallCaps/>
        </w:rPr>
        <w:t>NN, CNN Politics</w:t>
      </w:r>
      <w:r w:rsidRPr="00B806FD">
        <w:t xml:space="preserve">, </w:t>
      </w:r>
      <w:r w:rsidRPr="00B806FD">
        <w:rPr>
          <w:i/>
          <w:iCs/>
        </w:rPr>
        <w:t>Exit Polls</w:t>
      </w:r>
      <w:r w:rsidRPr="00B806FD">
        <w:t>,</w:t>
      </w:r>
      <w:r w:rsidRPr="00B806FD">
        <w:rPr>
          <w:smallCaps/>
        </w:rPr>
        <w:t xml:space="preserve"> </w:t>
      </w:r>
      <w:hyperlink r:id="rId1" w:history="1">
        <w:r w:rsidRPr="00B806FD">
          <w:rPr>
            <w:rStyle w:val="Hyperlink"/>
            <w:color w:val="auto"/>
            <w:u w:val="none"/>
          </w:rPr>
          <w:t>https://www.cnn.com/election/2020/exit-polls/president/georgia</w:t>
        </w:r>
      </w:hyperlink>
      <w:r w:rsidRPr="00B806FD">
        <w:t xml:space="preserve"> [https://perma.cc/Q66Z-UDSW] (last visited Jan. 27, 2023).  In South Carolina, Trump received the support of 73% of White voters but only 9% of Black voters.  South Carolina Exit Polls based on 1,684 total respondents, C</w:t>
      </w:r>
      <w:r w:rsidRPr="00B806FD">
        <w:rPr>
          <w:smallCaps/>
        </w:rPr>
        <w:t>NN, CNN Politics</w:t>
      </w:r>
      <w:r w:rsidRPr="00B806FD">
        <w:t xml:space="preserve">, </w:t>
      </w:r>
      <w:r w:rsidRPr="00B806FD">
        <w:rPr>
          <w:i/>
          <w:iCs/>
        </w:rPr>
        <w:t>Exit Polls</w:t>
      </w:r>
      <w:r w:rsidRPr="00B806FD">
        <w:t xml:space="preserve">, </w:t>
      </w:r>
      <w:hyperlink r:id="rId2" w:history="1">
        <w:r w:rsidRPr="00B806FD">
          <w:rPr>
            <w:rStyle w:val="Hyperlink"/>
            <w:color w:val="auto"/>
            <w:u w:val="none"/>
          </w:rPr>
          <w:t>https://www.cnn.com/election/2020/exit-polls/president/south-carolina</w:t>
        </w:r>
      </w:hyperlink>
      <w:r w:rsidRPr="00B806FD">
        <w:t xml:space="preserve"> [https://perma.cc/X7Y1-XCB8] (last visited Jan. 27, 2023).</w:t>
      </w:r>
    </w:p>
  </w:footnote>
  <w:footnote w:id="108">
    <w:p w14:paraId="631A8000" w14:textId="104208AA"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See</w:t>
      </w:r>
      <w:r w:rsidRPr="00B806FD">
        <w:rPr>
          <w:i/>
        </w:rPr>
        <w:t xml:space="preserve"> </w:t>
      </w:r>
      <w:r w:rsidRPr="00B806FD">
        <w:rPr>
          <w:noProof/>
        </w:rPr>
        <w:t>Thornburg v. Gingles, 478 U.S. 30 (1986).</w:t>
      </w:r>
    </w:p>
  </w:footnote>
  <w:footnote w:id="109">
    <w:p w14:paraId="0AAD768A" w14:textId="051AEAD5"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See Merrill</w:t>
      </w:r>
      <w:r w:rsidRPr="00B806FD">
        <w:t>, 142 S. Ct. at 879.</w:t>
      </w:r>
    </w:p>
  </w:footnote>
  <w:footnote w:id="110">
    <w:p w14:paraId="3BA94D3F" w14:textId="3198C985"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882-83.</w:t>
      </w:r>
    </w:p>
  </w:footnote>
  <w:footnote w:id="111">
    <w:p w14:paraId="6B58F51F" w14:textId="078AF730" w:rsidR="009410F0" w:rsidRDefault="009410F0">
      <w:pPr>
        <w:pStyle w:val="FootnoteText"/>
      </w:pPr>
      <w:ins w:id="240" w:author="Jonathan Cervas" w:date="2023-06-18T19:14:00Z">
        <w:r>
          <w:rPr>
            <w:rStyle w:val="FootnoteReference"/>
          </w:rPr>
          <w:footnoteRef/>
        </w:r>
        <w:r>
          <w:t xml:space="preserve"> </w:t>
        </w:r>
      </w:ins>
      <w:ins w:id="241" w:author="Jonathan Cervas" w:date="2023-06-18T19:15:00Z">
        <w:r w:rsidRPr="009410F0">
          <w:t>Allen v. Milligan, 2023 WL 3872517, at *3 (</w:t>
        </w:r>
        <w:proofErr w:type="spellStart"/>
        <w:r w:rsidRPr="009410F0">
          <w:t>U.S.Ala</w:t>
        </w:r>
        <w:proofErr w:type="spellEnd"/>
        <w:r w:rsidRPr="009410F0">
          <w:t>., 2023)</w:t>
        </w:r>
        <w:r>
          <w:t xml:space="preserve"> (“</w:t>
        </w:r>
        <w:r w:rsidRPr="009410F0">
          <w:t>The Court rejects the State's contention that adopting the race-neutral benchmark as the point of comparison in § 2 cases would best match the text of the VRA</w:t>
        </w:r>
        <w:r>
          <w:t>.”)</w:t>
        </w:r>
      </w:ins>
    </w:p>
  </w:footnote>
  <w:footnote w:id="112">
    <w:p w14:paraId="69053DCE" w14:textId="3295C07E" w:rsidR="00414F57" w:rsidRPr="00B806FD" w:rsidRDefault="00414F57" w:rsidP="00B806FD">
      <w:pPr>
        <w:pStyle w:val="FootnoteText"/>
      </w:pPr>
      <w:r w:rsidRPr="00B806FD">
        <w:rPr>
          <w:rStyle w:val="FootnoteReference"/>
        </w:rPr>
        <w:footnoteRef/>
      </w:r>
      <w:r w:rsidRPr="00B806FD">
        <w:t xml:space="preserve"> </w:t>
      </w:r>
      <w:r w:rsidRPr="00B806FD">
        <w:tab/>
        <w:t>There are other elements that need to be satisfied for a Section Two challenge to be successful</w:t>
      </w:r>
      <w:r w:rsidRPr="00B806FD">
        <w:rPr>
          <w:i/>
          <w:iCs/>
        </w:rPr>
        <w:t>.</w:t>
      </w:r>
      <w:r w:rsidRPr="00B806FD">
        <w:t xml:space="preserve">  </w:t>
      </w:r>
      <w:r w:rsidRPr="00B806FD">
        <w:rPr>
          <w:i/>
          <w:iCs/>
        </w:rPr>
        <w:t xml:space="preserve">See </w:t>
      </w:r>
      <w:r w:rsidRPr="00B806FD">
        <w:t xml:space="preserve">Davis et al., </w:t>
      </w:r>
      <w:r w:rsidRPr="00B806FD">
        <w:rPr>
          <w:i/>
          <w:iCs/>
        </w:rPr>
        <w:t>supra</w:t>
      </w:r>
      <w:r w:rsidRPr="00B806FD">
        <w:t xml:space="preserve"> note 7 at 43–44.</w:t>
      </w:r>
    </w:p>
  </w:footnote>
  <w:footnote w:id="113">
    <w:p w14:paraId="0920F276" w14:textId="6AF962CE"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noProof/>
        </w:rPr>
        <w:t>Shaw v. Reno, 509 U.S. 630, 641-42 (1993).</w:t>
      </w:r>
    </w:p>
  </w:footnote>
  <w:footnote w:id="114">
    <w:p w14:paraId="50025E8D" w14:textId="0084DADD" w:rsidR="00414F57" w:rsidRPr="00B806FD" w:rsidRDefault="00414F57" w:rsidP="00B806FD">
      <w:pPr>
        <w:pStyle w:val="FootnoteText"/>
      </w:pPr>
      <w:r w:rsidRPr="00B806FD">
        <w:rPr>
          <w:rStyle w:val="FootnoteReference"/>
        </w:rPr>
        <w:footnoteRef/>
      </w:r>
      <w:r w:rsidRPr="00B806FD">
        <w:t xml:space="preserve"> </w:t>
      </w:r>
      <w:r w:rsidRPr="00B806FD">
        <w:tab/>
        <w:t xml:space="preserve">Frank R. Parker, </w:t>
      </w:r>
      <w:r w:rsidRPr="00B806FD">
        <w:rPr>
          <w:i/>
          <w:iCs/>
        </w:rPr>
        <w:t>Shaw v. Reno: A Constitutional Setback for Minority Representation</w:t>
      </w:r>
      <w:r w:rsidRPr="00B806FD">
        <w:t xml:space="preserve">, 28 </w:t>
      </w:r>
      <w:r w:rsidRPr="00B806FD">
        <w:rPr>
          <w:smallCaps/>
        </w:rPr>
        <w:t>PS Pol. Sci. and Pol.</w:t>
      </w:r>
      <w:r w:rsidRPr="00B806FD">
        <w:t xml:space="preserve"> 47 (1995)</w:t>
      </w:r>
      <w:r w:rsidRPr="00B806FD" w:rsidDel="006F24C5">
        <w:t xml:space="preserve"> </w:t>
      </w:r>
      <w:r w:rsidRPr="00B806FD">
        <w:t xml:space="preserve">(stating “[t]he </w:t>
      </w:r>
      <w:proofErr w:type="gramStart"/>
      <w:r w:rsidRPr="00B806FD">
        <w:t>striking</w:t>
      </w:r>
      <w:proofErr w:type="gramEnd"/>
      <w:r w:rsidRPr="00B806FD">
        <w:t xml:space="preserve"> increases in the number of majority-black and majority-Hispanic districts triggered a white backlash that focused on the use of race in drawing majority-minority districts and on the shapes of some of the districts. Offended white voters have filed federal court lawsuits in five states—North Carolina, Louisiana, Georgia, Texas, and Florida—alleging that the creation of majority-minority districts violates the Equal Protection Clause of the Fourteenth Amendment.”).</w:t>
      </w:r>
    </w:p>
  </w:footnote>
  <w:footnote w:id="115">
    <w:p w14:paraId="05F21E38" w14:textId="4F45112B" w:rsidR="00414F57" w:rsidRPr="00562441" w:rsidRDefault="00414F57" w:rsidP="00B806FD">
      <w:pPr>
        <w:pStyle w:val="FootnoteText"/>
        <w:rPr>
          <w:i/>
          <w:iCs/>
          <w:rPrChange w:id="242" w:author="Jonathan Cervas" w:date="2023-06-20T18:00:00Z">
            <w:rPr/>
          </w:rPrChange>
        </w:rPr>
      </w:pPr>
      <w:r w:rsidRPr="00B806FD">
        <w:rPr>
          <w:rStyle w:val="FootnoteReference"/>
        </w:rPr>
        <w:footnoteRef/>
      </w:r>
      <w:r w:rsidRPr="00B806FD">
        <w:t xml:space="preserve"> </w:t>
      </w:r>
      <w:r w:rsidRPr="00B806FD">
        <w:tab/>
      </w:r>
      <w:r w:rsidRPr="008C1524">
        <w:rPr>
          <w:i/>
          <w:iCs/>
        </w:rPr>
        <w:t>Shaw</w:t>
      </w:r>
      <w:r w:rsidRPr="008C1524">
        <w:t xml:space="preserve">, 509 U.S. at 641–642. (Highlighting how the appellants “alleged that the deliberate segregation of voters into separate districts </w:t>
      </w:r>
      <w:proofErr w:type="gramStart"/>
      <w:r w:rsidRPr="008C1524">
        <w:t>on the basis of</w:t>
      </w:r>
      <w:proofErr w:type="gramEnd"/>
      <w:r w:rsidRPr="008C1524">
        <w:t xml:space="preserve"> race violated their constitutional right to participate in a ‘color-blind’ electoral process.”).</w:t>
      </w:r>
      <w:ins w:id="243" w:author="Jonathan Cervas" w:date="2023-06-20T18:00:00Z">
        <w:r w:rsidR="00562441" w:rsidRPr="008C1524">
          <w:t xml:space="preserve"> </w:t>
        </w:r>
        <w:r w:rsidR="00562441" w:rsidRPr="008C1524">
          <w:rPr>
            <w:i/>
            <w:iCs/>
          </w:rPr>
          <w:t>See also</w:t>
        </w:r>
      </w:ins>
      <w:ins w:id="244" w:author="Jonathan Cervas" w:date="2023-06-20T18:01:00Z">
        <w:r w:rsidR="00562441" w:rsidRPr="008C1524">
          <w:rPr>
            <w:i/>
            <w:iCs/>
          </w:rPr>
          <w:t xml:space="preserve"> </w:t>
        </w:r>
        <w:r w:rsidR="00562441" w:rsidRPr="008C1524">
          <w:rPr>
            <w:rFonts w:eastAsiaTheme="minorEastAsia"/>
            <w:u w:val="single"/>
            <w:rPrChange w:id="245" w:author="Jonathan Cervas" w:date="2023-06-29T16:52:00Z">
              <w:rPr>
                <w:rFonts w:ascii="Alegreya" w:eastAsiaTheme="minorEastAsia" w:hAnsi="Alegreya" w:cstheme="minorBidi"/>
                <w:i/>
                <w:iCs/>
                <w:u w:val="single"/>
              </w:rPr>
            </w:rPrChange>
          </w:rPr>
          <w:t>Allen v. Milligan</w:t>
        </w:r>
        <w:r w:rsidR="00562441" w:rsidRPr="008C1524">
          <w:rPr>
            <w:rFonts w:eastAsiaTheme="minorEastAsia"/>
            <w:rPrChange w:id="246" w:author="Jonathan Cervas" w:date="2023-06-29T16:52:00Z">
              <w:rPr>
                <w:rFonts w:ascii="Alegreya" w:eastAsiaTheme="minorEastAsia" w:hAnsi="Alegreya" w:cstheme="minorBidi"/>
                <w:i/>
                <w:iCs/>
              </w:rPr>
            </w:rPrChange>
          </w:rPr>
          <w:t>, No. 21-1086, 2023 WL 3872517, at *38 (U.S. June 8, 2023)</w:t>
        </w:r>
        <w:r w:rsidR="00562441" w:rsidRPr="008C1524">
          <w:rPr>
            <w:rPrChange w:id="247" w:author="Jonathan Cervas" w:date="2023-06-29T16:52:00Z">
              <w:rPr>
                <w:i/>
                <w:iCs/>
              </w:rPr>
            </w:rPrChange>
          </w:rPr>
          <w:t>.</w:t>
        </w:r>
      </w:ins>
      <w:ins w:id="248" w:author="Jonathan Cervas" w:date="2023-06-20T18:00:00Z">
        <w:r w:rsidR="00562441" w:rsidRPr="008C1524">
          <w:rPr>
            <w:rPrChange w:id="249" w:author="Jonathan Cervas" w:date="2023-06-29T16:52:00Z">
              <w:rPr>
                <w:i/>
                <w:iCs/>
              </w:rPr>
            </w:rPrChange>
          </w:rPr>
          <w:t xml:space="preserve"> </w:t>
        </w:r>
      </w:ins>
      <w:ins w:id="250" w:author="Jonathan Cervas" w:date="2023-06-20T18:01:00Z">
        <w:r w:rsidR="00562441" w:rsidRPr="008C1524">
          <w:rPr>
            <w:rPrChange w:id="251" w:author="Jonathan Cervas" w:date="2023-06-29T16:52:00Z">
              <w:rPr>
                <w:i/>
                <w:iCs/>
              </w:rPr>
            </w:rPrChange>
          </w:rPr>
          <w:t>(“</w:t>
        </w:r>
      </w:ins>
      <w:ins w:id="252" w:author="Jonathan Cervas" w:date="2023-06-20T18:00:00Z">
        <w:r w:rsidR="00562441" w:rsidRPr="008C1524">
          <w:rPr>
            <w:rFonts w:eastAsiaTheme="minorEastAsia"/>
            <w:rPrChange w:id="253" w:author="Jonathan Cervas" w:date="2023-06-29T16:52:00Z">
              <w:rPr>
                <w:rFonts w:ascii="Alegreya" w:eastAsiaTheme="minorEastAsia" w:hAnsi="Alegreya" w:cstheme="minorBidi"/>
                <w:i/>
                <w:iCs/>
              </w:rPr>
            </w:rPrChange>
          </w:rPr>
          <w:t>Today, however, by approving the plaintiffs’ racially gerrymandered maps as reasonably configured, refusing to ground § 2 vote-dilution claims in a race-neutral benchmark, and affirming a vote-dilution finding that can only be justified by a benchmark of proportional control, the majority holds, in substance, that race belongs in virtually every redistricting.</w:t>
        </w:r>
      </w:ins>
      <w:ins w:id="254" w:author="Jonathan Cervas" w:date="2023-06-20T18:01:00Z">
        <w:r w:rsidR="00562441" w:rsidRPr="008C1524">
          <w:rPr>
            <w:rPrChange w:id="255" w:author="Jonathan Cervas" w:date="2023-06-29T16:52:00Z">
              <w:rPr>
                <w:i/>
                <w:iCs/>
              </w:rPr>
            </w:rPrChange>
          </w:rPr>
          <w:t>”)</w:t>
        </w:r>
      </w:ins>
    </w:p>
  </w:footnote>
  <w:footnote w:id="116">
    <w:p w14:paraId="347DF966" w14:textId="3EF76F19" w:rsidR="00414F57" w:rsidRPr="00B806FD" w:rsidRDefault="00414F57" w:rsidP="00B806FD">
      <w:pPr>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t xml:space="preserve">This occurs because of the predictable alignment between race and party affiliation.  </w:t>
      </w:r>
      <w:r w:rsidRPr="00B806FD">
        <w:rPr>
          <w:i/>
          <w:iCs/>
          <w:sz w:val="18"/>
          <w:szCs w:val="18"/>
        </w:rPr>
        <w:t>See</w:t>
      </w:r>
      <w:r w:rsidRPr="00B806FD">
        <w:rPr>
          <w:sz w:val="18"/>
          <w:szCs w:val="18"/>
        </w:rPr>
        <w:t xml:space="preserve"> Pew Research Center, </w:t>
      </w:r>
      <w:r w:rsidRPr="00B806FD">
        <w:rPr>
          <w:i/>
          <w:iCs/>
          <w:sz w:val="18"/>
          <w:szCs w:val="18"/>
        </w:rPr>
        <w:t xml:space="preserve">A Deep Dive </w:t>
      </w:r>
      <w:proofErr w:type="gramStart"/>
      <w:r w:rsidRPr="00B806FD">
        <w:rPr>
          <w:i/>
          <w:iCs/>
          <w:sz w:val="18"/>
          <w:szCs w:val="18"/>
        </w:rPr>
        <w:t>Into</w:t>
      </w:r>
      <w:proofErr w:type="gramEnd"/>
      <w:r w:rsidRPr="00B806FD">
        <w:rPr>
          <w:i/>
          <w:iCs/>
          <w:sz w:val="18"/>
          <w:szCs w:val="18"/>
        </w:rPr>
        <w:t xml:space="preserve"> Party Affiliation</w:t>
      </w:r>
      <w:r w:rsidRPr="00B806FD">
        <w:rPr>
          <w:sz w:val="18"/>
          <w:szCs w:val="18"/>
        </w:rPr>
        <w:t xml:space="preserve">, (2015), https://www.pewresearch.org/politics/2015/04/07/a-deep-dive-into-party-affiliation/ [https://perma.cc/WCT6-7XWW] (last visited Dec. 23, 2022). (Noting that “Democrats hold an 80%-11% advantage among blacks, </w:t>
      </w:r>
      <w:proofErr w:type="spellStart"/>
      <w:r w:rsidRPr="00B806FD">
        <w:rPr>
          <w:sz w:val="18"/>
          <w:szCs w:val="18"/>
        </w:rPr>
        <w:t>lead</w:t>
      </w:r>
      <w:proofErr w:type="spellEnd"/>
      <w:r w:rsidRPr="00B806FD">
        <w:rPr>
          <w:sz w:val="18"/>
          <w:szCs w:val="18"/>
        </w:rPr>
        <w:t xml:space="preserve"> by close to three-to-one among Asian Americans (65%-23%) and by more than two-to-one among Hispanics (56%-26%).”). </w:t>
      </w:r>
    </w:p>
  </w:footnote>
  <w:footnote w:id="117">
    <w:p w14:paraId="5FD59A97" w14:textId="1C695466"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See</w:t>
      </w:r>
      <w:ins w:id="258" w:author="Jonathan Cervas" w:date="2023-06-18T19:16:00Z">
        <w:r w:rsidR="008B4EBD">
          <w:rPr>
            <w:i/>
            <w:iCs/>
          </w:rPr>
          <w:t xml:space="preserve"> </w:t>
        </w:r>
      </w:ins>
      <w:del w:id="259" w:author="Jonathan Cervas" w:date="2023-06-21T17:12:00Z">
        <w:r w:rsidRPr="00B806FD" w:rsidDel="00536FAC">
          <w:rPr>
            <w:i/>
            <w:iCs/>
          </w:rPr>
          <w:delText xml:space="preserve"> </w:delText>
        </w:r>
        <w:r w:rsidRPr="00B806FD" w:rsidDel="00536FAC">
          <w:rPr>
            <w:smallCaps/>
          </w:rPr>
          <w:delText>M.V.</w:delText>
        </w:r>
      </w:del>
      <w:ins w:id="260" w:author="Jonathan Cervas" w:date="2023-06-21T17:12:00Z">
        <w:r w:rsidR="00536FAC">
          <w:rPr>
            <w:i/>
            <w:iCs/>
          </w:rPr>
          <w:t>generally</w:t>
        </w:r>
        <w:r w:rsidR="00536FAC" w:rsidRPr="008C1524">
          <w:rPr>
            <w:rPrChange w:id="261" w:author="Jonathan Cervas" w:date="2023-06-29T16:52:00Z">
              <w:rPr>
                <w:i/>
                <w:iCs/>
              </w:rPr>
            </w:rPrChange>
          </w:rPr>
          <w:t xml:space="preserve"> M.V.</w:t>
        </w:r>
      </w:ins>
      <w:r w:rsidRPr="008C1524">
        <w:rPr>
          <w:smallCaps/>
        </w:rPr>
        <w:t xml:space="preserve"> </w:t>
      </w:r>
      <w:r w:rsidRPr="00B806FD">
        <w:rPr>
          <w:smallCaps/>
        </w:rPr>
        <w:t>(Trey) Mood III &amp; Seth C. McKee</w:t>
      </w:r>
      <w:r w:rsidRPr="00B806FD">
        <w:t xml:space="preserve">, </w:t>
      </w:r>
      <w:r w:rsidRPr="00B806FD">
        <w:rPr>
          <w:smallCaps/>
        </w:rPr>
        <w:t>Rural Republican Realignment in the Modern South: The Untold Story</w:t>
      </w:r>
      <w:r w:rsidRPr="00B806FD">
        <w:t xml:space="preserve"> (2022).</w:t>
      </w:r>
    </w:p>
  </w:footnote>
  <w:footnote w:id="118">
    <w:p w14:paraId="20987936" w14:textId="4B924A37" w:rsidR="00414F57" w:rsidRPr="00B806FD" w:rsidRDefault="00414F57" w:rsidP="00B806FD">
      <w:pPr>
        <w:pStyle w:val="FootnoteText"/>
      </w:pPr>
      <w:r w:rsidRPr="00B806FD">
        <w:rPr>
          <w:rStyle w:val="FootnoteReference"/>
        </w:rPr>
        <w:footnoteRef/>
      </w:r>
      <w:r w:rsidRPr="00B806FD">
        <w:t xml:space="preserve"> </w:t>
      </w:r>
      <w:r w:rsidRPr="00B806FD">
        <w:tab/>
        <w:t xml:space="preserve">J. Morgan Kousser, </w:t>
      </w:r>
      <w:r w:rsidRPr="00B806FD">
        <w:rPr>
          <w:i/>
          <w:iCs/>
        </w:rPr>
        <w:t xml:space="preserve">The Immutability of </w:t>
      </w:r>
      <w:proofErr w:type="gramStart"/>
      <w:r w:rsidRPr="00B806FD">
        <w:rPr>
          <w:i/>
          <w:iCs/>
        </w:rPr>
        <w:t>Categories</w:t>
      </w:r>
      <w:proofErr w:type="gramEnd"/>
      <w:r w:rsidRPr="00B806FD">
        <w:rPr>
          <w:i/>
          <w:iCs/>
        </w:rPr>
        <w:t xml:space="preserve"> and the Reshaping of Southern Politics</w:t>
      </w:r>
      <w:r w:rsidRPr="00B806FD">
        <w:t xml:space="preserve">, 13 </w:t>
      </w:r>
      <w:r w:rsidRPr="00B806FD">
        <w:rPr>
          <w:smallCaps/>
        </w:rPr>
        <w:t>Annu. Rev. Pol. Sci.</w:t>
      </w:r>
      <w:r w:rsidRPr="00B806FD">
        <w:t xml:space="preserve"> 365, 371 (2010); </w:t>
      </w:r>
      <w:r w:rsidRPr="00B806FD">
        <w:rPr>
          <w:smallCaps/>
        </w:rPr>
        <w:t>Mood III &amp; McKee</w:t>
      </w:r>
      <w:r w:rsidRPr="00B806FD">
        <w:t xml:space="preserve">, </w:t>
      </w:r>
      <w:r w:rsidRPr="00B806FD">
        <w:rPr>
          <w:i/>
          <w:iCs/>
        </w:rPr>
        <w:t>supra</w:t>
      </w:r>
      <w:r w:rsidRPr="00B806FD">
        <w:t xml:space="preserve"> note 116.</w:t>
      </w:r>
    </w:p>
  </w:footnote>
  <w:footnote w:id="119">
    <w:p w14:paraId="146EC4BE" w14:textId="4890AB47" w:rsidR="00414F57" w:rsidRPr="00B806FD" w:rsidRDefault="00414F57" w:rsidP="00B806FD">
      <w:pPr>
        <w:pStyle w:val="FootnoteText"/>
      </w:pPr>
      <w:r w:rsidRPr="00B806FD">
        <w:rPr>
          <w:rStyle w:val="FootnoteReference"/>
        </w:rPr>
        <w:footnoteRef/>
      </w:r>
      <w:r w:rsidRPr="00B806FD">
        <w:t xml:space="preserve"> </w:t>
      </w:r>
      <w:r w:rsidRPr="00B806FD">
        <w:tab/>
        <w:t xml:space="preserve">David Lublin et al., </w:t>
      </w:r>
      <w:r w:rsidRPr="00B806FD">
        <w:rPr>
          <w:i/>
          <w:iCs/>
        </w:rPr>
        <w:t>Minority Success in Non-Majority Minority Districts: Finding the “Sweet Spot,”</w:t>
      </w:r>
      <w:r w:rsidRPr="00B806FD">
        <w:t xml:space="preserve"> 5 </w:t>
      </w:r>
      <w:r w:rsidRPr="00B806FD">
        <w:rPr>
          <w:smallCaps/>
        </w:rPr>
        <w:t>J. Race Ethn. Pol.</w:t>
      </w:r>
      <w:r w:rsidRPr="00B806FD">
        <w:t xml:space="preserve"> 275, 276 (2020).  Sometimes, however, these gerrymandered maps had non-trivial minority support because they protected minority incumbents and/or were likely to achieve the election of descriptively similar legislators.</w:t>
      </w:r>
    </w:p>
  </w:footnote>
  <w:footnote w:id="120">
    <w:p w14:paraId="787E625F" w14:textId="6191A8F3" w:rsidR="00414F57" w:rsidRPr="00B806FD" w:rsidRDefault="00414F57" w:rsidP="00B806FD">
      <w:pPr>
        <w:pStyle w:val="FootnoteText"/>
        <w:rPr>
          <w:i/>
          <w:iCs/>
        </w:rPr>
      </w:pPr>
      <w:r w:rsidRPr="00B806FD">
        <w:rPr>
          <w:rStyle w:val="FootnoteReference"/>
        </w:rPr>
        <w:footnoteRef/>
      </w:r>
      <w:r w:rsidRPr="00B806FD">
        <w:t xml:space="preserve"> </w:t>
      </w:r>
      <w:r w:rsidRPr="00B806FD">
        <w:tab/>
        <w:t xml:space="preserve">In 2022, Alabama, Georgia, Louisiana, and Ohio each used maps in their elections that were found unconstitutional by state courts.  </w:t>
      </w:r>
      <w:r w:rsidRPr="00B806FD">
        <w:rPr>
          <w:i/>
          <w:iCs/>
        </w:rPr>
        <w:t>See generally</w:t>
      </w:r>
      <w:r w:rsidRPr="00B806FD">
        <w:t xml:space="preserve">, Michael Wines, </w:t>
      </w:r>
      <w:r w:rsidRPr="00B806FD">
        <w:rPr>
          <w:i/>
          <w:iCs/>
        </w:rPr>
        <w:t>Four States Will Use Congressional Maps Rejected by Courts, Helping G.O.P. Odds</w:t>
      </w:r>
      <w:r w:rsidRPr="00B806FD">
        <w:t>,</w:t>
      </w:r>
      <w:r w:rsidRPr="00B806FD">
        <w:rPr>
          <w:smallCaps/>
        </w:rPr>
        <w:t xml:space="preserve"> N.Y. Times</w:t>
      </w:r>
      <w:r w:rsidRPr="00B806FD">
        <w:t>, (Aug. 9, 2022), https://www.nytimes.com/2022/08/08/us/elections/gerrymandering-maps-elections-republicans.html [https://perma.cc/74S8-3DGZ]</w:t>
      </w:r>
      <w:r w:rsidRPr="00B806FD" w:rsidDel="00E1184E">
        <w:t xml:space="preserve"> </w:t>
      </w:r>
      <w:r w:rsidRPr="00B806FD">
        <w:t>(stating how “‘[w]</w:t>
      </w:r>
      <w:proofErr w:type="spellStart"/>
      <w:r w:rsidRPr="00B806FD">
        <w:t>e’re</w:t>
      </w:r>
      <w:proofErr w:type="spellEnd"/>
      <w:r w:rsidRPr="00B806FD">
        <w:t xml:space="preserve"> seeing a revolution in courts’ willingness to allow elections to go forward under illegal or unconstitutional rules,’ [said] Richard L. </w:t>
      </w:r>
      <w:proofErr w:type="spellStart"/>
      <w:r w:rsidRPr="00B806FD">
        <w:t>Hasen</w:t>
      </w:r>
      <w:proofErr w:type="spellEnd"/>
      <w:r w:rsidRPr="00B806FD">
        <w:t>, a professor at the U.C.L.A. School of Law</w:t>
      </w:r>
      <w:proofErr w:type="gramStart"/>
      <w:r w:rsidRPr="00B806FD">
        <w:t>. . . .</w:t>
      </w:r>
      <w:proofErr w:type="gramEnd"/>
      <w:r w:rsidRPr="00B806FD">
        <w:t>”).</w:t>
      </w:r>
    </w:p>
  </w:footnote>
  <w:footnote w:id="121">
    <w:p w14:paraId="2390BCF1" w14:textId="395BF630"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noProof/>
        </w:rPr>
        <w:t>Purcell v. Gonzalez, 549 U.S. 1, 4-5 (2006) (per curiam).</w:t>
      </w:r>
    </w:p>
  </w:footnote>
  <w:footnote w:id="122">
    <w:p w14:paraId="1C098A26" w14:textId="77777777" w:rsidR="009410F0" w:rsidRDefault="00414F57" w:rsidP="009410F0">
      <w:pPr>
        <w:pStyle w:val="FootnoteText"/>
        <w:rPr>
          <w:ins w:id="266" w:author="Jonathan Cervas" w:date="2023-06-18T19:07:00Z"/>
        </w:rPr>
      </w:pPr>
      <w:r w:rsidRPr="00B806FD">
        <w:rPr>
          <w:rStyle w:val="FootnoteReference"/>
        </w:rPr>
        <w:footnoteRef/>
      </w:r>
      <w:r w:rsidRPr="00B806FD">
        <w:t xml:space="preserve"> </w:t>
      </w:r>
      <w:r w:rsidRPr="00B806FD">
        <w:tab/>
      </w:r>
      <w:r w:rsidRPr="00B806FD">
        <w:rPr>
          <w:i/>
        </w:rPr>
        <w:t>See generally</w:t>
      </w:r>
      <w:r w:rsidRPr="00B806FD">
        <w:t xml:space="preserve"> </w:t>
      </w:r>
      <w:ins w:id="267" w:author="Jonathan Cervas" w:date="2023-06-18T19:04:00Z">
        <w:r w:rsidR="00F334CE" w:rsidRPr="00E53BF8">
          <w:t>Merrill v. Milligan, 142 S. Ct. 879, 882 (2022) ("In light of this Court's many precedents applying the Purcell principle and staying lower court injunctions of state election laws in the period close to an election, I concur in the Court's order granting a stay of the District Court's injunction here.")</w:t>
        </w:r>
        <w:r w:rsidR="00F334CE" w:rsidRPr="00B806FD">
          <w:t>;</w:t>
        </w:r>
        <w:r w:rsidR="00F334CE" w:rsidRPr="00A23E47">
          <w:rPr>
            <w:rFonts w:ascii="Alegreya" w:hAnsi="Alegreya" w:cstheme="minorBidi"/>
          </w:rPr>
          <w:t xml:space="preserve"> </w:t>
        </w:r>
        <w:r w:rsidR="00F334CE">
          <w:t xml:space="preserve">; </w:t>
        </w:r>
        <w:proofErr w:type="spellStart"/>
        <w:r w:rsidR="00F334CE" w:rsidRPr="00A23E47">
          <w:rPr>
            <w:rFonts w:ascii="Alegreya" w:hAnsi="Alegreya" w:cstheme="minorBidi"/>
          </w:rPr>
          <w:t>Ardoin</w:t>
        </w:r>
        <w:proofErr w:type="spellEnd"/>
        <w:r w:rsidR="00F334CE" w:rsidRPr="00A23E47">
          <w:rPr>
            <w:rFonts w:ascii="Alegreya" w:hAnsi="Alegreya" w:cstheme="minorBidi"/>
          </w:rPr>
          <w:t xml:space="preserve"> v. Robinson, 142 </w:t>
        </w:r>
        <w:proofErr w:type="spellStart"/>
        <w:r w:rsidR="00F334CE" w:rsidRPr="00A23E47">
          <w:rPr>
            <w:rFonts w:ascii="Alegreya" w:hAnsi="Alegreya" w:cstheme="minorBidi"/>
          </w:rPr>
          <w:t>S.Ct</w:t>
        </w:r>
        <w:proofErr w:type="spellEnd"/>
        <w:r w:rsidR="00F334CE" w:rsidRPr="00A23E47">
          <w:rPr>
            <w:rFonts w:ascii="Alegreya" w:hAnsi="Alegreya" w:cstheme="minorBidi"/>
          </w:rPr>
          <w:t>. 2892 (Mem) (</w:t>
        </w:r>
        <w:r w:rsidR="00F334CE" w:rsidRPr="00F334CE">
          <w:t>October 12, 2022</w:t>
        </w:r>
        <w:r w:rsidR="00F334CE" w:rsidRPr="00A23E47">
          <w:rPr>
            <w:rFonts w:ascii="Alegreya" w:hAnsi="Alegreya" w:cstheme="minorBidi"/>
          </w:rPr>
          <w:t>) (“The case is held in abeyance pending this Court's decision in Merrill, AL Sec. of State, et al. v. Milligan, Evan, et al. (No. 21-1086 and No. 21-1087) or further order of the Court.”)</w:t>
        </w:r>
      </w:ins>
      <w:del w:id="268" w:author="Jonathan Cervas" w:date="2023-06-18T19:04:00Z">
        <w:r w:rsidRPr="00B806FD" w:rsidDel="00F334CE">
          <w:rPr>
            <w:i/>
            <w:iCs/>
          </w:rPr>
          <w:delText>Merrill</w:delText>
        </w:r>
        <w:r w:rsidRPr="00B806FD" w:rsidDel="00F334CE">
          <w:delText>, 142 S.Ct. at ; Complaint, Galmon v. Ardoin, No. 3-22-CV-214 at (M.D. La. 2022)</w:delText>
        </w:r>
      </w:del>
      <w:r w:rsidRPr="00B806FD">
        <w:t xml:space="preserve">; </w:t>
      </w:r>
    </w:p>
    <w:p w14:paraId="36EBB1F9" w14:textId="02804FB8" w:rsidR="009410F0" w:rsidRDefault="009410F0" w:rsidP="009410F0">
      <w:pPr>
        <w:pStyle w:val="FootnoteText"/>
        <w:rPr>
          <w:ins w:id="269" w:author="Jonathan Cervas" w:date="2023-06-18T19:07:00Z"/>
        </w:rPr>
      </w:pPr>
      <w:proofErr w:type="spellStart"/>
      <w:ins w:id="270" w:author="Jonathan Cervas" w:date="2023-06-18T19:08:00Z">
        <w:r>
          <w:t>Gonidakis</w:t>
        </w:r>
        <w:proofErr w:type="spellEnd"/>
        <w:r>
          <w:t xml:space="preserve"> v. LaRose, 599 F.Supp.3d 642 (</w:t>
        </w:r>
        <w:proofErr w:type="spellStart"/>
        <w:r>
          <w:t>S.D.Ohio</w:t>
        </w:r>
        <w:proofErr w:type="spellEnd"/>
        <w:r>
          <w:t>, 2022)  (“</w:t>
        </w:r>
      </w:ins>
      <w:ins w:id="271" w:author="Jonathan Cervas" w:date="2023-06-18T19:07:00Z">
        <w:r>
          <w:t>Group of voters brought action against Ohio Redistricting Commission and Secretary of State, alleging state Supreme Court's enjoining of Commission's second revised decennial reapportionment plans for General Assembly, on basis that they failed to comply with state constitutional anti-gerrymandering provisions regarding partisanship and proportionality, left voters without legislative districts allowing them to organize, campaign and vote for offices as they had in past election cycles. Various parties intervened. After approval of third revised plan, plaintiffs moved for preliminary injunction to ensure primary election would take place.</w:t>
        </w:r>
      </w:ins>
      <w:ins w:id="272" w:author="Jonathan Cervas" w:date="2023-06-18T19:08:00Z">
        <w:r>
          <w:t>”)</w:t>
        </w:r>
      </w:ins>
    </w:p>
    <w:p w14:paraId="02AD28B8" w14:textId="33B03886" w:rsidR="00414F57" w:rsidRPr="00B806FD" w:rsidRDefault="00414F57" w:rsidP="009410F0">
      <w:pPr>
        <w:pStyle w:val="FootnoteText"/>
      </w:pPr>
      <w:del w:id="273" w:author="Jonathan Cervas" w:date="2023-06-18T19:07:00Z">
        <w:r w:rsidRPr="00B806FD" w:rsidDel="009410F0">
          <w:delText>Gonidakis v. LaRose, 599 F. Supp. 3d 642, (S.D. Ohio 2022).</w:delText>
        </w:r>
      </w:del>
    </w:p>
  </w:footnote>
  <w:footnote w:id="123">
    <w:p w14:paraId="47FFD30A" w14:textId="1A919501" w:rsidR="00414F57" w:rsidRPr="00B806FD" w:rsidRDefault="00414F57" w:rsidP="00B806FD">
      <w:pPr>
        <w:pStyle w:val="FootnoteText"/>
      </w:pPr>
      <w:r w:rsidRPr="00B806FD">
        <w:rPr>
          <w:rStyle w:val="FootnoteReference"/>
        </w:rPr>
        <w:footnoteRef/>
      </w:r>
      <w:r w:rsidRPr="00B806FD">
        <w:t xml:space="preserve"> </w:t>
      </w:r>
      <w:r w:rsidRPr="00B806FD">
        <w:tab/>
        <w:t xml:space="preserve">Richard L </w:t>
      </w:r>
      <w:proofErr w:type="spellStart"/>
      <w:r w:rsidRPr="00B806FD">
        <w:t>Hasen</w:t>
      </w:r>
      <w:proofErr w:type="spellEnd"/>
      <w:r w:rsidRPr="00B806FD">
        <w:t xml:space="preserve">, </w:t>
      </w:r>
      <w:r w:rsidRPr="00B806FD">
        <w:rPr>
          <w:i/>
          <w:iCs/>
        </w:rPr>
        <w:t>Reining in the Purcell Principle</w:t>
      </w:r>
      <w:r w:rsidRPr="00B806FD">
        <w:t xml:space="preserve">, 43 </w:t>
      </w:r>
      <w:r w:rsidRPr="00B806FD">
        <w:rPr>
          <w:smallCaps/>
        </w:rPr>
        <w:t>Fla. St. U. L. Rev.</w:t>
      </w:r>
      <w:r w:rsidRPr="00B806FD">
        <w:t xml:space="preserve"> 427, 428 (2016).</w:t>
      </w:r>
    </w:p>
  </w:footnote>
  <w:footnote w:id="124">
    <w:p w14:paraId="3C500951" w14:textId="766ACCE9" w:rsidR="00414F57" w:rsidRPr="00B806FD" w:rsidRDefault="00414F57" w:rsidP="00B806FD">
      <w:pPr>
        <w:pStyle w:val="FootnoteText"/>
      </w:pPr>
      <w:r w:rsidRPr="00B806FD">
        <w:rPr>
          <w:rStyle w:val="FootnoteReference"/>
        </w:rPr>
        <w:footnoteRef/>
      </w:r>
      <w:r w:rsidRPr="00B806FD">
        <w:t xml:space="preserve"> </w:t>
      </w:r>
      <w:r w:rsidRPr="00B806FD">
        <w:tab/>
        <w:t xml:space="preserve">For instance, Kentucky’s court held trial before the 2022 election and issued a ruling after the election.  </w:t>
      </w:r>
      <w:r w:rsidRPr="00B806FD">
        <w:rPr>
          <w:i/>
          <w:iCs/>
        </w:rPr>
        <w:t xml:space="preserve">See </w:t>
      </w:r>
      <w:r w:rsidRPr="00B806FD">
        <w:t xml:space="preserve">Complaint, </w:t>
      </w:r>
      <w:r w:rsidRPr="00B806FD">
        <w:rPr>
          <w:noProof/>
        </w:rPr>
        <w:t>Graham v. Adams, (No. 22-CI-00047) (Ky. Cir. Ct. 2022).</w:t>
      </w:r>
      <w:r w:rsidRPr="00B806FD">
        <w:t xml:space="preserve">  We detail other pending litigation in this article.</w:t>
      </w:r>
    </w:p>
  </w:footnote>
  <w:footnote w:id="125">
    <w:p w14:paraId="19DBE1C6" w14:textId="48AD0C5F" w:rsidR="001B69B3" w:rsidRDefault="001B69B3">
      <w:pPr>
        <w:pStyle w:val="FootnoteText"/>
      </w:pPr>
      <w:ins w:id="276" w:author="Jonathan Cervas" w:date="2023-06-22T10:32:00Z">
        <w:r>
          <w:rPr>
            <w:rStyle w:val="FootnoteReference"/>
          </w:rPr>
          <w:footnoteRef/>
        </w:r>
        <w:r>
          <w:t xml:space="preserve"> </w:t>
        </w:r>
      </w:ins>
      <w:ins w:id="277" w:author="Jonathan Cervas" w:date="2023-06-29T16:49:00Z">
        <w:r w:rsidR="00305698">
          <w:tab/>
        </w:r>
      </w:ins>
      <w:ins w:id="278" w:author="Jonathan Cervas" w:date="2023-06-22T10:32:00Z">
        <w:r w:rsidRPr="001B69B3">
          <w:t>Singleton v. Merrill, 582 F. Supp. 3d 924, 936 (N.D. Ala. 2022), order clarified, No. 2:21-CV-1291-AMM, 2022 WL 272637 (N.D. Ala. Jan. 26, 2022), and appeal dismissed sub nom. Milligan v. Sec'y of State for Alabama, No. 22-10278-BB, 2022 WL 2915522 (11th Cir. Mar. 4, 2022), and aff'd sub nom. Allen v. Milligan, No. 21-1086, 2023 WL 3872517 (U.S. June 8, 2023) ("Because the Milligan plaintiffs are substantially likely to prevail on their claim under the Voting Rights Act, under the statutory framework, Supreme Court precedent, and Eleventh Circuit precedent, the appropriate remedy is a congressional redistricting plan that includes either an additional majority-Black congressional district, or an additional district in which Black voters otherwise have an opportunity to elect a representative of their choice.")</w:t>
        </w:r>
        <w:r>
          <w:t xml:space="preserve">; </w:t>
        </w:r>
        <w:r w:rsidRPr="001B69B3">
          <w:rPr>
            <w:rFonts w:ascii="Alegreya" w:eastAsiaTheme="minorEastAsia" w:hAnsi="Alegreya" w:cstheme="minorBidi"/>
            <w:u w:val="single"/>
          </w:rPr>
          <w:t xml:space="preserve">Robinson v. </w:t>
        </w:r>
        <w:proofErr w:type="spellStart"/>
        <w:r w:rsidRPr="001B69B3">
          <w:rPr>
            <w:rFonts w:ascii="Alegreya" w:eastAsiaTheme="minorEastAsia" w:hAnsi="Alegreya" w:cstheme="minorBidi"/>
            <w:u w:val="single"/>
          </w:rPr>
          <w:t>Ardoin</w:t>
        </w:r>
        <w:proofErr w:type="spellEnd"/>
        <w:r w:rsidRPr="001B69B3">
          <w:rPr>
            <w:rFonts w:ascii="Alegreya" w:eastAsiaTheme="minorEastAsia" w:hAnsi="Alegreya" w:cstheme="minorBidi"/>
          </w:rPr>
          <w:t>, 605 F. Supp. 3d 759, 766–67 (M.D. La.), </w:t>
        </w:r>
        <w:r w:rsidRPr="001B69B3">
          <w:rPr>
            <w:rFonts w:ascii="Alegreya" w:eastAsiaTheme="minorEastAsia" w:hAnsi="Alegreya" w:cstheme="minorBidi"/>
            <w:u w:val="single"/>
          </w:rPr>
          <w:t>cert. granted before judgment,</w:t>
        </w:r>
        <w:r w:rsidRPr="001B69B3">
          <w:rPr>
            <w:rFonts w:ascii="Alegreya" w:eastAsiaTheme="minorEastAsia" w:hAnsi="Alegreya" w:cstheme="minorBidi"/>
          </w:rPr>
          <w:t> 213 L. Ed. 2d 1107, 142 S. Ct. 2892 (2022)</w:t>
        </w:r>
        <w:r>
          <w:t xml:space="preserve">. (“[t]he </w:t>
        </w:r>
        <w:r w:rsidRPr="001B69B3">
          <w:rPr>
            <w:rFonts w:ascii="Alegreya" w:eastAsiaTheme="minorEastAsia" w:hAnsi="Alegreya" w:cstheme="minorBidi"/>
          </w:rPr>
          <w:t>Court </w:t>
        </w:r>
        <w:r w:rsidRPr="00A23E47">
          <w:rPr>
            <w:rFonts w:ascii="Alegreya" w:eastAsiaTheme="minorEastAsia" w:hAnsi="Alegreya" w:cstheme="minorBidi"/>
          </w:rPr>
          <w:t>ORDERS</w:t>
        </w:r>
        <w:r w:rsidRPr="001B69B3">
          <w:rPr>
            <w:rFonts w:ascii="Alegreya" w:eastAsiaTheme="minorEastAsia" w:hAnsi="Alegreya" w:cstheme="minorBidi"/>
          </w:rPr>
          <w:t xml:space="preserve"> the Louisiana Legislature to enact a remedial plan on or before June 20, 2022. If the Legislature is unable to pass a remedial plan by that date, the Court will issue additional orders to enact a remedial plan compliant with the </w:t>
        </w:r>
        <w:proofErr w:type="gramStart"/>
        <w:r w:rsidRPr="001B69B3">
          <w:rPr>
            <w:rFonts w:ascii="Alegreya" w:eastAsiaTheme="minorEastAsia" w:hAnsi="Alegreya" w:cstheme="minorBidi"/>
          </w:rPr>
          <w:t>laws  and</w:t>
        </w:r>
        <w:proofErr w:type="gramEnd"/>
        <w:r w:rsidRPr="001B69B3">
          <w:rPr>
            <w:rFonts w:ascii="Alegreya" w:eastAsiaTheme="minorEastAsia" w:hAnsi="Alegreya" w:cstheme="minorBidi"/>
          </w:rPr>
          <w:t xml:space="preserve"> Constitution of the United States.</w:t>
        </w:r>
        <w:r>
          <w:t>”),</w:t>
        </w:r>
      </w:ins>
    </w:p>
  </w:footnote>
  <w:footnote w:id="126">
    <w:p w14:paraId="65823B5F" w14:textId="668115B5" w:rsidR="00414F57" w:rsidRPr="00B806FD" w:rsidRDefault="00414F57" w:rsidP="00B806FD">
      <w:pPr>
        <w:pStyle w:val="FootnoteText"/>
      </w:pPr>
      <w:r w:rsidRPr="00B806FD">
        <w:rPr>
          <w:rStyle w:val="FootnoteReference"/>
        </w:rPr>
        <w:footnoteRef/>
      </w:r>
      <w:r w:rsidRPr="00B806FD">
        <w:t xml:space="preserve"> </w:t>
      </w:r>
      <w:r w:rsidRPr="00B806FD">
        <w:tab/>
      </w:r>
      <w:del w:id="280" w:author="Jonathan Cervas" w:date="2023-06-22T10:30:00Z">
        <w:r w:rsidRPr="00B806FD" w:rsidDel="001B69B3">
          <w:rPr>
            <w:i/>
            <w:iCs/>
          </w:rPr>
          <w:delText>Merrill</w:delText>
        </w:r>
        <w:r w:rsidRPr="00B806FD" w:rsidDel="001B69B3">
          <w:delText>, 142 S.Ct. at 879</w:delText>
        </w:r>
      </w:del>
      <w:ins w:id="281" w:author="Jonathan Cervas" w:date="2023-06-22T10:30:00Z">
        <w:r w:rsidR="001B69B3">
          <w:t>,</w:t>
        </w:r>
      </w:ins>
      <w:r w:rsidRPr="00B806FD">
        <w:t>;</w:t>
      </w:r>
      <w:del w:id="282" w:author="Jonathan Cervas" w:date="2023-06-18T19:19:00Z">
        <w:r w:rsidRPr="00B806FD" w:rsidDel="008B4EBD">
          <w:delText xml:space="preserve"> Complaint,</w:delText>
        </w:r>
      </w:del>
      <w:r w:rsidRPr="00B806FD">
        <w:t xml:space="preserve"> </w:t>
      </w:r>
      <w:del w:id="283" w:author="Jonathan Cervas" w:date="2023-06-22T10:25:00Z">
        <w:r w:rsidRPr="00B806FD" w:rsidDel="001B69B3">
          <w:rPr>
            <w:i/>
            <w:iCs/>
          </w:rPr>
          <w:delText>Galmon</w:delText>
        </w:r>
        <w:r w:rsidRPr="00B806FD" w:rsidDel="001B69B3">
          <w:delText>, No. 3-22-CV-214 at 1.</w:delText>
        </w:r>
      </w:del>
      <w:ins w:id="284" w:author="Jonathan Cervas" w:date="2023-06-22T10:26:00Z">
        <w:r w:rsidR="001B69B3">
          <w:t xml:space="preserve"> </w:t>
        </w:r>
      </w:ins>
      <w:ins w:id="285" w:author="Jonathan Cervas" w:date="2023-06-22T10:33:00Z">
        <w:r w:rsidR="00561641" w:rsidRPr="00561641">
          <w:t>Merrill v. Milligan, 142 S. Ct. 879 (2022) ("The district court's January 24, 2022 preliminary injunctions in No. 2:21–cv–1530 and No. 2:21–cv–1536 are stayed pending further order of the Court.")</w:t>
        </w:r>
      </w:ins>
      <w:ins w:id="286" w:author="Jonathan Cervas" w:date="2023-06-22T10:34:00Z">
        <w:r w:rsidR="00561641">
          <w:t xml:space="preserve">; </w:t>
        </w:r>
      </w:ins>
      <w:proofErr w:type="spellStart"/>
      <w:ins w:id="287" w:author="Jonathan Cervas" w:date="2023-06-22T10:26:00Z">
        <w:r w:rsidR="001B69B3" w:rsidRPr="001B69B3">
          <w:t>Ardoin</w:t>
        </w:r>
        <w:proofErr w:type="spellEnd"/>
        <w:r w:rsidR="001B69B3" w:rsidRPr="001B69B3">
          <w:t xml:space="preserve"> v. Robinson, 142 S. Ct. 2892 (2022) ("The case is held in abeyance pending this Court's decision in Merrill, AL Sec. of State, et al. v. Milligan, Evan, et al. (No. 21-1086 and No. 21-1087) or further order of the Court.")</w:t>
        </w:r>
      </w:ins>
    </w:p>
  </w:footnote>
  <w:footnote w:id="127">
    <w:p w14:paraId="502C8846" w14:textId="42825466"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 xml:space="preserve">Both measures use election results projected into districts (or prior election results from districts under scrutiny) to measure whether one party is disproportionately “wasting” votes.  This type of detection helps to identify plans in which voters are “packed” into districts to create disproportionate results.  </w:t>
      </w:r>
      <w:r w:rsidRPr="00B806FD">
        <w:rPr>
          <w:i/>
          <w:iCs/>
        </w:rPr>
        <w:t xml:space="preserve">See </w:t>
      </w:r>
      <w:r w:rsidRPr="00B806FD">
        <w:t xml:space="preserve">Marion </w:t>
      </w:r>
      <w:proofErr w:type="spellStart"/>
      <w:r w:rsidRPr="00B806FD">
        <w:t>Campisi</w:t>
      </w:r>
      <w:proofErr w:type="spellEnd"/>
      <w:r w:rsidRPr="00B806FD">
        <w:t xml:space="preserve"> et al., </w:t>
      </w:r>
      <w:r w:rsidRPr="00B806FD">
        <w:rPr>
          <w:i/>
          <w:iCs/>
        </w:rPr>
        <w:t>Declination as a Metric to Detect Partisan Gerrymandering</w:t>
      </w:r>
      <w:r w:rsidRPr="00B806FD">
        <w:t xml:space="preserve">, 18 </w:t>
      </w:r>
      <w:r w:rsidRPr="00B806FD">
        <w:rPr>
          <w:smallCaps/>
        </w:rPr>
        <w:t xml:space="preserve">Election L. J. Rules Pol. </w:t>
      </w:r>
      <w:proofErr w:type="spellStart"/>
      <w:r w:rsidRPr="00B806FD">
        <w:rPr>
          <w:smallCaps/>
        </w:rPr>
        <w:t>Pol'y</w:t>
      </w:r>
      <w:proofErr w:type="spellEnd"/>
      <w:r w:rsidRPr="00B806FD">
        <w:t xml:space="preserve"> 371 (2019).</w:t>
      </w:r>
    </w:p>
  </w:footnote>
  <w:footnote w:id="128">
    <w:p w14:paraId="5774BA53" w14:textId="6D04502A"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 xml:space="preserve">Robin E. Best et al., </w:t>
      </w:r>
      <w:r w:rsidRPr="00B806FD">
        <w:rPr>
          <w:i/>
          <w:iCs/>
        </w:rPr>
        <w:t>Considering the Prospects for Establishing a Packing Gerrymandering Standard</w:t>
      </w:r>
      <w:r w:rsidRPr="00B806FD">
        <w:t xml:space="preserve">, 17 </w:t>
      </w:r>
      <w:r w:rsidRPr="00B806FD">
        <w:rPr>
          <w:smallCaps/>
        </w:rPr>
        <w:t>Election L. J. Rules Pol. Pol'y</w:t>
      </w:r>
      <w:r w:rsidRPr="00B806FD">
        <w:t xml:space="preserve"> 1, 13 (2018); Grofman &amp; King, </w:t>
      </w:r>
      <w:r w:rsidRPr="00B806FD">
        <w:rPr>
          <w:i/>
          <w:iCs/>
        </w:rPr>
        <w:t>supra</w:t>
      </w:r>
      <w:r w:rsidRPr="00B806FD">
        <w:t xml:space="preserve"> note 36 at 5.</w:t>
      </w:r>
    </w:p>
  </w:footnote>
  <w:footnote w:id="129">
    <w:p w14:paraId="341CD446" w14:textId="65454ADC"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Presentation of Nick Stephanopoulos at the Redistricting Data Hub Redistricting and Data Convening Conference, Stanford University, Palo Alto, California (Sept. 16, 2022).</w:t>
      </w:r>
      <w:ins w:id="289" w:author="Jonathan Cervas" w:date="2023-06-20T15:54:00Z">
        <w:r w:rsidR="0089545C">
          <w:t xml:space="preserve"> T</w:t>
        </w:r>
        <w:r w:rsidR="0089545C" w:rsidRPr="0089545C">
          <w:rPr>
            <w:rFonts w:eastAsiaTheme="minorHAnsi"/>
          </w:rPr>
          <w:t>his was a private conversation at Stanford University among a group of redistricting experts who convened to discuss the 2020 cycle.</w:t>
        </w:r>
      </w:ins>
    </w:p>
  </w:footnote>
  <w:footnote w:id="130">
    <w:p w14:paraId="51085E44" w14:textId="0AC04C43"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 xml:space="preserve">For information about data in Dave’s Redistricting, </w:t>
      </w:r>
      <w:r w:rsidRPr="00B806FD">
        <w:rPr>
          <w:i/>
          <w:iCs/>
        </w:rPr>
        <w:t>see</w:t>
      </w:r>
      <w:r w:rsidRPr="00B806FD">
        <w:t xml:space="preserve"> </w:t>
      </w:r>
      <w:r w:rsidRPr="00B806FD">
        <w:rPr>
          <w:smallCaps/>
        </w:rPr>
        <w:t>Dave’s Redistricting</w:t>
      </w:r>
      <w:r w:rsidRPr="00B806FD">
        <w:t xml:space="preserve">, </w:t>
      </w:r>
      <w:hyperlink r:id="rId3" w:anchor="aboutdata" w:history="1">
        <w:r w:rsidRPr="00B806FD">
          <w:rPr>
            <w:rStyle w:val="Hyperlink"/>
            <w:color w:val="auto"/>
            <w:u w:val="none"/>
          </w:rPr>
          <w:t>https://davesredistricting.org/maps#aboutdata</w:t>
        </w:r>
      </w:hyperlink>
      <w:r w:rsidRPr="00B806FD">
        <w:t xml:space="preserve"> [https://perma.cc/V7K3-2YC3] (last visited Jan. 28, 2023).  For information about </w:t>
      </w:r>
      <w:proofErr w:type="spellStart"/>
      <w:r w:rsidRPr="00B806FD">
        <w:t>PlanScore</w:t>
      </w:r>
      <w:proofErr w:type="spellEnd"/>
      <w:r w:rsidRPr="00B806FD">
        <w:t xml:space="preserve">, </w:t>
      </w:r>
      <w:r w:rsidRPr="00B806FD">
        <w:rPr>
          <w:i/>
          <w:iCs/>
        </w:rPr>
        <w:t>see</w:t>
      </w:r>
      <w:r w:rsidRPr="00B806FD">
        <w:t xml:space="preserve"> </w:t>
      </w:r>
      <w:proofErr w:type="spellStart"/>
      <w:r w:rsidRPr="00B806FD">
        <w:rPr>
          <w:smallCaps/>
        </w:rPr>
        <w:t>PlanScore</w:t>
      </w:r>
      <w:proofErr w:type="spellEnd"/>
      <w:r w:rsidRPr="00B806FD">
        <w:t xml:space="preserve">, </w:t>
      </w:r>
      <w:hyperlink r:id="rId4" w:history="1">
        <w:r w:rsidRPr="00B806FD">
          <w:rPr>
            <w:rStyle w:val="Hyperlink"/>
            <w:color w:val="auto"/>
            <w:u w:val="none"/>
          </w:rPr>
          <w:t>https://github.com/PlanScore</w:t>
        </w:r>
      </w:hyperlink>
      <w:r w:rsidRPr="00B806FD">
        <w:t xml:space="preserve"> [https://perma.cc/D7A4-GYWK] (last visited Jan. 28, 2023).</w:t>
      </w:r>
    </w:p>
  </w:footnote>
  <w:footnote w:id="131">
    <w:p w14:paraId="49153291" w14:textId="3DAC9C68"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 xml:space="preserve">For instance, the Pennsylvania Reapportionment Commission set up a website where the public could submit maps.  </w:t>
      </w:r>
      <w:r w:rsidRPr="00B806FD">
        <w:rPr>
          <w:i/>
          <w:iCs/>
        </w:rPr>
        <w:t>See</w:t>
      </w:r>
      <w:r w:rsidRPr="00B806FD">
        <w:t xml:space="preserve"> </w:t>
      </w:r>
      <w:r w:rsidRPr="00B806FD">
        <w:rPr>
          <w:smallCaps/>
        </w:rPr>
        <w:t>Pennsylvania Legislative Reapportionment Commission</w:t>
      </w:r>
      <w:r w:rsidRPr="00B806FD">
        <w:t xml:space="preserve">, </w:t>
      </w:r>
      <w:r w:rsidRPr="00B806FD">
        <w:rPr>
          <w:i/>
          <w:iCs/>
        </w:rPr>
        <w:t>Citizens Can Now Submit Maps</w:t>
      </w:r>
      <w:r w:rsidRPr="00B806FD">
        <w:t>, (Oct. 29, 2021), https://www.redistricting.state.pa.us/commission/article/1081 [https://perma.cc/B7ME-7UD7] (last visited Dec. 22, 2022).</w:t>
      </w:r>
    </w:p>
  </w:footnote>
  <w:footnote w:id="132">
    <w:p w14:paraId="4D41B2AD" w14:textId="7CE1BC17"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rPr>
          <w:i/>
        </w:rPr>
        <w:t>See</w:t>
      </w:r>
      <w:r w:rsidRPr="00B806FD">
        <w:t xml:space="preserve"> </w:t>
      </w:r>
      <w:proofErr w:type="spellStart"/>
      <w:r w:rsidRPr="00B806FD">
        <w:rPr>
          <w:smallCaps/>
        </w:rPr>
        <w:t>PlanScore</w:t>
      </w:r>
      <w:proofErr w:type="spellEnd"/>
      <w:r w:rsidRPr="00B806FD">
        <w:rPr>
          <w:smallCaps/>
        </w:rPr>
        <w:t xml:space="preserve">, </w:t>
      </w:r>
      <w:hyperlink r:id="rId5" w:history="1">
        <w:r w:rsidRPr="00B806FD">
          <w:rPr>
            <w:rStyle w:val="Hyperlink"/>
            <w:color w:val="auto"/>
            <w:u w:val="none"/>
          </w:rPr>
          <w:t>https://github.com/PlanScore</w:t>
        </w:r>
      </w:hyperlink>
      <w:r w:rsidRPr="00B806FD">
        <w:t xml:space="preserve"> [https://D7A4-GYWK] (last visited Jan. 28, 2023); </w:t>
      </w:r>
      <w:r w:rsidRPr="00B806FD">
        <w:rPr>
          <w:smallCaps/>
        </w:rPr>
        <w:t xml:space="preserve">Dave’s Redistricting, </w:t>
      </w:r>
      <w:r w:rsidRPr="00B806FD">
        <w:t xml:space="preserve">Section Analyze,  </w:t>
      </w:r>
      <w:hyperlink r:id="rId6" w:history="1">
        <w:r w:rsidRPr="00B806FD">
          <w:rPr>
            <w:rStyle w:val="Hyperlink"/>
            <w:color w:val="auto"/>
            <w:u w:val="none"/>
          </w:rPr>
          <w:t>https://davesredistricting.org</w:t>
        </w:r>
      </w:hyperlink>
      <w:r w:rsidRPr="00B806FD">
        <w:t xml:space="preserve"> [https://perma.cc/V398-D2YR] (last visited Jan. 28, 2023).</w:t>
      </w:r>
    </w:p>
  </w:footnote>
  <w:footnote w:id="133">
    <w:p w14:paraId="6C70740E" w14:textId="785C9A1B"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rPr>
          <w:i/>
          <w:iCs/>
        </w:rPr>
        <w:t xml:space="preserve">See </w:t>
      </w:r>
      <w:r w:rsidRPr="00B806FD">
        <w:t xml:space="preserve">Becker et al., </w:t>
      </w:r>
      <w:r w:rsidRPr="00B806FD">
        <w:rPr>
          <w:i/>
          <w:iCs/>
        </w:rPr>
        <w:t>supra</w:t>
      </w:r>
      <w:r w:rsidRPr="00B806FD">
        <w:t xml:space="preserve"> note 54, at 407; Jowei Chen &amp; David Cottrell, </w:t>
      </w:r>
      <w:r w:rsidRPr="00B806FD">
        <w:rPr>
          <w:i/>
          <w:iCs/>
        </w:rPr>
        <w:t>Evaluating Partisan Gains from Congressional Gerrymandering: Using Computer Simulations to Estimate the Effect of Gerrymandering in the U.S. House</w:t>
      </w:r>
      <w:r w:rsidRPr="00B806FD">
        <w:t xml:space="preserve">, 44 </w:t>
      </w:r>
      <w:r w:rsidRPr="00B806FD">
        <w:rPr>
          <w:smallCaps/>
        </w:rPr>
        <w:t>Elect. Stud.</w:t>
      </w:r>
      <w:r w:rsidRPr="00B806FD">
        <w:t xml:space="preserve"> 329, 329 (2016); Jowei Chen &amp; Jonathan Rodden, </w:t>
      </w:r>
      <w:r w:rsidRPr="00B806FD">
        <w:rPr>
          <w:i/>
          <w:iCs/>
        </w:rPr>
        <w:t>Cutting Through the Thicket: Redistricting Simulations and the Detection of Partisan Gerrymanders</w:t>
      </w:r>
      <w:r w:rsidRPr="00B806FD">
        <w:t xml:space="preserve">, 14 </w:t>
      </w:r>
      <w:r w:rsidRPr="00B806FD">
        <w:rPr>
          <w:smallCaps/>
        </w:rPr>
        <w:t>Election L. J. Rules Pol. Pol'y</w:t>
      </w:r>
      <w:r w:rsidRPr="00B806FD">
        <w:t xml:space="preserve"> 331. 331 (2015); Duchin &amp; Spencer, </w:t>
      </w:r>
      <w:r w:rsidRPr="00B806FD">
        <w:rPr>
          <w:i/>
          <w:iCs/>
        </w:rPr>
        <w:t>supra</w:t>
      </w:r>
      <w:r w:rsidRPr="00B806FD">
        <w:t xml:space="preserve"> note 54; </w:t>
      </w:r>
      <w:r w:rsidRPr="00B806FD">
        <w:rPr>
          <w:smallCaps/>
        </w:rPr>
        <w:t>Political Geometry</w:t>
      </w:r>
      <w:r w:rsidRPr="00B806FD">
        <w:t xml:space="preserve">, </w:t>
      </w:r>
      <w:r w:rsidRPr="00B806FD">
        <w:rPr>
          <w:i/>
          <w:iCs/>
        </w:rPr>
        <w:t>supra</w:t>
      </w:r>
      <w:r w:rsidRPr="00B806FD">
        <w:t xml:space="preserve"> note 54, at 29.</w:t>
      </w:r>
    </w:p>
  </w:footnote>
  <w:footnote w:id="134">
    <w:p w14:paraId="31213BCA" w14:textId="6EE09D47"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 xml:space="preserve">Given the stakes in the current era of fragile national majorities, where the conditions hold for a state to enact a partisan gerrymander, we expect partisans to act in their self-interest; that is, to maximize the number of seats for their party in a state and thus increase the likelihood of holding a majority in Congress.  </w:t>
      </w:r>
      <w:r w:rsidRPr="00B806FD">
        <w:rPr>
          <w:i/>
          <w:iCs/>
        </w:rPr>
        <w:t xml:space="preserve">See </w:t>
      </w:r>
      <w:r w:rsidRPr="00B806FD">
        <w:t xml:space="preserve">Morris P. Fiorina, </w:t>
      </w:r>
      <w:r w:rsidRPr="00B806FD">
        <w:rPr>
          <w:i/>
          <w:iCs/>
        </w:rPr>
        <w:t>An Era of Tenuous Majorities</w:t>
      </w:r>
      <w:r w:rsidRPr="00B806FD">
        <w:t>, (2016), https://www.hoover.org/research/era-tenuous-majorities [https://perma.cc/T74C-JJUJ] (last visited Nov. 4, 2022) (highlighting the stakes in the current era of fragile national majorities).</w:t>
      </w:r>
    </w:p>
  </w:footnote>
  <w:footnote w:id="135">
    <w:p w14:paraId="62FF9437" w14:textId="3B557227"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rPr>
          <w:smallCaps/>
        </w:rPr>
        <w:t xml:space="preserve">U.S. Census Bureau, </w:t>
      </w:r>
      <w:r w:rsidRPr="00B806FD">
        <w:rPr>
          <w:i/>
          <w:iCs/>
        </w:rPr>
        <w:t>2020 Census Apportionment Results</w:t>
      </w:r>
      <w:r w:rsidRPr="00B806FD">
        <w:t xml:space="preserve">, </w:t>
      </w:r>
      <w:hyperlink r:id="rId7" w:history="1">
        <w:r w:rsidRPr="00B806FD">
          <w:rPr>
            <w:rStyle w:val="Hyperlink"/>
            <w:color w:val="auto"/>
            <w:u w:val="none"/>
          </w:rPr>
          <w:t>https://www.cencus.gov/data/tables/2020/dec/2020-apportionment-data.html</w:t>
        </w:r>
      </w:hyperlink>
      <w:r w:rsidRPr="00B806FD">
        <w:t xml:space="preserve"> (last visited Jan. 29, 2023) (population and apportionment data) [https://perma.cc/DJ9U-4SHU]; National Conference of State Legislatures, </w:t>
      </w:r>
      <w:r w:rsidRPr="00B806FD">
        <w:rPr>
          <w:i/>
          <w:iCs/>
        </w:rPr>
        <w:t>Redistricting and Elections</w:t>
      </w:r>
      <w:r w:rsidRPr="00B806FD">
        <w:t xml:space="preserve">, </w:t>
      </w:r>
      <w:r w:rsidRPr="00B806FD">
        <w:rPr>
          <w:smallCaps/>
        </w:rPr>
        <w:t>Redistricting and Elections Standing Committee</w:t>
      </w:r>
      <w:r w:rsidRPr="00B806FD">
        <w:t xml:space="preserve">, https://www.ncsl.org/ncsl-in-dc/standing-committees/redistricting-and-elections.aspx [https://perma.cc/A7N8-HJKD] (last visited Dec. 28, 2022) (party control and authority; direct language data); Doug Spencer, </w:t>
      </w:r>
      <w:r w:rsidRPr="00B806FD">
        <w:rPr>
          <w:i/>
          <w:iCs/>
        </w:rPr>
        <w:t>All About Redistricting</w:t>
      </w:r>
      <w:r w:rsidRPr="00B806FD">
        <w:t>, https://redistricting.lls.edu (last visited Dec. 28, 2022) (providing detailed information available by clicking on the links to each state).</w:t>
      </w:r>
      <w:r w:rsidRPr="00B806FD" w:rsidDel="00E20D50">
        <w:t xml:space="preserve"> </w:t>
      </w:r>
    </w:p>
  </w:footnote>
  <w:footnote w:id="136">
    <w:p w14:paraId="01E5E809" w14:textId="22FFCBB7" w:rsidR="00414F57" w:rsidRPr="00B806FD" w:rsidRDefault="00414F57" w:rsidP="00B806FD">
      <w:pPr>
        <w:pStyle w:val="FootnoteText"/>
      </w:pPr>
      <w:r w:rsidRPr="00B806FD">
        <w:rPr>
          <w:rStyle w:val="FootnoteReference"/>
        </w:rPr>
        <w:footnoteRef/>
      </w:r>
      <w:r w:rsidRPr="00B806FD">
        <w:t xml:space="preserve"> For a proof that Republicans had no possibility of winning even one of the 9 or 10 seats in the state despite winning 30% of the statewide vote, </w:t>
      </w:r>
      <w:r w:rsidRPr="00B806FD">
        <w:rPr>
          <w:i/>
          <w:iCs/>
        </w:rPr>
        <w:t>see</w:t>
      </w:r>
      <w:r w:rsidRPr="00B806FD">
        <w:t xml:space="preserve"> Moon </w:t>
      </w:r>
      <w:proofErr w:type="spellStart"/>
      <w:r w:rsidRPr="00B806FD">
        <w:t>Duchin</w:t>
      </w:r>
      <w:proofErr w:type="spellEnd"/>
      <w:r w:rsidRPr="00B806FD">
        <w:t xml:space="preserve"> et al., </w:t>
      </w:r>
      <w:r w:rsidRPr="00B806FD">
        <w:rPr>
          <w:i/>
          <w:iCs/>
        </w:rPr>
        <w:t>Locating the Representational Baseline: Republicans in Massachusetts</w:t>
      </w:r>
      <w:r w:rsidRPr="00B806FD">
        <w:t xml:space="preserve">, 18 </w:t>
      </w:r>
      <w:r w:rsidRPr="00B806FD">
        <w:rPr>
          <w:smallCaps/>
        </w:rPr>
        <w:t xml:space="preserve">Election L. J. Rules Pol. </w:t>
      </w:r>
      <w:proofErr w:type="spellStart"/>
      <w:r w:rsidRPr="00B806FD">
        <w:rPr>
          <w:smallCaps/>
        </w:rPr>
        <w:t>Pol'y</w:t>
      </w:r>
      <w:proofErr w:type="spellEnd"/>
      <w:r w:rsidRPr="00B806FD">
        <w:t xml:space="preserve"> 388 (2019).</w:t>
      </w:r>
    </w:p>
  </w:footnote>
  <w:footnote w:id="137">
    <w:p w14:paraId="6C0363E1" w14:textId="5968DBA7" w:rsidR="00414F57" w:rsidRPr="00B806FD" w:rsidRDefault="00414F57" w:rsidP="00B806FD">
      <w:pPr>
        <w:pStyle w:val="FootnoteText"/>
      </w:pPr>
      <w:r w:rsidRPr="00B806FD">
        <w:rPr>
          <w:rStyle w:val="FootnoteReference"/>
        </w:rPr>
        <w:footnoteRef/>
      </w:r>
      <w:r w:rsidRPr="00B806FD">
        <w:t xml:space="preserve"> </w:t>
      </w:r>
      <w:r w:rsidR="00ED7D47" w:rsidRPr="00B806FD">
        <w:tab/>
      </w:r>
      <w:r w:rsidRPr="00B806FD">
        <w:t>The term “gerrymander” is regularly used in ways different from the standard interpretation given to this term by legal scholars or other academics, e.g., to include any maps in which one or more districts has a bizarre shape, or maps in which one party receives a larger than proportional share of the seats compared to its vote share.  Indeed, sometimes we find claims of gerrymandering made when one party or group one party simply does not like the outcome of the redistricting process.</w:t>
      </w:r>
    </w:p>
  </w:footnote>
  <w:footnote w:id="138">
    <w:p w14:paraId="591B9AF0" w14:textId="63A56269" w:rsidR="00414F57" w:rsidRPr="00B806FD" w:rsidRDefault="00414F57" w:rsidP="00B806FD">
      <w:pPr>
        <w:pStyle w:val="FootnoteText"/>
      </w:pPr>
      <w:r w:rsidRPr="00B806FD">
        <w:rPr>
          <w:rStyle w:val="FootnoteReference"/>
        </w:rPr>
        <w:footnoteRef/>
      </w:r>
      <w:r w:rsidRPr="00B806FD">
        <w:t xml:space="preserve"> </w:t>
      </w:r>
      <w:r w:rsidR="00ED7D47" w:rsidRPr="00B806FD">
        <w:tab/>
      </w:r>
      <w:r w:rsidRPr="00B806FD">
        <w:t xml:space="preserve">Spencer, </w:t>
      </w:r>
      <w:r w:rsidRPr="00B806FD">
        <w:rPr>
          <w:i/>
          <w:iCs/>
        </w:rPr>
        <w:t>supra</w:t>
      </w:r>
      <w:r w:rsidRPr="00B806FD">
        <w:t xml:space="preserve"> note </w:t>
      </w:r>
      <w:ins w:id="321" w:author="Jonathan Cervas" w:date="2023-06-22T12:36:00Z">
        <w:r w:rsidR="00BB018C">
          <w:fldChar w:fldCharType="begin"/>
        </w:r>
        <w:r w:rsidR="00BB018C">
          <w:instrText xml:space="preserve"> NOTEREF _Ref138329809 \h </w:instrText>
        </w:r>
      </w:ins>
      <w:r w:rsidR="00BB018C">
        <w:fldChar w:fldCharType="separate"/>
      </w:r>
      <w:ins w:id="322" w:author="Jonathan Cervas" w:date="2023-06-22T12:36:00Z">
        <w:r w:rsidR="00BB018C">
          <w:t>135</w:t>
        </w:r>
        <w:r w:rsidR="00BB018C">
          <w:fldChar w:fldCharType="end"/>
        </w:r>
        <w:r w:rsidR="00BB018C">
          <w:t xml:space="preserve"> </w:t>
        </w:r>
      </w:ins>
      <w:del w:id="323" w:author="Jonathan Cervas" w:date="2023-06-22T12:36:00Z">
        <w:r w:rsidRPr="00B806FD" w:rsidDel="00BB018C">
          <w:delText xml:space="preserve">133 </w:delText>
        </w:r>
      </w:del>
      <w:r w:rsidRPr="00B806FD">
        <w:t xml:space="preserve">(data collection); </w:t>
      </w:r>
      <w:r w:rsidRPr="00B806FD">
        <w:rPr>
          <w:i/>
          <w:iCs/>
        </w:rPr>
        <w:t>cf.</w:t>
      </w:r>
      <w:r w:rsidRPr="00B806FD">
        <w:rPr>
          <w:i/>
        </w:rPr>
        <w:t xml:space="preserve"> </w:t>
      </w:r>
      <w:r w:rsidRPr="00B806FD">
        <w:rPr>
          <w:smallCaps/>
        </w:rPr>
        <w:t>National Conference of State Legislatures</w:t>
      </w:r>
      <w:r w:rsidRPr="00B806FD">
        <w:t xml:space="preserve">, </w:t>
      </w:r>
      <w:r w:rsidRPr="00B806FD">
        <w:rPr>
          <w:i/>
          <w:iCs/>
        </w:rPr>
        <w:t>Redistrcting and Elections, supra</w:t>
      </w:r>
      <w:r w:rsidRPr="00B806FD">
        <w:t xml:space="preserve"> note</w:t>
      </w:r>
      <w:del w:id="324" w:author="Jonathan Cervas" w:date="2023-06-22T12:37:00Z">
        <w:r w:rsidRPr="00B806FD" w:rsidDel="00BB018C">
          <w:delText xml:space="preserve"> </w:delText>
        </w:r>
      </w:del>
      <w:ins w:id="325" w:author="Jonathan Cervas" w:date="2023-06-22T12:37:00Z">
        <w:r w:rsidR="00BB018C">
          <w:t xml:space="preserve"> </w:t>
        </w:r>
        <w:r w:rsidR="00BB018C">
          <w:fldChar w:fldCharType="begin"/>
        </w:r>
        <w:r w:rsidR="00BB018C">
          <w:instrText xml:space="preserve"> NOTEREF _Ref138329809 \h </w:instrText>
        </w:r>
      </w:ins>
      <w:r w:rsidR="00BB018C">
        <w:fldChar w:fldCharType="separate"/>
      </w:r>
      <w:ins w:id="326" w:author="Jonathan Cervas" w:date="2023-06-22T12:37:00Z">
        <w:r w:rsidR="00BB018C">
          <w:t>135</w:t>
        </w:r>
        <w:r w:rsidR="00BB018C">
          <w:fldChar w:fldCharType="end"/>
        </w:r>
      </w:ins>
      <w:del w:id="327" w:author="Jonathan Cervas" w:date="2023-06-22T12:37:00Z">
        <w:r w:rsidRPr="00B806FD" w:rsidDel="00BB018C">
          <w:delText>133</w:delText>
        </w:r>
      </w:del>
      <w:r w:rsidRPr="00B806FD">
        <w:t>.</w:t>
      </w:r>
    </w:p>
  </w:footnote>
  <w:footnote w:id="139">
    <w:p w14:paraId="1313BED5" w14:textId="2972B444" w:rsidR="00414F57" w:rsidRPr="00B806FD" w:rsidRDefault="00414F57" w:rsidP="00B806FD">
      <w:pPr>
        <w:pStyle w:val="FootnoteText"/>
      </w:pPr>
      <w:r w:rsidRPr="00B806FD">
        <w:rPr>
          <w:rStyle w:val="FootnoteReference"/>
        </w:rPr>
        <w:footnoteRef/>
      </w:r>
      <w:r w:rsidRPr="00B806FD">
        <w:t xml:space="preserve"> </w:t>
      </w:r>
      <w:r w:rsidR="00ED7D47" w:rsidRPr="00B806FD">
        <w:tab/>
      </w:r>
      <w:r w:rsidRPr="00B806FD">
        <w:rPr>
          <w:i/>
        </w:rPr>
        <w:t>See</w:t>
      </w:r>
      <w:r w:rsidRPr="00B806FD">
        <w:t xml:space="preserve"> </w:t>
      </w:r>
      <w:r w:rsidRPr="00B806FD">
        <w:rPr>
          <w:i/>
          <w:iCs/>
        </w:rPr>
        <w:t>supra</w:t>
      </w:r>
      <w:r w:rsidRPr="00B806FD">
        <w:t xml:space="preserve"> </w:t>
      </w:r>
      <w:r w:rsidRPr="00B806FD">
        <w:fldChar w:fldCharType="begin"/>
      </w:r>
      <w:r w:rsidRPr="00B806FD">
        <w:instrText xml:space="preserve"> REF _Ref123163956 \h  \* MERGEFORMAT </w:instrText>
      </w:r>
      <w:r w:rsidRPr="00B806FD">
        <w:fldChar w:fldCharType="separate"/>
      </w:r>
      <w:proofErr w:type="spellStart"/>
      <w:r w:rsidRPr="00B806FD">
        <w:t>tbl</w:t>
      </w:r>
      <w:proofErr w:type="spellEnd"/>
      <w:r w:rsidRPr="00B806FD">
        <w:t xml:space="preserve">. </w:t>
      </w:r>
      <w:r w:rsidRPr="00B806FD">
        <w:rPr>
          <w:noProof/>
        </w:rPr>
        <w:t>2</w:t>
      </w:r>
      <w:r w:rsidRPr="00B806FD">
        <w:fldChar w:fldCharType="end"/>
      </w:r>
      <w:r w:rsidRPr="00B806FD">
        <w:t>.</w:t>
      </w:r>
    </w:p>
  </w:footnote>
  <w:footnote w:id="140">
    <w:p w14:paraId="778CBC74" w14:textId="020BC296" w:rsidR="00414F57" w:rsidRPr="00B806FD" w:rsidRDefault="00414F57" w:rsidP="00B806FD">
      <w:pPr>
        <w:pStyle w:val="FootnoteText"/>
      </w:pPr>
      <w:r w:rsidRPr="00B806FD">
        <w:rPr>
          <w:rStyle w:val="FootnoteReference"/>
        </w:rPr>
        <w:footnoteRef/>
      </w:r>
      <w:r w:rsidRPr="00B806FD">
        <w:t xml:space="preserve"> </w:t>
      </w:r>
      <w:r w:rsidR="00F377A8" w:rsidRPr="00B806FD">
        <w:tab/>
      </w:r>
      <w:r w:rsidRPr="00B806FD">
        <w:rPr>
          <w:i/>
          <w:iCs/>
        </w:rPr>
        <w:t xml:space="preserve">See </w:t>
      </w:r>
      <w:r w:rsidRPr="00B806FD">
        <w:t xml:space="preserve">Spencer, </w:t>
      </w:r>
      <w:r w:rsidRPr="00B806FD">
        <w:rPr>
          <w:i/>
          <w:iCs/>
        </w:rPr>
        <w:t>supra</w:t>
      </w:r>
      <w:r w:rsidRPr="00B806FD">
        <w:t xml:space="preserve"> note </w:t>
      </w:r>
      <w:ins w:id="331" w:author="Jonathan Cervas" w:date="2023-06-22T12:37:00Z">
        <w:r w:rsidR="00BB018C">
          <w:fldChar w:fldCharType="begin"/>
        </w:r>
        <w:r w:rsidR="00BB018C">
          <w:instrText xml:space="preserve"> NOTEREF _Ref138329809 \h </w:instrText>
        </w:r>
      </w:ins>
      <w:r w:rsidR="00BB018C">
        <w:fldChar w:fldCharType="separate"/>
      </w:r>
      <w:ins w:id="332" w:author="Jonathan Cervas" w:date="2023-06-22T12:37:00Z">
        <w:r w:rsidR="00BB018C">
          <w:t>135</w:t>
        </w:r>
        <w:r w:rsidR="00BB018C">
          <w:fldChar w:fldCharType="end"/>
        </w:r>
      </w:ins>
      <w:del w:id="333" w:author="Jonathan Cervas" w:date="2023-06-22T12:37:00Z">
        <w:r w:rsidRPr="00B806FD" w:rsidDel="00BB018C">
          <w:delText>133</w:delText>
        </w:r>
      </w:del>
      <w:r w:rsidRPr="00B806FD">
        <w:t>.</w:t>
      </w:r>
    </w:p>
  </w:footnote>
  <w:footnote w:id="141">
    <w:p w14:paraId="6AB66E9A" w14:textId="2DA554D8"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rPr>
          <w:smallCaps/>
        </w:rPr>
        <w:t>U.S. Census Bureau</w:t>
      </w:r>
      <w:r w:rsidRPr="00B806FD">
        <w:t xml:space="preserve">, </w:t>
      </w:r>
      <w:r w:rsidRPr="00B806FD">
        <w:rPr>
          <w:i/>
          <w:iCs/>
        </w:rPr>
        <w:t>2020 Census Apportionment Results</w:t>
      </w:r>
      <w:r w:rsidRPr="00B806FD">
        <w:t>, https://www.census.gov/data/tables/2020/dec/2020-apportionment-data.html [https://perma.cc/DJ9U-4SHU] (last visited Dec. 22, 2022).</w:t>
      </w:r>
      <w:r w:rsidRPr="00B806FD" w:rsidDel="000A7806">
        <w:t xml:space="preserve"> </w:t>
      </w:r>
    </w:p>
  </w:footnote>
  <w:footnote w:id="142">
    <w:p w14:paraId="73BDF637" w14:textId="2F66DA7B"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rPr>
          <w:i/>
          <w:iCs/>
        </w:rPr>
        <w:t>See infra</w:t>
      </w:r>
      <w:r w:rsidRPr="00B806FD">
        <w:t xml:space="preserve"> </w:t>
      </w:r>
      <w:r w:rsidRPr="00B806FD">
        <w:fldChar w:fldCharType="begin"/>
      </w:r>
      <w:r w:rsidRPr="00B806FD">
        <w:instrText xml:space="preserve"> REF _Ref123165901 \h </w:instrText>
      </w:r>
      <w:r w:rsidR="00F377A8" w:rsidRPr="00B806FD">
        <w:instrText xml:space="preserve"> \* MERGEFORMAT </w:instrText>
      </w:r>
      <w:r w:rsidRPr="00B806FD">
        <w:fldChar w:fldCharType="separate"/>
      </w:r>
      <w:proofErr w:type="spellStart"/>
      <w:r w:rsidRPr="00B806FD">
        <w:t>tbl</w:t>
      </w:r>
      <w:proofErr w:type="spellEnd"/>
      <w:r w:rsidRPr="00B806FD">
        <w:t xml:space="preserve">. </w:t>
      </w:r>
      <w:r w:rsidRPr="00B806FD">
        <w:rPr>
          <w:noProof/>
        </w:rPr>
        <w:t>3</w:t>
      </w:r>
      <w:r w:rsidRPr="00B806FD">
        <w:fldChar w:fldCharType="end"/>
      </w:r>
      <w:r w:rsidRPr="00B806FD">
        <w:t>.</w:t>
      </w:r>
    </w:p>
  </w:footnote>
  <w:footnote w:id="143">
    <w:p w14:paraId="599B87E0" w14:textId="2194F26D"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rPr>
          <w:i/>
          <w:iCs/>
        </w:rPr>
        <w:t>Id.</w:t>
      </w:r>
    </w:p>
  </w:footnote>
  <w:footnote w:id="144">
    <w:p w14:paraId="3EB88BCB" w14:textId="307A4B07" w:rsidR="00D625DD" w:rsidRPr="00B806FD" w:rsidRDefault="00D625DD" w:rsidP="00B806FD">
      <w:pPr>
        <w:pStyle w:val="FootnoteText"/>
        <w:rPr>
          <w:i/>
          <w:iCs/>
        </w:rPr>
      </w:pPr>
      <w:r w:rsidRPr="00B806FD">
        <w:rPr>
          <w:rStyle w:val="FootnoteReference"/>
        </w:rPr>
        <w:footnoteRef/>
      </w:r>
      <w:r w:rsidRPr="00B806FD">
        <w:t xml:space="preserve"> </w:t>
      </w:r>
      <w:r w:rsidR="00F377A8" w:rsidRPr="00B806FD">
        <w:tab/>
      </w:r>
      <w:r w:rsidRPr="00B806FD">
        <w:rPr>
          <w:i/>
          <w:iCs/>
        </w:rPr>
        <w:t>Id.</w:t>
      </w:r>
    </w:p>
  </w:footnote>
  <w:footnote w:id="145">
    <w:p w14:paraId="48D7C868" w14:textId="4D704DBA" w:rsidR="00D625DD" w:rsidRPr="00B806FD" w:rsidRDefault="00D625DD" w:rsidP="00B806FD">
      <w:pPr>
        <w:pStyle w:val="FootnoteText"/>
        <w:rPr>
          <w:b/>
        </w:rPr>
      </w:pPr>
      <w:r w:rsidRPr="00B806FD">
        <w:rPr>
          <w:rStyle w:val="FootnoteReference"/>
        </w:rPr>
        <w:footnoteRef/>
      </w:r>
      <w:r w:rsidRPr="00B806FD">
        <w:t xml:space="preserve"> </w:t>
      </w:r>
      <w:r w:rsidR="00F377A8" w:rsidRPr="00B806FD">
        <w:tab/>
      </w:r>
      <w:r w:rsidRPr="00B806FD">
        <w:t xml:space="preserve">Nate Cohn, </w:t>
      </w:r>
      <w:r w:rsidRPr="00B806FD">
        <w:rPr>
          <w:i/>
          <w:iCs/>
        </w:rPr>
        <w:t>2022 Review: How Republicans Lost Despite Winning the Popular Vote</w:t>
      </w:r>
      <w:r w:rsidRPr="00B806FD">
        <w:t xml:space="preserve">, </w:t>
      </w:r>
      <w:r w:rsidRPr="00B806FD">
        <w:rPr>
          <w:smallCaps/>
        </w:rPr>
        <w:t>N. Y. Times</w:t>
      </w:r>
      <w:r w:rsidRPr="00B806FD">
        <w:t xml:space="preserve">, Dec. 13, 2022, https://www.nytimes.com/2022/12/13/upshot/2022-republicans-midterms-analysis.html (last visited Dec. 21, 2022).  </w:t>
      </w:r>
      <w:r w:rsidRPr="00B806FD">
        <w:rPr>
          <w:bCs/>
        </w:rPr>
        <w:t>In 2020, the actual congressional elections results resulted in 222 Republican seats—not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146">
    <w:p w14:paraId="19301992" w14:textId="7C998A50"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t xml:space="preserve">In the 2022 election, national tides linked to voter perceptions of the success of President Biden’s presidency, the degree to which each party had vulnerable seats, idiosyncratic effects tied to the candidates and campaigns in each congressional district,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  Gary C. Jacobson, </w:t>
      </w:r>
      <w:r w:rsidRPr="00B806FD">
        <w:rPr>
          <w:i/>
          <w:iCs/>
        </w:rPr>
        <w:t xml:space="preserve">How Do Campaigns </w:t>
      </w:r>
      <w:proofErr w:type="gramStart"/>
      <w:r w:rsidRPr="00B806FD">
        <w:rPr>
          <w:i/>
          <w:iCs/>
        </w:rPr>
        <w:t>Matter?</w:t>
      </w:r>
      <w:r w:rsidRPr="00B806FD">
        <w:t>,</w:t>
      </w:r>
      <w:proofErr w:type="gramEnd"/>
      <w:r w:rsidRPr="00B806FD">
        <w:t xml:space="preserve"> 18 </w:t>
      </w:r>
      <w:r w:rsidRPr="00B806FD">
        <w:rPr>
          <w:smallCaps/>
        </w:rPr>
        <w:t>Annu. Rev. Pol. Sci.</w:t>
      </w:r>
      <w:r w:rsidRPr="00B806FD">
        <w:t xml:space="preserve"> 31 (2015), https://www.annualreviews.org/doi/10.1146/annurev-polisci-072012-113556 [https://perma.cc/C9TW-FTG4] (last visited Oct. 18, 2022) (providing support for voter perceptions, vulnerable seats, and idiosyncratic effects).</w:t>
      </w:r>
    </w:p>
  </w:footnote>
  <w:footnote w:id="147">
    <w:p w14:paraId="6551BD12" w14:textId="135CBC29"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rPr>
          <w:i/>
        </w:rPr>
        <w:t>See</w:t>
      </w:r>
      <w:r w:rsidRPr="00B806FD">
        <w:t xml:space="preserve"> </w:t>
      </w:r>
      <w:del w:id="338" w:author="Jonathan Cervas" w:date="2023-06-22T15:48:00Z">
        <w:r w:rsidRPr="00B806FD" w:rsidDel="00C9357C">
          <w:rPr>
            <w:i/>
            <w:iCs/>
          </w:rPr>
          <w:delText xml:space="preserve">infra </w:delText>
        </w:r>
      </w:del>
      <w:r w:rsidRPr="00B806FD">
        <w:fldChar w:fldCharType="begin"/>
      </w:r>
      <w:r w:rsidRPr="00B806FD">
        <w:rPr>
          <w:i/>
          <w:iCs/>
        </w:rPr>
        <w:instrText xml:space="preserve"> REF _Ref123165901 \h </w:instrText>
      </w:r>
      <w:r w:rsidR="00F377A8" w:rsidRPr="00B806FD">
        <w:instrText xml:space="preserve"> \* MERGEFORMAT </w:instrText>
      </w:r>
      <w:r w:rsidRPr="00B806FD">
        <w:fldChar w:fldCharType="separate"/>
      </w:r>
      <w:proofErr w:type="spellStart"/>
      <w:r w:rsidRPr="00B806FD">
        <w:t>tbl</w:t>
      </w:r>
      <w:proofErr w:type="spellEnd"/>
      <w:r w:rsidRPr="00B806FD">
        <w:t xml:space="preserve">. </w:t>
      </w:r>
      <w:r w:rsidRPr="00B806FD">
        <w:rPr>
          <w:noProof/>
        </w:rPr>
        <w:t>3</w:t>
      </w:r>
      <w:r w:rsidRPr="00B806FD">
        <w:fldChar w:fldCharType="end"/>
      </w:r>
      <w:r w:rsidRPr="00B806FD">
        <w:t>.</w:t>
      </w:r>
    </w:p>
  </w:footnote>
  <w:footnote w:id="148">
    <w:p w14:paraId="0BCF3CE0" w14:textId="2C9D3F71"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rPr>
          <w:noProof/>
        </w:rPr>
        <w:t>Harkenrider v. Hochul, 197 N.E.3d 437, 454 (N.Y. 2022);</w:t>
      </w:r>
      <w:r w:rsidRPr="00B806FD">
        <w:t xml:space="preserve"> North Carolina Harper v. Hall, 868 S.E.2d 499, 559 (N.C. 2022).</w:t>
      </w:r>
    </w:p>
  </w:footnote>
  <w:footnote w:id="149">
    <w:p w14:paraId="285F0EFB" w14:textId="08047E1D" w:rsidR="00D625DD" w:rsidRPr="00B806FD" w:rsidRDefault="00D625DD" w:rsidP="00B806FD">
      <w:pPr>
        <w:jc w:val="both"/>
        <w:rPr>
          <w:sz w:val="18"/>
          <w:szCs w:val="18"/>
        </w:rPr>
      </w:pPr>
      <w:r w:rsidRPr="00B806FD">
        <w:rPr>
          <w:rStyle w:val="FootnoteReference"/>
          <w:sz w:val="18"/>
          <w:szCs w:val="18"/>
        </w:rPr>
        <w:footnoteRef/>
      </w:r>
      <w:r w:rsidRPr="00B806FD">
        <w:rPr>
          <w:sz w:val="18"/>
          <w:szCs w:val="18"/>
        </w:rPr>
        <w:t xml:space="preserve"> </w:t>
      </w:r>
      <w:r w:rsidR="00F377A8" w:rsidRPr="00B806FD">
        <w:rPr>
          <w:sz w:val="18"/>
          <w:szCs w:val="18"/>
        </w:rPr>
        <w:tab/>
      </w:r>
      <w:r w:rsidRPr="00305698">
        <w:rPr>
          <w:rStyle w:val="FootnoteTextChar"/>
          <w:rFonts w:ascii="Times New Roman" w:hAnsi="Times New Roman"/>
          <w:rPrChange w:id="341" w:author="Jonathan Cervas" w:date="2023-06-29T16:51:00Z">
            <w:rPr>
              <w:sz w:val="18"/>
              <w:szCs w:val="18"/>
            </w:rPr>
          </w:rPrChange>
        </w:rPr>
        <w:t>Moreover, several states simply perpetuated existing gerrymanders, while other states were able to undo previous gerrymanders, as was the case in Michigan which instituted a new independent commission.</w:t>
      </w:r>
      <w:r w:rsidRPr="00305698">
        <w:rPr>
          <w:rStyle w:val="FootnoteTextChar"/>
          <w:rPrChange w:id="342" w:author="Jonathan Cervas" w:date="2023-06-29T16:51:00Z">
            <w:rPr>
              <w:sz w:val="18"/>
              <w:szCs w:val="18"/>
            </w:rPr>
          </w:rPrChange>
        </w:rPr>
        <w:t xml:space="preserve"> </w:t>
      </w:r>
    </w:p>
  </w:footnote>
  <w:footnote w:id="150">
    <w:p w14:paraId="15D58A79" w14:textId="37F41E36"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bCs/>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B806FD">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151">
    <w:p w14:paraId="3C2DFACE" w14:textId="611EFF56" w:rsidR="00F377A8" w:rsidRPr="00B806FD" w:rsidRDefault="00F377A8" w:rsidP="00B806FD">
      <w:pPr>
        <w:pStyle w:val="FootnoteText"/>
      </w:pPr>
      <w:r w:rsidRPr="00B806FD">
        <w:rPr>
          <w:rStyle w:val="FootnoteReference"/>
        </w:rPr>
        <w:footnoteRef/>
      </w:r>
      <w:r w:rsidRPr="00B806FD">
        <w:t xml:space="preserve"> </w:t>
      </w:r>
      <w:r w:rsidRPr="00B806FD">
        <w:tab/>
        <w:t xml:space="preserve">We include some states that have gerrymanders, drawn to dilute the power of protected racial and language minorities (Alabama, Georgia, 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w:t>
      </w:r>
      <w:r w:rsidRPr="00B806FD">
        <w:rPr>
          <w:i/>
          <w:iCs/>
        </w:rPr>
        <w:t>see</w:t>
      </w:r>
      <w:r w:rsidRPr="00B806FD">
        <w:t xml:space="preserve"> discussion earlier in the text and </w:t>
      </w:r>
      <w:proofErr w:type="spellStart"/>
      <w:r w:rsidRPr="00B806FD">
        <w:t>Jowei</w:t>
      </w:r>
      <w:proofErr w:type="spellEnd"/>
      <w:r w:rsidRPr="00B806FD">
        <w:t xml:space="preserve"> Chen &amp; Nicholas O. Stephanopoulos, </w:t>
      </w:r>
      <w:r w:rsidRPr="00B806FD">
        <w:rPr>
          <w:i/>
          <w:iCs/>
        </w:rPr>
        <w:t>The Race-Blind Future of Voting Rights</w:t>
      </w:r>
      <w:r w:rsidRPr="00B806FD">
        <w:t xml:space="preserve">, 130 </w:t>
      </w:r>
      <w:r w:rsidRPr="00B806FD">
        <w:rPr>
          <w:smallCaps/>
        </w:rPr>
        <w:t>Yale L. J.</w:t>
      </w:r>
      <w:r w:rsidRPr="00B806FD">
        <w:t xml:space="preserve"> 85 (2021).</w:t>
      </w:r>
    </w:p>
  </w:footnote>
  <w:footnote w:id="152">
    <w:p w14:paraId="4AFB892D" w14:textId="0706AE84" w:rsidR="00F377A8" w:rsidRPr="00B806FD" w:rsidRDefault="00F377A8" w:rsidP="00B806FD">
      <w:pPr>
        <w:pStyle w:val="FootnoteText"/>
      </w:pPr>
      <w:r w:rsidRPr="00B806FD">
        <w:rPr>
          <w:rStyle w:val="FootnoteReference"/>
        </w:rPr>
        <w:footnoteRef/>
      </w:r>
      <w:r w:rsidRPr="00B806FD">
        <w:t xml:space="preserve"> </w:t>
      </w:r>
      <w:r w:rsidRPr="00B806FD">
        <w:tab/>
        <w:t xml:space="preserve">Information regarding litigation is available at several websites. </w:t>
      </w:r>
      <w:r w:rsidRPr="00B806FD">
        <w:rPr>
          <w:i/>
          <w:iCs/>
        </w:rPr>
        <w:t>See</w:t>
      </w:r>
      <w:r w:rsidRPr="00B806FD">
        <w:rPr>
          <w:smallCaps/>
        </w:rPr>
        <w:t xml:space="preserve"> </w:t>
      </w:r>
      <w:r w:rsidRPr="00B806FD">
        <w:t xml:space="preserve">Spencer, </w:t>
      </w:r>
      <w:r w:rsidRPr="00B806FD">
        <w:rPr>
          <w:i/>
          <w:iCs/>
        </w:rPr>
        <w:t>supra</w:t>
      </w:r>
      <w:r w:rsidRPr="00B806FD">
        <w:t xml:space="preserve"> note </w:t>
      </w:r>
      <w:ins w:id="356" w:author="Jonathan Cervas" w:date="2023-06-22T15:59:00Z">
        <w:r w:rsidR="00B50363">
          <w:fldChar w:fldCharType="begin"/>
        </w:r>
        <w:r w:rsidR="00B50363">
          <w:instrText xml:space="preserve"> NOTEREF _Ref138329809 \h </w:instrText>
        </w:r>
      </w:ins>
      <w:r w:rsidR="00B50363">
        <w:fldChar w:fldCharType="separate"/>
      </w:r>
      <w:ins w:id="357" w:author="Jonathan Cervas" w:date="2023-06-22T15:59:00Z">
        <w:r w:rsidR="00B50363">
          <w:t>135</w:t>
        </w:r>
        <w:r w:rsidR="00B50363">
          <w:fldChar w:fldCharType="end"/>
        </w:r>
      </w:ins>
      <w:del w:id="358" w:author="Jonathan Cervas" w:date="2023-06-22T15:59:00Z">
        <w:r w:rsidRPr="00B806FD" w:rsidDel="00B50363">
          <w:delText>133</w:delText>
        </w:r>
      </w:del>
      <w:r w:rsidRPr="00B806FD">
        <w:t xml:space="preserve">; </w:t>
      </w:r>
      <w:r w:rsidRPr="00B806FD">
        <w:rPr>
          <w:i/>
        </w:rPr>
        <w:t>Redistricting Litigation Roundup</w:t>
      </w:r>
      <w:r w:rsidRPr="00B806FD">
        <w:t xml:space="preserve">, </w:t>
      </w:r>
      <w:r w:rsidRPr="00B806FD">
        <w:rPr>
          <w:smallCaps/>
        </w:rPr>
        <w:t>Brennan Center for Justice</w:t>
      </w:r>
      <w:r w:rsidRPr="00B806FD">
        <w:t xml:space="preserve"> (May 2, 2023), https://www.brennancenter.org/our-work/research-reports/redistricting-litigation-roundup-0 [https://perma.cc/WQ4X-63HQ]; </w:t>
      </w:r>
      <w:r w:rsidRPr="00B806FD">
        <w:rPr>
          <w:i/>
        </w:rPr>
        <w:t>Redistricting Litigation</w:t>
      </w:r>
      <w:r w:rsidRPr="00B806FD">
        <w:t xml:space="preserve">, </w:t>
      </w:r>
      <w:r w:rsidRPr="00B806FD">
        <w:rPr>
          <w:smallCaps/>
        </w:rPr>
        <w:t>Democracy Docket</w:t>
      </w:r>
      <w:r w:rsidRPr="00B806FD">
        <w:t xml:space="preserve"> (2022), https://www.democracydocket.com/topic/redistricting-litigation/ [https://perma.cc/3976-F74U] (last visited Feb. 20, 2023).</w:t>
      </w:r>
    </w:p>
  </w:footnote>
  <w:footnote w:id="153">
    <w:p w14:paraId="2ECA631B" w14:textId="1FF3CF78" w:rsidR="00F377A8" w:rsidRPr="00B806FD" w:rsidRDefault="00F377A8" w:rsidP="00B806FD">
      <w:pPr>
        <w:pStyle w:val="FootnoteText"/>
        <w:rPr>
          <w:b/>
          <w:bCs/>
        </w:rPr>
      </w:pPr>
      <w:r w:rsidRPr="00B806FD">
        <w:rPr>
          <w:rStyle w:val="FootnoteReference"/>
        </w:rPr>
        <w:footnoteRef/>
      </w:r>
      <w:r w:rsidRPr="00B806FD">
        <w:t xml:space="preserve"> </w:t>
      </w:r>
      <w:r w:rsidRPr="00B806FD">
        <w:tab/>
        <w:t xml:space="preserve">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  </w:t>
      </w:r>
      <w:r w:rsidRPr="00B806FD">
        <w:rPr>
          <w:i/>
          <w:iCs/>
        </w:rPr>
        <w:t xml:space="preserve">See </w:t>
      </w:r>
      <w:r w:rsidRPr="00B806FD">
        <w:t xml:space="preserve">Lublin et al., </w:t>
      </w:r>
      <w:r w:rsidRPr="00B806FD">
        <w:rPr>
          <w:i/>
          <w:iCs/>
        </w:rPr>
        <w:t xml:space="preserve">supra </w:t>
      </w:r>
      <w:r w:rsidRPr="00B806FD">
        <w:t xml:space="preserve">note </w:t>
      </w:r>
      <w:r w:rsidRPr="00B806FD">
        <w:fldChar w:fldCharType="begin"/>
      </w:r>
      <w:r w:rsidRPr="00B806FD">
        <w:instrText xml:space="preserve"> NOTEREF _Ref122773338 \h  \* MERGEFORMAT </w:instrText>
      </w:r>
      <w:r w:rsidRPr="00B806FD">
        <w:fldChar w:fldCharType="separate"/>
      </w:r>
      <w:r w:rsidRPr="00B806FD">
        <w:t>121</w:t>
      </w:r>
      <w:r w:rsidRPr="00B806FD">
        <w:fldChar w:fldCharType="end"/>
      </w:r>
      <w:r w:rsidRPr="00B806FD">
        <w:t>.</w:t>
      </w:r>
    </w:p>
  </w:footnote>
  <w:footnote w:id="154">
    <w:p w14:paraId="2548E1E5" w14:textId="676AE9DC"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See supra</w:t>
      </w:r>
      <w:r w:rsidRPr="00B806FD">
        <w:t xml:space="preserve"> </w:t>
      </w:r>
      <w:r w:rsidRPr="00B806FD">
        <w:fldChar w:fldCharType="begin"/>
      </w:r>
      <w:r w:rsidRPr="00B806FD">
        <w:instrText xml:space="preserve"> REF _Ref123137422 \h  \* MERGEFORMAT </w:instrText>
      </w:r>
      <w:r w:rsidRPr="00B806FD">
        <w:fldChar w:fldCharType="separate"/>
      </w:r>
      <w:proofErr w:type="spellStart"/>
      <w:r w:rsidRPr="00B806FD">
        <w:t>tbl</w:t>
      </w:r>
      <w:proofErr w:type="spellEnd"/>
      <w:r w:rsidRPr="00B806FD">
        <w:t xml:space="preserve">. </w:t>
      </w:r>
      <w:r w:rsidRPr="00B806FD">
        <w:rPr>
          <w:noProof/>
        </w:rPr>
        <w:t>1</w:t>
      </w:r>
      <w:r w:rsidRPr="00B806FD">
        <w:fldChar w:fldCharType="end"/>
      </w:r>
      <w:r w:rsidRPr="00B806FD">
        <w:t>.</w:t>
      </w:r>
    </w:p>
  </w:footnote>
  <w:footnote w:id="155">
    <w:p w14:paraId="780ED4EC" w14:textId="0B9A90C4"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 xml:space="preserve">Id. </w:t>
      </w:r>
      <w:r w:rsidRPr="00B806FD">
        <w:t xml:space="preserve"> The states in these lists are only those in which the conditions exist for the enactment of a partisan gerrymander.  They do not include states where the power to draw a map is under split party control, there is only one district, or the plan is drawn by a commission. </w:t>
      </w:r>
      <w:r w:rsidRPr="00B806FD">
        <w:rPr>
          <w:i/>
          <w:iCs/>
        </w:rPr>
        <w:t>See id</w:t>
      </w:r>
      <w:r w:rsidRPr="00B806FD">
        <w:t>.</w:t>
      </w:r>
    </w:p>
  </w:footnote>
  <w:footnote w:id="156">
    <w:p w14:paraId="549DD2CF" w14:textId="52372406" w:rsidR="008B4EBD" w:rsidRPr="008B4EBD" w:rsidRDefault="00F377A8" w:rsidP="008B4EBD">
      <w:pPr>
        <w:pStyle w:val="FootnoteText"/>
        <w:widowControl w:val="0"/>
        <w:rPr>
          <w:ins w:id="360" w:author="Jonathan Cervas" w:date="2023-06-18T19:21:00Z"/>
        </w:rPr>
      </w:pPr>
      <w:r w:rsidRPr="00B806FD">
        <w:rPr>
          <w:rStyle w:val="FootnoteReference"/>
        </w:rPr>
        <w:footnoteRef/>
      </w:r>
      <w:r w:rsidRPr="00B806FD">
        <w:t xml:space="preserve"> </w:t>
      </w:r>
      <w:r w:rsidRPr="00B806FD">
        <w:tab/>
      </w:r>
      <w:ins w:id="361" w:author="Jonathan Cervas" w:date="2023-06-18T19:22:00Z">
        <w:r w:rsidR="008B4EBD" w:rsidRPr="008B4EBD">
          <w:t xml:space="preserve">Robinson v. </w:t>
        </w:r>
        <w:proofErr w:type="spellStart"/>
        <w:r w:rsidR="008B4EBD" w:rsidRPr="008B4EBD">
          <w:t>Ardoin</w:t>
        </w:r>
        <w:proofErr w:type="spellEnd"/>
        <w:r w:rsidR="008B4EBD" w:rsidRPr="008B4EBD">
          <w:t>, 605 F.Supp.3d 759, 766 (</w:t>
        </w:r>
        <w:proofErr w:type="spellStart"/>
        <w:r w:rsidR="008B4EBD" w:rsidRPr="008B4EBD">
          <w:t>M.D.La</w:t>
        </w:r>
        <w:proofErr w:type="spellEnd"/>
        <w:r w:rsidR="008B4EBD" w:rsidRPr="008B4EBD">
          <w:t>., 2022)</w:t>
        </w:r>
        <w:r w:rsidR="008B4EBD">
          <w:t xml:space="preserve"> (“</w:t>
        </w:r>
      </w:ins>
      <w:ins w:id="362" w:author="Jonathan Cervas" w:date="2023-06-18T19:21:00Z">
        <w:r w:rsidR="008B4EBD" w:rsidRPr="008B4EBD">
          <w:t>For the reasons set forth herein, the Court concludes that Plaintiffs are substantially likely to prevail on the merits of their claims brought under Section 2 of the Voting Rights Act.</w:t>
        </w:r>
      </w:ins>
      <w:ins w:id="363" w:author="Jonathan Cervas" w:date="2023-06-18T19:22:00Z">
        <w:r w:rsidR="008B4EBD">
          <w:t>”)</w:t>
        </w:r>
      </w:ins>
    </w:p>
    <w:p w14:paraId="6C0B4D8E" w14:textId="1E292086" w:rsidR="00F377A8" w:rsidRPr="00B806FD" w:rsidRDefault="00F377A8" w:rsidP="00B806FD">
      <w:pPr>
        <w:pStyle w:val="FootnoteText"/>
      </w:pPr>
      <w:del w:id="364" w:author="Jonathan Cervas" w:date="2023-06-18T19:21:00Z">
        <w:r w:rsidRPr="00B806FD" w:rsidDel="008B4EBD">
          <w:delText xml:space="preserve">Complaint, </w:delText>
        </w:r>
        <w:r w:rsidRPr="00B806FD" w:rsidDel="008B4EBD">
          <w:rPr>
            <w:i/>
            <w:iCs/>
          </w:rPr>
          <w:delText>Galmon</w:delText>
        </w:r>
        <w:r w:rsidRPr="00B806FD" w:rsidDel="008B4EBD">
          <w:delText>, No. 3:22-CV-00214-BAJ-RLB at ; Robinson v. Ardoin, No. 3:22-CV-211 at (M.D. La. 2022).</w:delText>
        </w:r>
      </w:del>
    </w:p>
  </w:footnote>
  <w:footnote w:id="157">
    <w:p w14:paraId="08AB291D" w14:textId="68DF5DB2" w:rsidR="00F377A8" w:rsidRPr="00B806FD" w:rsidRDefault="00F377A8" w:rsidP="00B806FD">
      <w:pPr>
        <w:pStyle w:val="FootnoteText"/>
      </w:pPr>
      <w:r w:rsidRPr="00B806FD">
        <w:rPr>
          <w:rStyle w:val="FootnoteReference"/>
        </w:rPr>
        <w:footnoteRef/>
      </w:r>
      <w:r w:rsidRPr="00B806FD">
        <w:t xml:space="preserve"> </w:t>
      </w:r>
      <w:r w:rsidRPr="00B806FD">
        <w:tab/>
      </w:r>
      <w:ins w:id="365" w:author="Jonathan Cervas" w:date="2023-06-22T16:06:00Z">
        <w:r w:rsidR="00D07453" w:rsidRPr="00D07453">
          <w:rPr>
            <w:noProof/>
          </w:rPr>
          <w:t>Alpha Phi Alpha Fraternity Inc. v. Raffensperger, 587 F. Supp. 3d 1222, 1233–34 (N.D. Ga. 2022). ("Court finds that while the plaintiffs have shown that they are likely to ultimately prove that certain aspects of the State's redistricting plans are unlawful, preliminary injunctive relief is not in the public's interest because changes to the redistricting maps at this point in the 2022 election schedule are likely to substantially disrupt the election process. As a result, the Court will not grant the requests for preliminary injunctive relief.)</w:t>
        </w:r>
      </w:ins>
      <w:del w:id="366" w:author="Jonathan Cervas" w:date="2023-06-22T16:06:00Z">
        <w:r w:rsidRPr="00B806FD" w:rsidDel="00D07453">
          <w:rPr>
            <w:i/>
            <w:iCs/>
          </w:rPr>
          <w:delText xml:space="preserve">See </w:delText>
        </w:r>
        <w:r w:rsidRPr="00B806FD" w:rsidDel="00D07453">
          <w:rPr>
            <w:noProof/>
          </w:rPr>
          <w:delText>Georgia State Conference of the NAACP v. State of Georgia, No. 1:21-CV-5338 (N.D. Ga. 2021); Pendergrass v. Raffensperger, No. 1:21-CV-5339 (N.D. Ga. 2021); Common Cause v. Raffensperger, No. 1:22-CV-90 (N.D. Ga. 2022).</w:delText>
        </w:r>
      </w:del>
    </w:p>
  </w:footnote>
  <w:footnote w:id="158">
    <w:p w14:paraId="29550000" w14:textId="66A326E0" w:rsidR="00F377A8" w:rsidRPr="00B806FD" w:rsidRDefault="00F377A8" w:rsidP="00B806FD">
      <w:pPr>
        <w:pStyle w:val="FootnoteText"/>
      </w:pPr>
      <w:r w:rsidRPr="00B806FD">
        <w:rPr>
          <w:rStyle w:val="FootnoteReference"/>
        </w:rPr>
        <w:footnoteRef/>
      </w:r>
      <w:r w:rsidRPr="00B806FD">
        <w:t xml:space="preserve"> </w:t>
      </w:r>
      <w:r w:rsidRPr="00B806FD">
        <w:tab/>
      </w:r>
      <w:ins w:id="367" w:author="Jonathan Cervas" w:date="2023-06-22T16:06:00Z">
        <w:r w:rsidR="00D07453" w:rsidRPr="00D07453">
          <w:rPr>
            <w:i/>
            <w:iCs/>
            <w:rPrChange w:id="368" w:author="Jonathan Cervas" w:date="2023-06-22T16:06:00Z">
              <w:rPr/>
            </w:rPrChange>
          </w:rPr>
          <w:t>Id</w:t>
        </w:r>
        <w:r w:rsidR="00D07453">
          <w:t>.</w:t>
        </w:r>
      </w:ins>
      <w:del w:id="369" w:author="Jonathan Cervas" w:date="2023-06-22T16:05:00Z">
        <w:r w:rsidRPr="00B806FD" w:rsidDel="00D07453">
          <w:rPr>
            <w:noProof/>
          </w:rPr>
          <w:delText>Alpha Phi Alpha Fraternity V. Raffensperger, 587 F Supp 3d 1222, 1327 (2022).</w:delText>
        </w:r>
      </w:del>
    </w:p>
  </w:footnote>
  <w:footnote w:id="159">
    <w:p w14:paraId="3CEDB7E6" w14:textId="500166BF"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Purcell</w:t>
      </w:r>
      <w:ins w:id="370" w:author="Jonathan Cervas" w:date="2023-06-29T16:51:00Z">
        <w:r w:rsidR="008C1524">
          <w:t>,</w:t>
        </w:r>
      </w:ins>
      <w:del w:id="371" w:author="Jonathan Cervas" w:date="2023-06-29T16:51:00Z">
        <w:r w:rsidRPr="00B806FD" w:rsidDel="008C1524">
          <w:delText>.</w:delText>
        </w:r>
      </w:del>
      <w:r w:rsidRPr="00B806FD">
        <w:t xml:space="preserve"> 549 U.S. at 6</w:t>
      </w:r>
      <w:ins w:id="372" w:author="Jonathan Cervas" w:date="2023-06-22T16:06:00Z">
        <w:r w:rsidR="00D07453">
          <w:t>.</w:t>
        </w:r>
      </w:ins>
      <w:r w:rsidRPr="00B806FD">
        <w:t xml:space="preserve"> (</w:t>
      </w:r>
      <w:del w:id="373" w:author="Jonathan Cervas" w:date="2023-06-22T16:06:00Z">
        <w:r w:rsidRPr="00B806FD" w:rsidDel="00D07453">
          <w:delText>stating</w:delText>
        </w:r>
      </w:del>
      <w:ins w:id="374" w:author="Jonathan Cervas" w:date="2023-06-22T16:06:00Z">
        <w:r w:rsidR="00D07453">
          <w:t xml:space="preserve"> </w:t>
        </w:r>
      </w:ins>
      <w:r w:rsidRPr="00B806FD">
        <w:t>“[g]</w:t>
      </w:r>
      <w:proofErr w:type="spellStart"/>
      <w:r w:rsidRPr="00B806FD">
        <w:t>iven</w:t>
      </w:r>
      <w:proofErr w:type="spellEnd"/>
      <w:r w:rsidRPr="00B806FD">
        <w:t xml:space="preserve"> the imminence of the election and the inadequate time to resolve the factual disputes, our action today shall of necessity allow the election to proceed without an injunction suspending the voter identification rules.”).</w:t>
      </w:r>
    </w:p>
  </w:footnote>
  <w:footnote w:id="160">
    <w:p w14:paraId="06B4B95E" w14:textId="2AA1F389"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rPr>
          <w:smallCaps/>
        </w:rPr>
        <w:t>National Conference of State Legislatures</w:t>
      </w:r>
      <w:r w:rsidRPr="00B806FD">
        <w:t xml:space="preserve">, </w:t>
      </w:r>
      <w:r w:rsidRPr="00B806FD">
        <w:rPr>
          <w:i/>
          <w:iCs/>
        </w:rPr>
        <w:t>supra</w:t>
      </w:r>
      <w:r w:rsidRPr="00B806FD">
        <w:t xml:space="preserve"> note </w:t>
      </w:r>
      <w:ins w:id="375" w:author="Jonathan Cervas" w:date="2023-06-22T16:08:00Z">
        <w:r w:rsidR="00D07453">
          <w:fldChar w:fldCharType="begin"/>
        </w:r>
        <w:r w:rsidR="00D07453">
          <w:instrText xml:space="preserve"> NOTEREF _Ref122771657 \h </w:instrText>
        </w:r>
      </w:ins>
      <w:r w:rsidR="00D07453">
        <w:fldChar w:fldCharType="separate"/>
      </w:r>
      <w:ins w:id="376" w:author="Jonathan Cervas" w:date="2023-06-22T16:08:00Z">
        <w:r w:rsidR="00D07453">
          <w:t>70</w:t>
        </w:r>
        <w:r w:rsidR="00D07453">
          <w:fldChar w:fldCharType="end"/>
        </w:r>
      </w:ins>
      <w:del w:id="377" w:author="Jonathan Cervas" w:date="2023-06-22T16:08:00Z">
        <w:r w:rsidRPr="00B806FD" w:rsidDel="00D07453">
          <w:delText>69</w:delText>
        </w:r>
      </w:del>
      <w:r w:rsidRPr="00B806FD">
        <w:t>.</w:t>
      </w:r>
    </w:p>
  </w:footnote>
  <w:footnote w:id="161">
    <w:p w14:paraId="5E37F136" w14:textId="3AD686E3" w:rsidR="00F377A8" w:rsidRPr="00B806FD" w:rsidRDefault="00F377A8" w:rsidP="00B806FD">
      <w:pPr>
        <w:pStyle w:val="FootnoteText"/>
      </w:pPr>
      <w:r w:rsidRPr="00B806FD">
        <w:rPr>
          <w:rStyle w:val="FootnoteReference"/>
        </w:rPr>
        <w:footnoteRef/>
      </w:r>
      <w:r w:rsidRPr="00B806FD">
        <w:t xml:space="preserve"> </w:t>
      </w:r>
      <w:r w:rsidRPr="00B806FD">
        <w:tab/>
        <w:t xml:space="preserve">In Kansas, the Democratic governor vetoed the congressional map passed by the legislature  </w:t>
      </w:r>
      <w:r w:rsidRPr="00B806FD">
        <w:rPr>
          <w:i/>
          <w:iCs/>
        </w:rPr>
        <w:t xml:space="preserve">See </w:t>
      </w:r>
      <w:r w:rsidRPr="00B806FD">
        <w:rPr>
          <w:smallCaps/>
        </w:rPr>
        <w:t>Kansas Office of the Governor</w:t>
      </w:r>
      <w:r w:rsidRPr="00B806FD">
        <w:t xml:space="preserve">, </w:t>
      </w:r>
      <w:r w:rsidRPr="00B806FD">
        <w:rPr>
          <w:i/>
          <w:iCs/>
        </w:rPr>
        <w:t>Governor Laura Kelly Vetoes Congressional Redistricting Map, Senate Bill 355</w:t>
      </w:r>
      <w:r w:rsidRPr="00B806FD">
        <w:t xml:space="preserve">, </w:t>
      </w:r>
      <w:hyperlink r:id="rId8" w:history="1">
        <w:r w:rsidRPr="00B806FD">
          <w:rPr>
            <w:rStyle w:val="Hyperlink"/>
            <w:color w:val="auto"/>
            <w:u w:val="none"/>
          </w:rPr>
          <w:t>https://governor.kansas.gov/governor-laura-kelly-vetoes-congressional-redistricting-map-senate-bill-355/</w:t>
        </w:r>
      </w:hyperlink>
      <w:r w:rsidRPr="00B806FD">
        <w:t xml:space="preserve"> [https://perma.cc/6AU7-RW5J].  The Kansas Legislature over overrode her veto.  As we explain later, a state court did rule the map unconstitutional, but that judgment was vacated by the high court.  In Wisconsin, the map passed by the Wisconsin Legislature was vetoed by the Democratic governor </w:t>
      </w:r>
      <w:r w:rsidRPr="00B806FD">
        <w:rPr>
          <w:i/>
          <w:iCs/>
        </w:rPr>
        <w:t xml:space="preserve">See </w:t>
      </w:r>
      <w:r w:rsidRPr="00B806FD">
        <w:rPr>
          <w:smallCaps/>
        </w:rPr>
        <w:t>Office of the governor state of Wisconsin</w:t>
      </w:r>
      <w:r w:rsidRPr="00B806FD">
        <w:t xml:space="preserve">, </w:t>
      </w:r>
      <w:r w:rsidRPr="00B806FD">
        <w:rPr>
          <w:i/>
          <w:iCs/>
        </w:rPr>
        <w:t>Evers Vetoes GOP’s “Gerrymandering 2.0” Maps</w:t>
      </w:r>
      <w:r w:rsidRPr="00B806FD">
        <w:t xml:space="preserve">, </w:t>
      </w:r>
      <w:r w:rsidRPr="00B806FD">
        <w:rPr>
          <w:smallCaps/>
        </w:rPr>
        <w:t xml:space="preserve"> </w:t>
      </w:r>
      <w:hyperlink r:id="rId9" w:history="1">
        <w:r w:rsidRPr="00B806FD">
          <w:rPr>
            <w:rStyle w:val="Hyperlink"/>
            <w:color w:val="auto"/>
            <w:u w:val="none"/>
          </w:rPr>
          <w:t>https://content.govdelivery.com/accounts/WIGOV/bulletins/2fcd160</w:t>
        </w:r>
      </w:hyperlink>
      <w:r w:rsidRPr="00B806FD">
        <w:t xml:space="preserve"> [https://perma.cc/UM67-V9WV].  The dispute led to the Wisconsin Supreme Court choosing the governor’s map.</w:t>
      </w:r>
    </w:p>
  </w:footnote>
  <w:footnote w:id="162">
    <w:p w14:paraId="232D88F3" w14:textId="53017CB8"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Id.</w:t>
      </w:r>
    </w:p>
  </w:footnote>
  <w:footnote w:id="163">
    <w:p w14:paraId="24EB8E12" w14:textId="7B1A78E7"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See supra</w:t>
      </w:r>
      <w:r w:rsidRPr="00B806FD">
        <w:t xml:space="preserve"> </w:t>
      </w:r>
      <w:r w:rsidRPr="00B806FD">
        <w:fldChar w:fldCharType="begin"/>
      </w:r>
      <w:r w:rsidRPr="00B806FD">
        <w:instrText xml:space="preserve"> REF _Ref123137422 \h  \* MERGEFORMAT </w:instrText>
      </w:r>
      <w:r w:rsidRPr="00B806FD">
        <w:fldChar w:fldCharType="separate"/>
      </w:r>
      <w:proofErr w:type="spellStart"/>
      <w:r w:rsidRPr="00B806FD">
        <w:t>tbl</w:t>
      </w:r>
      <w:proofErr w:type="spellEnd"/>
      <w:r w:rsidRPr="00B806FD">
        <w:t xml:space="preserve">. </w:t>
      </w:r>
      <w:r w:rsidRPr="00B806FD">
        <w:rPr>
          <w:noProof/>
        </w:rPr>
        <w:t>1</w:t>
      </w:r>
      <w:r w:rsidRPr="00B806FD">
        <w:fldChar w:fldCharType="end"/>
      </w:r>
      <w:r w:rsidRPr="00B806FD">
        <w:t xml:space="preserve">.  Of course, both states are also obligated to adhere to federal law, including prohibitions </w:t>
      </w:r>
      <w:r w:rsidRPr="00B806FD">
        <w:rPr>
          <w:bCs/>
        </w:rPr>
        <w:t>on race as a preponderant motive and</w:t>
      </w:r>
      <w:r w:rsidRPr="00B806FD">
        <w:t xml:space="preserve"> adhering to the Voting Rights Act.</w:t>
      </w:r>
    </w:p>
  </w:footnote>
  <w:footnote w:id="164">
    <w:p w14:paraId="33B250FF" w14:textId="6B34F922" w:rsidR="00240ED7" w:rsidRPr="00B806FD" w:rsidRDefault="00240ED7" w:rsidP="00B806FD">
      <w:pPr>
        <w:pStyle w:val="FootnoteText"/>
      </w:pPr>
      <w:r w:rsidRPr="00B806FD">
        <w:rPr>
          <w:rStyle w:val="FootnoteReference"/>
        </w:rPr>
        <w:footnoteRef/>
      </w:r>
      <w:r w:rsidRPr="00B806FD">
        <w:t xml:space="preserve"> </w:t>
      </w:r>
      <w:ins w:id="382" w:author="Jonathan Cervas" w:date="2023-06-29T16:53:00Z">
        <w:r w:rsidR="008C1524">
          <w:tab/>
        </w:r>
      </w:ins>
      <w:r w:rsidRPr="00B806FD">
        <w:rPr>
          <w:i/>
          <w:iCs/>
        </w:rPr>
        <w:t>See supra</w:t>
      </w:r>
      <w:r w:rsidRPr="00B806FD">
        <w:t xml:space="preserve">, </w:t>
      </w:r>
      <w:ins w:id="383" w:author="Jonathan Cervas" w:date="2023-06-23T11:31:00Z">
        <w:r w:rsidR="0075230D">
          <w:t xml:space="preserve">page </w:t>
        </w:r>
        <w:r w:rsidR="0075230D">
          <w:fldChar w:fldCharType="begin"/>
        </w:r>
        <w:r w:rsidR="0075230D">
          <w:instrText xml:space="preserve"> PAGEREF claim_gerrymandering \h </w:instrText>
        </w:r>
      </w:ins>
      <w:r w:rsidR="0075230D">
        <w:fldChar w:fldCharType="separate"/>
      </w:r>
      <w:ins w:id="384" w:author="Jonathan Cervas" w:date="2023-06-23T11:31:00Z">
        <w:r w:rsidR="0075230D">
          <w:rPr>
            <w:noProof/>
          </w:rPr>
          <w:t>29</w:t>
        </w:r>
        <w:r w:rsidR="0075230D">
          <w:fldChar w:fldCharType="end"/>
        </w:r>
      </w:ins>
      <w:del w:id="385" w:author="Jonathan Cervas" w:date="2023-06-23T11:31:00Z">
        <w:r w:rsidRPr="00B806FD" w:rsidDel="0075230D">
          <w:delText>note 33</w:delText>
        </w:r>
      </w:del>
      <w:r w:rsidRPr="00B806FD">
        <w:t>.</w:t>
      </w:r>
    </w:p>
  </w:footnote>
  <w:footnote w:id="165">
    <w:p w14:paraId="5ADA087F" w14:textId="460BD121" w:rsidR="00240ED7" w:rsidRPr="00B806FD" w:rsidRDefault="00240ED7" w:rsidP="00B806FD">
      <w:pPr>
        <w:pStyle w:val="FootnoteText"/>
      </w:pPr>
      <w:r w:rsidRPr="00B806FD">
        <w:rPr>
          <w:rStyle w:val="FootnoteReference"/>
        </w:rPr>
        <w:footnoteRef/>
      </w:r>
      <w:r w:rsidRPr="00B806FD">
        <w:t xml:space="preserve"> </w:t>
      </w:r>
      <w:r w:rsidRPr="00B806FD">
        <w:tab/>
        <w:t>For practical reasons, we leave aside intent and focus exclusively on effects.</w:t>
      </w:r>
    </w:p>
  </w:footnote>
  <w:footnote w:id="166">
    <w:p w14:paraId="39D3B7B9" w14:textId="47BA5CF3" w:rsidR="00751018" w:rsidRPr="00B806FD" w:rsidRDefault="00751018" w:rsidP="00B806FD">
      <w:pPr>
        <w:pStyle w:val="FootnoteText"/>
      </w:pPr>
      <w:r w:rsidRPr="00B806FD">
        <w:rPr>
          <w:rStyle w:val="FootnoteReference"/>
        </w:rPr>
        <w:footnoteRef/>
      </w:r>
      <w:r w:rsidRPr="00B806FD">
        <w:t xml:space="preserve"> </w:t>
      </w:r>
      <w:r w:rsidRPr="00B806FD">
        <w:tab/>
        <w:t>We denote “p” if the case is pending as of November 2022, and “u” if the challenge was unsuccessful.</w:t>
      </w:r>
    </w:p>
  </w:footnote>
  <w:footnote w:id="167">
    <w:p w14:paraId="0A3C0E59" w14:textId="538CB4FC" w:rsidR="00751018" w:rsidRPr="00B806FD" w:rsidRDefault="00751018" w:rsidP="00B806FD">
      <w:pPr>
        <w:pStyle w:val="FootnoteText"/>
      </w:pPr>
      <w:r w:rsidRPr="00B806FD">
        <w:rPr>
          <w:rStyle w:val="FootnoteReference"/>
        </w:rPr>
        <w:footnoteRef/>
      </w:r>
      <w:r w:rsidRPr="00B806FD">
        <w:t xml:space="preserve"> </w:t>
      </w:r>
      <w:r w:rsidRPr="00B806FD">
        <w:tab/>
        <w:t>We denote “p” if the case is pending as of November 2022, and “u” if the challenge was unsuccessful.</w:t>
      </w:r>
    </w:p>
  </w:footnote>
  <w:footnote w:id="168">
    <w:p w14:paraId="3CFF3384" w14:textId="5808182A" w:rsidR="00751018" w:rsidRPr="00B806FD" w:rsidRDefault="00751018" w:rsidP="00B806FD">
      <w:pPr>
        <w:jc w:val="both"/>
        <w:rPr>
          <w:b/>
          <w:sz w:val="18"/>
          <w:szCs w:val="18"/>
        </w:rPr>
      </w:pPr>
      <w:r w:rsidRPr="00B806FD">
        <w:rPr>
          <w:rStyle w:val="FootnoteReference"/>
          <w:sz w:val="18"/>
          <w:szCs w:val="18"/>
        </w:rPr>
        <w:footnoteRef/>
      </w:r>
      <w:r w:rsidRPr="00B806FD">
        <w:rPr>
          <w:sz w:val="18"/>
          <w:szCs w:val="18"/>
        </w:rPr>
        <w:t xml:space="preserve"> </w:t>
      </w:r>
      <w:r w:rsidRPr="00B806FD">
        <w:rPr>
          <w:sz w:val="18"/>
          <w:szCs w:val="18"/>
        </w:rPr>
        <w:tab/>
        <w:t>We count only plans as successfully challenged if, upon court intervention, a new plan was put into place.  We indicate with “F” states where a federal court ruled a plan illegal based on racial gerrymander.  South Carolina’s case had a ruling on the merits striking down a district after we finished the manuscript.  The state defended the district on grounds that the intend was motivated by partisanship, but the court found that it had improperly used race in the creation of the district.  Ohio is marked “O”.  Ohio is a special case since the state court overturned plans but was unable to replace the plan with a neutral plan.  States in which the state court acted to replace a map crafted through regular process are marked as “S”.  In Wisconsin, the Court chose a plan, but it was based on the previous decade’s plan, which was widely considered to be a gerrymander itself.  We say more about these states in the paragraphs below.  Maryland’s plan was initially struck down by the state court, and under its supervision, the Legislature passed a replacement.  We still refer to this as a court plan.</w:t>
      </w:r>
    </w:p>
  </w:footnote>
  <w:footnote w:id="169">
    <w:p w14:paraId="5FB3FD5A" w14:textId="33077A9A" w:rsidR="000111B5" w:rsidRPr="00B806FD" w:rsidRDefault="000111B5" w:rsidP="00B806FD">
      <w:pPr>
        <w:pStyle w:val="FootnoteText"/>
      </w:pPr>
      <w:r w:rsidRPr="00B806FD">
        <w:rPr>
          <w:rStyle w:val="FootnoteReference"/>
        </w:rPr>
        <w:footnoteRef/>
      </w:r>
      <w:r w:rsidRPr="00B806FD">
        <w:t xml:space="preserve"> </w:t>
      </w:r>
      <w:ins w:id="411" w:author="Jonathan Cervas" w:date="2023-06-29T16:53:00Z">
        <w:r w:rsidR="008C1524">
          <w:tab/>
        </w:r>
      </w:ins>
      <w:r w:rsidRPr="00B806FD">
        <w:rPr>
          <w:i/>
          <w:iCs/>
        </w:rPr>
        <w:t>See</w:t>
      </w:r>
      <w:r w:rsidRPr="00B806FD">
        <w:t xml:space="preserve"> </w:t>
      </w:r>
      <w:r w:rsidRPr="00B806FD">
        <w:rPr>
          <w:i/>
          <w:iCs/>
        </w:rPr>
        <w:t>Connecticut Supreme Court Adopts Expert’s Redistricting Plan</w:t>
      </w:r>
      <w:r w:rsidRPr="00B806FD">
        <w:t xml:space="preserve">, </w:t>
      </w:r>
      <w:r w:rsidRPr="00B806FD">
        <w:rPr>
          <w:smallCaps/>
        </w:rPr>
        <w:t>AP News</w:t>
      </w:r>
      <w:r w:rsidRPr="00B806FD">
        <w:t xml:space="preserve"> (Feb. 11, 2022), https://apnews.com/article/congress-connecticut-supreme-court-connecticut-redistricting-523c396a1151a8da9262107b3de9f617 [https://perma.cc/9V89-MC4U]; Tom Nehil &amp; Ashley Hackett, </w:t>
      </w:r>
      <w:r w:rsidRPr="00B806FD">
        <w:rPr>
          <w:i/>
          <w:iCs/>
        </w:rPr>
        <w:t>How each of Minnesota’s Congressional Districts Changed with Redistricting</w:t>
      </w:r>
      <w:r w:rsidRPr="00B806FD">
        <w:t xml:space="preserve">, </w:t>
      </w:r>
      <w:r w:rsidRPr="00B806FD">
        <w:rPr>
          <w:smallCaps/>
        </w:rPr>
        <w:t>Minn. Post</w:t>
      </w:r>
      <w:r w:rsidRPr="00B806FD">
        <w:t xml:space="preserve"> (Feb. 16, 2022), https://www.minnpost.com/elections/2022/02/how-each-of-minnesotas-congressional-districts-changed-with-redistricting/ [https://perma.cc/E76N-9E5Y]; Ellen Morrissey, </w:t>
      </w:r>
      <w:r w:rsidRPr="00B806FD">
        <w:rPr>
          <w:i/>
          <w:iCs/>
        </w:rPr>
        <w:t>New Hampshire Becomes Final State to Enact Congressional Map</w:t>
      </w:r>
      <w:r w:rsidRPr="00B806FD">
        <w:t>,</w:t>
      </w:r>
      <w:r w:rsidRPr="00B806FD">
        <w:rPr>
          <w:i/>
          <w:iCs/>
        </w:rPr>
        <w:t xml:space="preserve"> </w:t>
      </w:r>
      <w:r w:rsidRPr="00B806FD">
        <w:rPr>
          <w:smallCaps/>
        </w:rPr>
        <w:t>Ballotpedia News</w:t>
      </w:r>
      <w:r w:rsidRPr="00B806FD">
        <w:t xml:space="preserve">, https://news.ballotpedia.org/2022/06/01/new-hampshire-becomes-final-state-to-enact-congressional-map/ [https://perma.cc/E5KS-KLKD]; Kate Huangpu, </w:t>
      </w:r>
      <w:r w:rsidRPr="00B806FD">
        <w:rPr>
          <w:i/>
          <w:iCs/>
        </w:rPr>
        <w:t>Congressional Map Picked by Pennsylvania Supreme Court Unlikely to Dramatically Alter Partisan Balance</w:t>
      </w:r>
      <w:r w:rsidRPr="00B806FD">
        <w:t xml:space="preserve">, </w:t>
      </w:r>
      <w:r w:rsidRPr="00B806FD">
        <w:rPr>
          <w:smallCaps/>
        </w:rPr>
        <w:t>Spotlight PA</w:t>
      </w:r>
      <w:r w:rsidRPr="00B806FD">
        <w:t xml:space="preserve"> (Feb. 23, 2022), https://www.spotlightpa.org/news/2022/02/pennsylvania-redistricting-congressional-map-supreme-court-pick/ [https://perma.cc/8GZ8-EE3W]; Laura Vozzella, </w:t>
      </w:r>
      <w:r w:rsidRPr="00B806FD">
        <w:rPr>
          <w:i/>
          <w:iCs/>
        </w:rPr>
        <w:t>Virginia Supreme Court Approves Redrawn Congressional, General Assembly Maps</w:t>
      </w:r>
      <w:r w:rsidRPr="00B806FD">
        <w:t xml:space="preserve">, </w:t>
      </w:r>
      <w:r w:rsidRPr="00B806FD">
        <w:rPr>
          <w:smallCaps/>
        </w:rPr>
        <w:t>Wash. Post</w:t>
      </w:r>
      <w:r w:rsidRPr="00B806FD">
        <w:t xml:space="preserve"> (Dec. 28, 2021), https://www.washingtonpost.com/dc-md-va/2021/12/28/virginia-redistricting-final-maps-supreme-court/ [https://perma.cc/3CXB-B6K7].</w:t>
      </w:r>
    </w:p>
  </w:footnote>
  <w:footnote w:id="170">
    <w:p w14:paraId="170B598A" w14:textId="14BD46DA" w:rsidR="000111B5" w:rsidRPr="00B806FD" w:rsidRDefault="000111B5" w:rsidP="00B806FD">
      <w:pPr>
        <w:pStyle w:val="FootnoteText"/>
      </w:pPr>
      <w:r w:rsidRPr="00B806FD">
        <w:rPr>
          <w:rStyle w:val="FootnoteReference"/>
        </w:rPr>
        <w:footnoteRef/>
      </w:r>
      <w:r w:rsidRPr="00B806FD">
        <w:t xml:space="preserve"> </w:t>
      </w:r>
      <w:r w:rsidRPr="00B806FD">
        <w:tab/>
      </w:r>
      <w:r w:rsidRPr="00B806FD">
        <w:rPr>
          <w:i/>
          <w:iCs/>
        </w:rPr>
        <w:t xml:space="preserve">See </w:t>
      </w:r>
      <w:ins w:id="412" w:author="Jonathan Cervas" w:date="2023-06-23T11:39:00Z">
        <w:r w:rsidR="00601F18" w:rsidRPr="00601F18">
          <w:t>Johnson v. Wisconsin Elections Comm'n, 2021 WI 87, ¶ 4, 399 Wis. 2d 623, 632 ("In 2021, those maps no longer comply with the constitutional requirement of an equal number of citizens in each legislative district, due to shifts in population across the state. This court will remedy that malapportionment, while ensuring the maps satisfy all other constitutional and statutory requirements.")</w:t>
        </w:r>
      </w:ins>
      <w:del w:id="413" w:author="Jonathan Cervas" w:date="2023-06-23T11:39:00Z">
        <w:r w:rsidRPr="00B806FD" w:rsidDel="00601F18">
          <w:delText xml:space="preserve">Johnson v. Wisconsin Elections Commission, </w:delText>
        </w:r>
        <w:r w:rsidRPr="00B806FD" w:rsidDel="00601F18">
          <w:rPr>
            <w:noProof/>
          </w:rPr>
          <w:delText>972 N.W.</w:delText>
        </w:r>
        <w:r w:rsidRPr="00B806FD" w:rsidDel="00601F18">
          <w:delText xml:space="preserve">2d </w:delText>
        </w:r>
        <w:r w:rsidRPr="00B806FD" w:rsidDel="00601F18">
          <w:rPr>
            <w:noProof/>
          </w:rPr>
          <w:delText xml:space="preserve">559 (Wis. </w:delText>
        </w:r>
        <w:r w:rsidRPr="00B806FD" w:rsidDel="00601F18">
          <w:delText>2022).</w:delText>
        </w:r>
      </w:del>
    </w:p>
  </w:footnote>
  <w:footnote w:id="171">
    <w:p w14:paraId="2976AF91" w14:textId="72F15F5B" w:rsidR="000111B5" w:rsidRPr="00B806FD" w:rsidRDefault="000111B5" w:rsidP="00B806FD">
      <w:pPr>
        <w:pStyle w:val="FootnoteText"/>
      </w:pPr>
      <w:r w:rsidRPr="00B806FD">
        <w:rPr>
          <w:rStyle w:val="FootnoteReference"/>
        </w:rPr>
        <w:footnoteRef/>
      </w:r>
      <w:r w:rsidRPr="00B806FD">
        <w:t xml:space="preserve"> </w:t>
      </w:r>
      <w:r w:rsidRPr="00B806FD">
        <w:tab/>
        <w:t xml:space="preserve">WIZM Staff, </w:t>
      </w:r>
      <w:r w:rsidRPr="00B806FD">
        <w:rPr>
          <w:i/>
          <w:iCs/>
        </w:rPr>
        <w:t>Evers’ Statement on Wisconsin Supreme Court Decision to Accept Governor’s Redistricting Maps</w:t>
      </w:r>
      <w:r w:rsidRPr="00B806FD">
        <w:t xml:space="preserve">, </w:t>
      </w:r>
      <w:r w:rsidRPr="00B806FD">
        <w:rPr>
          <w:smallCaps/>
        </w:rPr>
        <w:t>WIZM 92.3FM 1410AM</w:t>
      </w:r>
      <w:r w:rsidRPr="00B806FD">
        <w:t xml:space="preserve"> (Mar. 3, 2022), https://www.wizmnews.com/2022/03/03/evers-statement-on-wisconsin-supreme-court-decision-to-accept-governors-redistricting-maps/ [https://perma.cc/D8AJ-98J8].</w:t>
      </w:r>
    </w:p>
  </w:footnote>
  <w:footnote w:id="172">
    <w:p w14:paraId="493A1C80" w14:textId="5E98563B" w:rsidR="000111B5" w:rsidRPr="00B806FD" w:rsidRDefault="000111B5" w:rsidP="00B806FD">
      <w:pPr>
        <w:pStyle w:val="FootnoteText"/>
      </w:pPr>
      <w:r w:rsidRPr="00B806FD">
        <w:rPr>
          <w:rStyle w:val="FootnoteReference"/>
        </w:rPr>
        <w:footnoteRef/>
      </w:r>
      <w:r w:rsidRPr="00B806FD">
        <w:t xml:space="preserve"> </w:t>
      </w:r>
      <w:r w:rsidRPr="00B806FD">
        <w:tab/>
      </w:r>
      <w:r w:rsidRPr="003F3622">
        <w:rPr>
          <w:i/>
          <w:iCs/>
          <w:rPrChange w:id="416" w:author="Jonathan Cervas" w:date="2023-06-23T12:05:00Z">
            <w:rPr/>
          </w:rPrChange>
        </w:rPr>
        <w:t>Johnson</w:t>
      </w:r>
      <w:r w:rsidRPr="00B806FD">
        <w:t xml:space="preserve">, </w:t>
      </w:r>
      <w:ins w:id="417" w:author="Jonathan Cervas" w:date="2023-06-23T12:06:00Z">
        <w:r w:rsidR="003F3622" w:rsidRPr="00601F18">
          <w:t xml:space="preserve">399 Wis. 2d </w:t>
        </w:r>
      </w:ins>
      <w:del w:id="418" w:author="Jonathan Cervas" w:date="2023-06-23T12:05:00Z">
        <w:r w:rsidRPr="00B806FD" w:rsidDel="003F3622">
          <w:delText>972 N.W.2d at [#].</w:delText>
        </w:r>
      </w:del>
      <w:ins w:id="419" w:author="Jonathan Cervas" w:date="2023-06-23T12:05:00Z">
        <w:r w:rsidR="003F3622">
          <w:t>at 634. (“[T]</w:t>
        </w:r>
        <w:r w:rsidR="003F3622" w:rsidRPr="003F3622">
          <w:t>his court will confine any judicial remedy to making the minimum changes necessary in order to conform the existing congressional and state legislative redistricting plans to constitutional and statutory requirements</w:t>
        </w:r>
        <w:r w:rsidR="003F3622">
          <w:t>.”)</w:t>
        </w:r>
      </w:ins>
    </w:p>
  </w:footnote>
  <w:footnote w:id="173">
    <w:p w14:paraId="556437A3" w14:textId="11A5BFFE" w:rsidR="000111B5" w:rsidRPr="00B806FD" w:rsidRDefault="000111B5" w:rsidP="00B806FD">
      <w:pPr>
        <w:pStyle w:val="FootnoteText"/>
      </w:pPr>
      <w:r w:rsidRPr="00B806FD">
        <w:rPr>
          <w:rStyle w:val="FootnoteReference"/>
        </w:rPr>
        <w:footnoteRef/>
      </w:r>
      <w:r w:rsidRPr="00B806FD">
        <w:t xml:space="preserve"> </w:t>
      </w:r>
      <w:r w:rsidRPr="00B806FD">
        <w:tab/>
        <w:t xml:space="preserve">Joseph A. Ranney, </w:t>
      </w:r>
      <w:r w:rsidRPr="00B806FD">
        <w:rPr>
          <w:i/>
          <w:iCs/>
        </w:rPr>
        <w:t>Wisconsin Lawyer: Battle Maps: A History of Wisconsin Redistricting Law</w:t>
      </w:r>
      <w:r w:rsidRPr="00B806FD">
        <w:t xml:space="preserve">, </w:t>
      </w:r>
      <w:r w:rsidRPr="00B806FD">
        <w:rPr>
          <w:smallCaps/>
        </w:rPr>
        <w:t>Wisconsin L.</w:t>
      </w:r>
      <w:r w:rsidRPr="00B806FD">
        <w:t>, 32 (May 14, 2021), https://www.wisbar.org/NewsPublications/WisconsinLawyer/Pages/Article.aspx?Volume=94&amp;Issue=5&amp;ArticleID=28393 [https://perma.cc/C7SA-HFLU] (stating “[</w:t>
      </w:r>
      <w:proofErr w:type="spellStart"/>
      <w:r w:rsidRPr="00B806FD">
        <w:t>i</w:t>
      </w:r>
      <w:proofErr w:type="spellEnd"/>
      <w:r w:rsidRPr="00B806FD">
        <w:t>]n 2012, Republican candidates won 49 percent of the total vote for Assembly but 60 percent of Assembly seats, and later elections produced similar gaps.”).</w:t>
      </w:r>
    </w:p>
  </w:footnote>
  <w:footnote w:id="174">
    <w:p w14:paraId="547E2535" w14:textId="41D9D6E9" w:rsidR="00E70D0A" w:rsidRPr="00B806FD" w:rsidRDefault="00E70D0A" w:rsidP="00B806FD">
      <w:pPr>
        <w:pStyle w:val="FootnoteText"/>
      </w:pPr>
      <w:r w:rsidRPr="00B806FD">
        <w:rPr>
          <w:rStyle w:val="FootnoteReference"/>
        </w:rPr>
        <w:footnoteRef/>
      </w:r>
      <w:r w:rsidRPr="00B806FD">
        <w:t xml:space="preserve"> </w:t>
      </w:r>
      <w:r w:rsidR="00555B54" w:rsidRPr="00B806FD">
        <w:tab/>
      </w:r>
      <w:proofErr w:type="spellStart"/>
      <w:ins w:id="433" w:author="Jonathan Cervas" w:date="2023-06-23T12:27:00Z">
        <w:r w:rsidR="009E1B26" w:rsidRPr="009E1B26">
          <w:rPr>
            <w:i/>
            <w:iCs/>
          </w:rPr>
          <w:t>Benisek</w:t>
        </w:r>
        <w:proofErr w:type="spellEnd"/>
        <w:r w:rsidR="009E1B26" w:rsidRPr="009E1B26">
          <w:rPr>
            <w:i/>
            <w:iCs/>
          </w:rPr>
          <w:t xml:space="preserve"> v. </w:t>
        </w:r>
        <w:proofErr w:type="spellStart"/>
        <w:r w:rsidR="009E1B26" w:rsidRPr="009E1B26">
          <w:rPr>
            <w:i/>
            <w:iCs/>
          </w:rPr>
          <w:t>Lamone</w:t>
        </w:r>
        <w:proofErr w:type="spellEnd"/>
        <w:r w:rsidR="009E1B26" w:rsidRPr="009E1B26">
          <w:rPr>
            <w:rPrChange w:id="434" w:author="Jonathan Cervas" w:date="2023-06-23T12:28:00Z">
              <w:rPr>
                <w:i/>
                <w:iCs/>
              </w:rPr>
            </w:rPrChange>
          </w:rPr>
          <w:t>, 266 F. Supp. 3d 799, 801 (D. Md. 2017</w:t>
        </w:r>
      </w:ins>
      <w:ins w:id="435" w:author="Jonathan Cervas" w:date="2023-06-23T12:28:00Z">
        <w:r w:rsidR="009E1B26">
          <w:t>)</w:t>
        </w:r>
      </w:ins>
      <w:ins w:id="436" w:author="Jonathan Cervas" w:date="2023-06-23T12:27:00Z">
        <w:r w:rsidR="009E1B26" w:rsidRPr="009E1B26">
          <w:rPr>
            <w:rPrChange w:id="437" w:author="Jonathan Cervas" w:date="2023-06-23T12:28:00Z">
              <w:rPr>
                <w:i/>
                <w:iCs/>
              </w:rPr>
            </w:rPrChange>
          </w:rPr>
          <w:t>. ("Plaintiffs have not demonstrated that they are entitled to the extraordinary (and, in this case, extraordinarily consequential) remedy of preliminary injunctive relief.")</w:t>
        </w:r>
      </w:ins>
      <w:ins w:id="438" w:author="Jonathan Cervas" w:date="2023-06-23T12:28:00Z">
        <w:r w:rsidR="009E1B26" w:rsidRPr="00A23E47">
          <w:t>, aff'd, 201 L. Ed. 2d 398, 138 S. Ct. 1942 (2018)</w:t>
        </w:r>
      </w:ins>
      <w:ins w:id="439" w:author="Jonathan Cervas" w:date="2023-06-23T12:27:00Z">
        <w:r w:rsidR="009E1B26" w:rsidRPr="009E1B26">
          <w:rPr>
            <w:i/>
            <w:iCs/>
          </w:rPr>
          <w:t xml:space="preserve"> </w:t>
        </w:r>
      </w:ins>
      <w:ins w:id="440" w:author="Jonathan Cervas" w:date="2023-06-23T12:25:00Z">
        <w:r w:rsidR="009E1B26" w:rsidRPr="009E1B26">
          <w:rPr>
            <w:rPrChange w:id="441" w:author="Jonathan Cervas" w:date="2023-06-23T12:25:00Z">
              <w:rPr>
                <w:i/>
                <w:iCs/>
              </w:rPr>
            </w:rPrChange>
          </w:rPr>
          <w:t>(“The Supreme Court noted its jurisdiction and held that the balance of equities and the public interest tilted against the request for a preliminary injunction.”)</w:t>
        </w:r>
      </w:ins>
      <w:del w:id="442" w:author="Jonathan Cervas" w:date="2023-06-23T12:25:00Z">
        <w:r w:rsidRPr="00B806FD" w:rsidDel="009E1B26">
          <w:rPr>
            <w:i/>
            <w:iCs/>
          </w:rPr>
          <w:delText>See</w:delText>
        </w:r>
        <w:r w:rsidRPr="00B806FD" w:rsidDel="009E1B26">
          <w:delText xml:space="preserve"> </w:delText>
        </w:r>
        <w:r w:rsidRPr="00B806FD" w:rsidDel="009E1B26">
          <w:rPr>
            <w:noProof/>
          </w:rPr>
          <w:delText>Lamone v. Benisek, 585 U.S. ___ (2018).</w:delText>
        </w:r>
      </w:del>
    </w:p>
  </w:footnote>
  <w:footnote w:id="175">
    <w:p w14:paraId="06664A1C" w14:textId="3D87D98F"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 xml:space="preserve">Cf. </w:t>
      </w:r>
      <w:proofErr w:type="spellStart"/>
      <w:r w:rsidRPr="008C1524">
        <w:rPr>
          <w:i/>
          <w:iCs/>
          <w:rPrChange w:id="443" w:author="Jonathan Cervas" w:date="2023-06-29T16:54:00Z">
            <w:rPr/>
          </w:rPrChange>
        </w:rPr>
        <w:t>Rucho</w:t>
      </w:r>
      <w:proofErr w:type="spellEnd"/>
      <w:r w:rsidRPr="00B806FD">
        <w:t xml:space="preserve">, 139 </w:t>
      </w:r>
      <w:proofErr w:type="spellStart"/>
      <w:r w:rsidRPr="00B806FD">
        <w:t>S.Ct</w:t>
      </w:r>
      <w:proofErr w:type="spellEnd"/>
      <w:r w:rsidRPr="00B806FD">
        <w:t>. at 2507.</w:t>
      </w:r>
    </w:p>
  </w:footnote>
  <w:footnote w:id="176">
    <w:p w14:paraId="1D35BE36" w14:textId="07F818F2" w:rsidR="00E70D0A" w:rsidRPr="00B806FD" w:rsidRDefault="00E70D0A" w:rsidP="00B806FD">
      <w:pPr>
        <w:pStyle w:val="FootnoteText"/>
      </w:pPr>
      <w:r w:rsidRPr="00B806FD">
        <w:rPr>
          <w:rStyle w:val="FootnoteReference"/>
        </w:rPr>
        <w:footnoteRef/>
      </w:r>
      <w:r w:rsidRPr="00B806FD">
        <w:t xml:space="preserve"> </w:t>
      </w:r>
      <w:r w:rsidRPr="00B806FD">
        <w:rPr>
          <w:i/>
          <w:iCs/>
        </w:rPr>
        <w:t xml:space="preserve">See </w:t>
      </w:r>
      <w:del w:id="445" w:author="Jonathan Cervas" w:date="2023-06-23T14:07:00Z">
        <w:r w:rsidRPr="00B806FD" w:rsidDel="00E61828">
          <w:rPr>
            <w:i/>
            <w:iCs/>
          </w:rPr>
          <w:delText>i</w:delText>
        </w:r>
      </w:del>
      <w:ins w:id="446" w:author="Jonathan Cervas" w:date="2023-06-23T14:07:00Z">
        <w:r w:rsidR="00E61828">
          <w:rPr>
            <w:i/>
            <w:iCs/>
          </w:rPr>
          <w:t>I</w:t>
        </w:r>
      </w:ins>
      <w:r w:rsidRPr="00B806FD">
        <w:rPr>
          <w:i/>
          <w:iCs/>
        </w:rPr>
        <w:t>d.</w:t>
      </w:r>
      <w:r w:rsidRPr="00B806FD">
        <w:t xml:space="preserve"> at 2493; </w:t>
      </w:r>
      <w:r w:rsidRPr="00B806FD">
        <w:rPr>
          <w:i/>
          <w:iCs/>
        </w:rPr>
        <w:t>2020 Maryland Legislative Session</w:t>
      </w:r>
      <w:r w:rsidRPr="00B806FD">
        <w:t xml:space="preserve">, </w:t>
      </w:r>
      <w:r w:rsidRPr="00B806FD">
        <w:rPr>
          <w:smallCaps/>
        </w:rPr>
        <w:t>Ballotpedia</w:t>
      </w:r>
      <w:r w:rsidRPr="00B806FD">
        <w:t>, https://ballotpedia.org/2020_Maryland_legislative_session [</w:t>
      </w:r>
      <w:proofErr w:type="gramStart"/>
      <w:r w:rsidRPr="00B806FD">
        <w:t>https://perma.cc/Q68A-PTXC[</w:t>
      </w:r>
      <w:proofErr w:type="gramEnd"/>
      <w:r w:rsidRPr="00B806FD">
        <w:t xml:space="preserve"> (last visited Dec. 23, 2022).</w:t>
      </w:r>
    </w:p>
  </w:footnote>
  <w:footnote w:id="177">
    <w:p w14:paraId="31CECD46" w14:textId="026FF631"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 xml:space="preserve">See </w:t>
      </w:r>
      <w:r w:rsidRPr="008C1524">
        <w:rPr>
          <w:rPrChange w:id="447" w:author="Jonathan Cervas" w:date="2023-06-29T16:54:00Z">
            <w:rPr>
              <w:i/>
              <w:iCs/>
            </w:rPr>
          </w:rPrChange>
        </w:rPr>
        <w:t>2020 Maryland Legislative Session</w:t>
      </w:r>
      <w:r w:rsidRPr="00B806FD">
        <w:t xml:space="preserve">, </w:t>
      </w:r>
      <w:r w:rsidRPr="00B806FD">
        <w:rPr>
          <w:i/>
          <w:iCs/>
        </w:rPr>
        <w:t>supra</w:t>
      </w:r>
      <w:r w:rsidRPr="00B806FD">
        <w:t xml:space="preserve"> note </w:t>
      </w:r>
      <w:ins w:id="448" w:author="Jonathan Cervas" w:date="2023-06-23T12:29:00Z">
        <w:r w:rsidR="009E1B26">
          <w:fldChar w:fldCharType="begin"/>
        </w:r>
        <w:r w:rsidR="009E1B26">
          <w:instrText xml:space="preserve"> NOTEREF _Ref138415801 \h </w:instrText>
        </w:r>
      </w:ins>
      <w:r w:rsidR="009E1B26">
        <w:fldChar w:fldCharType="separate"/>
      </w:r>
      <w:ins w:id="449" w:author="Jonathan Cervas" w:date="2023-06-23T12:29:00Z">
        <w:r w:rsidR="009E1B26">
          <w:t>176</w:t>
        </w:r>
        <w:r w:rsidR="009E1B26">
          <w:fldChar w:fldCharType="end"/>
        </w:r>
      </w:ins>
      <w:del w:id="450" w:author="Jonathan Cervas" w:date="2023-06-23T12:29:00Z">
        <w:r w:rsidRPr="00B806FD" w:rsidDel="009E1B26">
          <w:delText>174</w:delText>
        </w:r>
      </w:del>
      <w:r w:rsidRPr="00B806FD">
        <w:t>.</w:t>
      </w:r>
    </w:p>
  </w:footnote>
  <w:footnote w:id="178">
    <w:p w14:paraId="65A5BDFC" w14:textId="57B95C28" w:rsidR="00E70D0A" w:rsidRPr="00B806FD" w:rsidRDefault="00E70D0A" w:rsidP="00B806FD">
      <w:pPr>
        <w:pStyle w:val="FootnoteText"/>
        <w:rPr>
          <w:i/>
          <w:iCs/>
        </w:rPr>
      </w:pPr>
      <w:r w:rsidRPr="00B806FD">
        <w:rPr>
          <w:rStyle w:val="FootnoteReference"/>
        </w:rPr>
        <w:footnoteRef/>
      </w:r>
      <w:r w:rsidRPr="00B806FD">
        <w:t xml:space="preserve"> </w:t>
      </w:r>
      <w:r w:rsidR="00555B54" w:rsidRPr="00B806FD">
        <w:tab/>
      </w:r>
      <w:r w:rsidRPr="00B806FD">
        <w:rPr>
          <w:i/>
          <w:iCs/>
        </w:rPr>
        <w:t>I</w:t>
      </w:r>
      <w:ins w:id="451" w:author="Jonathan Cervas" w:date="2023-06-23T12:30:00Z">
        <w:r w:rsidR="009E1B26">
          <w:rPr>
            <w:i/>
            <w:iCs/>
          </w:rPr>
          <w:t>bi</w:t>
        </w:r>
      </w:ins>
      <w:r w:rsidRPr="00B806FD">
        <w:rPr>
          <w:i/>
          <w:iCs/>
        </w:rPr>
        <w:t>d.</w:t>
      </w:r>
    </w:p>
  </w:footnote>
  <w:footnote w:id="179">
    <w:p w14:paraId="2276584C" w14:textId="205395E9"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 xml:space="preserve">See </w:t>
      </w:r>
      <w:ins w:id="452" w:author="Jonathan Cervas" w:date="2023-06-23T12:32:00Z">
        <w:r w:rsidR="009E1B26" w:rsidRPr="009E1B26">
          <w:rPr>
            <w:i/>
            <w:iCs/>
            <w:noProof/>
          </w:rPr>
          <w:t>Szeliga v Lamone,</w:t>
        </w:r>
        <w:r w:rsidR="009E1B26" w:rsidRPr="009E1B26">
          <w:rPr>
            <w:noProof/>
          </w:rPr>
          <w:t> Cir Ct, Anne Arundel County, Md, Mar. 25, 2022, case No. C-02-CV-21-0011773</w:t>
        </w:r>
      </w:ins>
      <w:ins w:id="453" w:author="Jonathan Cervas" w:date="2023-06-23T12:37:00Z">
        <w:r w:rsidR="004212CE">
          <w:rPr>
            <w:noProof/>
          </w:rPr>
          <w:t xml:space="preserve"> (</w:t>
        </w:r>
      </w:ins>
      <w:ins w:id="454" w:author="Jonathan Cervas" w:date="2023-06-23T12:38:00Z">
        <w:r w:rsidR="004212CE">
          <w:rPr>
            <w:noProof/>
          </w:rPr>
          <w:t xml:space="preserve">Order Granting Relief) at </w:t>
        </w:r>
      </w:ins>
      <w:ins w:id="455" w:author="Jonathan Cervas" w:date="2023-06-29T16:54:00Z">
        <w:r w:rsidR="008C1524">
          <w:rPr>
            <w:noProof/>
          </w:rPr>
          <w:t>*</w:t>
        </w:r>
      </w:ins>
      <w:ins w:id="456" w:author="Jonathan Cervas" w:date="2023-06-23T12:40:00Z">
        <w:r w:rsidR="004212CE">
          <w:rPr>
            <w:noProof/>
          </w:rPr>
          <w:t>56.</w:t>
        </w:r>
      </w:ins>
      <w:del w:id="457" w:author="Jonathan Cervas" w:date="2023-06-23T12:32:00Z">
        <w:r w:rsidRPr="00B806FD" w:rsidDel="009E1B26">
          <w:rPr>
            <w:noProof/>
          </w:rPr>
          <w:delText>Szeliga v. Lamone, Nos. C-02-CV-21-001816, C-02-CV-21-001773 (Md. Cir. Ct. 2022).</w:delText>
        </w:r>
      </w:del>
    </w:p>
  </w:footnote>
  <w:footnote w:id="180">
    <w:p w14:paraId="312616BB" w14:textId="72109DBF" w:rsidR="00E70D0A" w:rsidRPr="00B806FD" w:rsidRDefault="00E70D0A" w:rsidP="00B806FD">
      <w:pPr>
        <w:pStyle w:val="FootnoteText"/>
        <w:rPr>
          <w:iCs/>
        </w:rPr>
      </w:pPr>
      <w:r w:rsidRPr="00B806FD">
        <w:rPr>
          <w:rStyle w:val="FootnoteReference"/>
        </w:rPr>
        <w:footnoteRef/>
      </w:r>
      <w:r w:rsidRPr="00B806FD">
        <w:t xml:space="preserve"> </w:t>
      </w:r>
      <w:r w:rsidR="00555B54" w:rsidRPr="00B806FD">
        <w:tab/>
      </w:r>
      <w:r w:rsidRPr="00B806FD">
        <w:t xml:space="preserve">See </w:t>
      </w:r>
      <w:ins w:id="458" w:author="Jonathan Cervas" w:date="2023-06-23T12:40:00Z">
        <w:r w:rsidR="004212CE">
          <w:rPr>
            <w:i/>
            <w:iCs/>
          </w:rPr>
          <w:t>I</w:t>
        </w:r>
      </w:ins>
      <w:del w:id="459" w:author="Jonathan Cervas" w:date="2023-06-23T12:40:00Z">
        <w:r w:rsidRPr="00B806FD" w:rsidDel="004212CE">
          <w:rPr>
            <w:i/>
            <w:iCs/>
          </w:rPr>
          <w:delText>i</w:delText>
        </w:r>
      </w:del>
      <w:r w:rsidRPr="00B806FD">
        <w:rPr>
          <w:i/>
          <w:iCs/>
        </w:rPr>
        <w:t>d</w:t>
      </w:r>
      <w:ins w:id="460" w:author="Jonathan Cervas" w:date="2023-06-23T12:43:00Z">
        <w:r w:rsidR="004212CE">
          <w:rPr>
            <w:i/>
            <w:iCs/>
          </w:rPr>
          <w:t xml:space="preserve">. </w:t>
        </w:r>
        <w:r w:rsidR="004212CE" w:rsidRPr="004212CE">
          <w:rPr>
            <w:rPrChange w:id="461" w:author="Jonathan Cervas" w:date="2023-06-23T12:43:00Z">
              <w:rPr>
                <w:i/>
                <w:iCs/>
              </w:rPr>
            </w:rPrChange>
          </w:rPr>
          <w:t xml:space="preserve">at </w:t>
        </w:r>
      </w:ins>
      <w:ins w:id="462" w:author="Jonathan Cervas" w:date="2023-06-23T14:10:00Z">
        <w:r w:rsidR="00E61828">
          <w:t>*</w:t>
        </w:r>
      </w:ins>
      <w:ins w:id="463" w:author="Jonathan Cervas" w:date="2023-06-23T12:43:00Z">
        <w:r w:rsidR="004212CE" w:rsidRPr="004212CE">
          <w:rPr>
            <w:rPrChange w:id="464" w:author="Jonathan Cervas" w:date="2023-06-23T12:43:00Z">
              <w:rPr>
                <w:i/>
                <w:iCs/>
              </w:rPr>
            </w:rPrChange>
          </w:rPr>
          <w:t>2</w:t>
        </w:r>
      </w:ins>
      <w:r w:rsidRPr="00B806FD">
        <w:rPr>
          <w:i/>
          <w:iCs/>
        </w:rPr>
        <w:t>.</w:t>
      </w:r>
    </w:p>
  </w:footnote>
  <w:footnote w:id="181">
    <w:p w14:paraId="1D42C37A" w14:textId="197798D1"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Id.</w:t>
      </w:r>
      <w:r w:rsidRPr="00B806FD">
        <w:t xml:space="preserve"> at *4-7.</w:t>
      </w:r>
    </w:p>
  </w:footnote>
  <w:footnote w:id="182">
    <w:p w14:paraId="2551D3FF" w14:textId="03E4018A" w:rsidR="00E70D0A" w:rsidRPr="00E61828" w:rsidRDefault="00E70D0A" w:rsidP="00B806FD">
      <w:pPr>
        <w:pStyle w:val="FootnoteText"/>
        <w:rPr>
          <w:rPrChange w:id="467" w:author="Jonathan Cervas" w:date="2023-06-23T14:11:00Z">
            <w:rPr>
              <w:i/>
              <w:iCs/>
            </w:rPr>
          </w:rPrChange>
        </w:rPr>
      </w:pPr>
      <w:r w:rsidRPr="00B806FD">
        <w:rPr>
          <w:rStyle w:val="FootnoteReference"/>
        </w:rPr>
        <w:footnoteRef/>
      </w:r>
      <w:r w:rsidRPr="00B806FD">
        <w:t xml:space="preserve"> </w:t>
      </w:r>
      <w:r w:rsidR="00555B54" w:rsidRPr="00B806FD">
        <w:tab/>
      </w:r>
      <w:r w:rsidRPr="00B806FD">
        <w:rPr>
          <w:i/>
          <w:iCs/>
        </w:rPr>
        <w:t>Id.</w:t>
      </w:r>
      <w:r w:rsidRPr="00B806FD">
        <w:t xml:space="preserve"> at *</w:t>
      </w:r>
      <w:ins w:id="468" w:author="Jonathan Cervas" w:date="2023-06-23T14:15:00Z">
        <w:r w:rsidR="00E61828">
          <w:t>88. (“[C]</w:t>
        </w:r>
        <w:proofErr w:type="spellStart"/>
        <w:r w:rsidR="00E61828" w:rsidRPr="00E61828">
          <w:t>onsideration</w:t>
        </w:r>
        <w:proofErr w:type="spellEnd"/>
        <w:r w:rsidR="00E61828" w:rsidRPr="00E61828">
          <w:t xml:space="preserve"> of the weight afforded to the evidence presented by the experts yields the conclusion that the 2021 Congressional Plan in Maryland is an "outlier," an extreme gerrymander that subordinates constitutional criteria to political considerations</w:t>
        </w:r>
        <w:r w:rsidR="00E61828">
          <w:t>.”)</w:t>
        </w:r>
      </w:ins>
      <w:del w:id="469" w:author="Jonathan Cervas" w:date="2023-06-23T14:11:00Z">
        <w:r w:rsidRPr="00B806FD" w:rsidDel="00E61828">
          <w:delText>121</w:delText>
        </w:r>
      </w:del>
      <w:del w:id="470" w:author="Jonathan Cervas" w:date="2023-06-23T14:15:00Z">
        <w:r w:rsidRPr="00B806FD" w:rsidDel="00E61828">
          <w:delText>.</w:delText>
        </w:r>
      </w:del>
    </w:p>
  </w:footnote>
  <w:footnote w:id="183">
    <w:p w14:paraId="4F3EABB6" w14:textId="2AA64F5E" w:rsidR="00E70D0A" w:rsidRPr="00E61828" w:rsidRDefault="00E70D0A" w:rsidP="00B806FD">
      <w:pPr>
        <w:pStyle w:val="FootnoteText"/>
        <w:rPr>
          <w:rPrChange w:id="471" w:author="Jonathan Cervas" w:date="2023-06-23T14:14:00Z">
            <w:rPr>
              <w:i/>
              <w:iCs/>
            </w:rPr>
          </w:rPrChange>
        </w:rPr>
      </w:pPr>
      <w:r w:rsidRPr="00B806FD">
        <w:rPr>
          <w:rStyle w:val="FootnoteReference"/>
        </w:rPr>
        <w:footnoteRef/>
      </w:r>
      <w:r w:rsidRPr="00B806FD">
        <w:t xml:space="preserve"> </w:t>
      </w:r>
      <w:r w:rsidR="00555B54" w:rsidRPr="00B806FD">
        <w:tab/>
      </w:r>
      <w:r w:rsidRPr="00B806FD">
        <w:rPr>
          <w:i/>
          <w:iCs/>
        </w:rPr>
        <w:t>I</w:t>
      </w:r>
      <w:ins w:id="472" w:author="Jonathan Cervas" w:date="2023-06-23T14:15:00Z">
        <w:r w:rsidR="00E61828">
          <w:rPr>
            <w:i/>
            <w:iCs/>
          </w:rPr>
          <w:t>bi</w:t>
        </w:r>
      </w:ins>
      <w:r w:rsidRPr="00B806FD">
        <w:rPr>
          <w:i/>
          <w:iCs/>
        </w:rPr>
        <w:t>d.</w:t>
      </w:r>
      <w:ins w:id="473" w:author="Jonathan Cervas" w:date="2023-06-23T14:14:00Z">
        <w:r w:rsidR="00E61828">
          <w:t xml:space="preserve"> </w:t>
        </w:r>
      </w:ins>
    </w:p>
  </w:footnote>
  <w:footnote w:id="184">
    <w:p w14:paraId="324E494C" w14:textId="05B52BA6" w:rsidR="00E70D0A" w:rsidRPr="00B806FD" w:rsidRDefault="00E70D0A" w:rsidP="00B806FD">
      <w:pPr>
        <w:pStyle w:val="FootnoteText"/>
      </w:pPr>
      <w:r w:rsidRPr="00B806FD">
        <w:rPr>
          <w:rStyle w:val="FootnoteReference"/>
        </w:rPr>
        <w:footnoteRef/>
      </w:r>
      <w:r w:rsidRPr="00B806FD">
        <w:t xml:space="preserve"> </w:t>
      </w:r>
      <w:r w:rsidR="00555B54" w:rsidRPr="00B806FD">
        <w:tab/>
      </w:r>
      <w:del w:id="474" w:author="Jonathan Cervas" w:date="2023-06-23T14:16:00Z">
        <w:r w:rsidRPr="00B806FD" w:rsidDel="002A2CC4">
          <w:delText>Szeliga, Nos. C-02-CV-21-001816, C-02-CV-21-001773</w:delText>
        </w:r>
      </w:del>
      <w:ins w:id="475" w:author="Jonathan Cervas" w:date="2023-06-23T14:16:00Z">
        <w:r w:rsidR="002A2CC4" w:rsidRPr="002A2CC4">
          <w:rPr>
            <w:i/>
            <w:iCs/>
            <w:rPrChange w:id="476" w:author="Jonathan Cervas" w:date="2023-06-23T14:16:00Z">
              <w:rPr/>
            </w:rPrChange>
          </w:rPr>
          <w:t>Id</w:t>
        </w:r>
        <w:r w:rsidR="002A2CC4">
          <w:t>.</w:t>
        </w:r>
      </w:ins>
      <w:r w:rsidRPr="00B806FD">
        <w:t>, at *10.</w:t>
      </w:r>
      <w:ins w:id="477" w:author="Jonathan Cervas" w:date="2023-06-23T14:16:00Z">
        <w:r w:rsidR="002A2CC4">
          <w:t xml:space="preserve"> (“</w:t>
        </w:r>
        <w:r w:rsidR="002A2CC4" w:rsidRPr="002A2CC4">
          <w:t>There are no provisions in the Maryland Constitution explicitly addressing Congressional districting.</w:t>
        </w:r>
        <w:r w:rsidR="002A2CC4">
          <w:t>”)</w:t>
        </w:r>
      </w:ins>
    </w:p>
  </w:footnote>
  <w:footnote w:id="185">
    <w:p w14:paraId="005EBCD5" w14:textId="4828E0F0"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See</w:t>
      </w:r>
      <w:r w:rsidRPr="00B806FD">
        <w:t xml:space="preserve"> </w:t>
      </w:r>
      <w:r w:rsidRPr="00B806FD">
        <w:rPr>
          <w:smallCaps/>
        </w:rPr>
        <w:t xml:space="preserve">Md. Const. </w:t>
      </w:r>
      <w:r w:rsidRPr="00B806FD">
        <w:t>art.</w:t>
      </w:r>
      <w:r w:rsidRPr="00B806FD">
        <w:rPr>
          <w:smallCaps/>
        </w:rPr>
        <w:t xml:space="preserve"> III, § 4; Decl. of </w:t>
      </w:r>
      <w:proofErr w:type="spellStart"/>
      <w:r w:rsidRPr="00B806FD">
        <w:rPr>
          <w:smallCaps/>
        </w:rPr>
        <w:t>Rts</w:t>
      </w:r>
      <w:proofErr w:type="spellEnd"/>
      <w:r w:rsidRPr="00B806FD">
        <w:rPr>
          <w:smallCaps/>
        </w:rPr>
        <w:t>. art. VII, XXIV, XV.</w:t>
      </w:r>
    </w:p>
  </w:footnote>
  <w:footnote w:id="186">
    <w:p w14:paraId="4D7EF126" w14:textId="163F489A"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2A2CC4">
        <w:rPr>
          <w:i/>
          <w:iCs/>
          <w:rPrChange w:id="479" w:author="Jonathan Cervas" w:date="2023-06-23T14:17:00Z">
            <w:rPr/>
          </w:rPrChange>
        </w:rPr>
        <w:t>Szeliga</w:t>
      </w:r>
      <w:r w:rsidRPr="00B806FD">
        <w:t>, Nos. C-02-CV-21-001816, C-02-CV-21-001773 at *27.</w:t>
      </w:r>
      <w:ins w:id="480" w:author="Jonathan Cervas" w:date="2023-06-23T14:17:00Z">
        <w:r w:rsidR="002A2CC4">
          <w:t xml:space="preserve"> </w:t>
        </w:r>
      </w:ins>
    </w:p>
  </w:footnote>
  <w:footnote w:id="187">
    <w:p w14:paraId="5710E9E4" w14:textId="65CA56B1" w:rsidR="00DF3BEC" w:rsidRPr="008C1524" w:rsidRDefault="00E70D0A" w:rsidP="00DF3BEC">
      <w:pPr>
        <w:pStyle w:val="FootnoteText"/>
        <w:rPr>
          <w:ins w:id="481" w:author="Jonathan Cervas" w:date="2023-06-23T18:42:00Z"/>
          <w:i/>
          <w:iCs/>
        </w:rPr>
      </w:pPr>
      <w:r w:rsidRPr="00B806FD">
        <w:rPr>
          <w:rStyle w:val="FootnoteReference"/>
        </w:rPr>
        <w:footnoteRef/>
      </w:r>
      <w:r w:rsidRPr="00B806FD">
        <w:t xml:space="preserve"> </w:t>
      </w:r>
      <w:r w:rsidR="00555B54" w:rsidRPr="00B806FD">
        <w:tab/>
      </w:r>
      <w:proofErr w:type="spellStart"/>
      <w:ins w:id="482" w:author="Jonathan Cervas" w:date="2023-06-23T18:42:00Z">
        <w:r w:rsidR="00DF3BEC" w:rsidRPr="00DF3BEC">
          <w:rPr>
            <w:i/>
            <w:iCs/>
          </w:rPr>
          <w:t>Growe</w:t>
        </w:r>
        <w:proofErr w:type="spellEnd"/>
        <w:r w:rsidR="00DF3BEC" w:rsidRPr="00DF3BEC">
          <w:rPr>
            <w:i/>
            <w:iCs/>
          </w:rPr>
          <w:t xml:space="preserve"> v. </w:t>
        </w:r>
        <w:proofErr w:type="spellStart"/>
        <w:r w:rsidR="00DF3BEC" w:rsidRPr="00DF3BEC">
          <w:rPr>
            <w:i/>
            <w:iCs/>
          </w:rPr>
          <w:t>Emison</w:t>
        </w:r>
        <w:proofErr w:type="spellEnd"/>
        <w:r w:rsidR="00DF3BEC" w:rsidRPr="00DF3BEC">
          <w:rPr>
            <w:i/>
            <w:iCs/>
          </w:rPr>
          <w:t xml:space="preserve">, </w:t>
        </w:r>
        <w:r w:rsidR="00DF3BEC" w:rsidRPr="00DF3BEC">
          <w:rPr>
            <w:rPrChange w:id="483" w:author="Jonathan Cervas" w:date="2023-06-23T18:42:00Z">
              <w:rPr>
                <w:i/>
                <w:iCs/>
              </w:rPr>
            </w:rPrChange>
          </w:rPr>
          <w:t>507 U.S. 25, 33 (1993) (“In the reapportionment context, the Court has required federal judges to defer consideration of disputes involving redistricting where the State, through its legislative or judicial branch, has begun to address that highly political task itself.”)</w:t>
        </w:r>
      </w:ins>
      <w:ins w:id="484" w:author="Jonathan Cervas" w:date="2023-06-23T18:49:00Z">
        <w:r w:rsidR="00DF3BEC">
          <w:t xml:space="preserve">; </w:t>
        </w:r>
        <w:r w:rsidR="00DF3BEC">
          <w:rPr>
            <w:i/>
            <w:iCs/>
          </w:rPr>
          <w:t>see also</w:t>
        </w:r>
        <w:r w:rsidR="00DF3BEC">
          <w:t xml:space="preserve"> </w:t>
        </w:r>
        <w:r w:rsidR="00DF3BEC" w:rsidRPr="00DF3BEC">
          <w:t>Nathaniel</w:t>
        </w:r>
        <w:r w:rsidR="00DF3BEC">
          <w:t xml:space="preserve"> </w:t>
        </w:r>
        <w:proofErr w:type="spellStart"/>
        <w:r w:rsidR="00DF3BEC" w:rsidRPr="00DF3BEC">
          <w:t>Persily</w:t>
        </w:r>
        <w:proofErr w:type="spellEnd"/>
        <w:r w:rsidR="00DF3BEC" w:rsidRPr="00DF3BEC">
          <w:t>,</w:t>
        </w:r>
        <w:r w:rsidR="00DF3BEC">
          <w:t xml:space="preserve"> </w:t>
        </w:r>
        <w:r w:rsidR="00DF3BEC" w:rsidRPr="008033E1">
          <w:rPr>
            <w:i/>
            <w:iCs/>
            <w:rPrChange w:id="485" w:author="Jonathan Cervas" w:date="2023-06-23T19:04:00Z">
              <w:rPr/>
            </w:rPrChange>
          </w:rPr>
          <w:t>When Judges Carve Democracies: A Primer on Court-Drawn Redistricting Plans</w:t>
        </w:r>
        <w:r w:rsidR="00DF3BEC" w:rsidRPr="00DF3BEC">
          <w:t xml:space="preserve">. </w:t>
        </w:r>
        <w:r w:rsidR="00DF3BEC" w:rsidRPr="008033E1">
          <w:rPr>
            <w:smallCaps/>
            <w:rPrChange w:id="486" w:author="Jonathan Cervas" w:date="2023-06-23T19:01:00Z">
              <w:rPr/>
            </w:rPrChange>
          </w:rPr>
          <w:t>George Washington Law Review</w:t>
        </w:r>
        <w:r w:rsidR="00DF3BEC" w:rsidRPr="00DF3BEC">
          <w:t xml:space="preserve"> 73, 1131–1165, (2005)</w:t>
        </w:r>
      </w:ins>
      <w:ins w:id="487" w:author="Jonathan Cervas" w:date="2023-06-23T19:00:00Z">
        <w:r w:rsidR="0020748D">
          <w:t xml:space="preserve">; Jeffrey M. </w:t>
        </w:r>
        <w:proofErr w:type="spellStart"/>
        <w:r w:rsidR="0020748D">
          <w:t>Wice</w:t>
        </w:r>
        <w:proofErr w:type="spellEnd"/>
        <w:r w:rsidR="0020748D">
          <w:t xml:space="preserve"> &amp; Leonard M. Kohen, </w:t>
        </w:r>
        <w:r w:rsidR="0020748D">
          <w:rPr>
            <w:i/>
            <w:iCs/>
          </w:rPr>
          <w:t xml:space="preserve">Court Deference to State Legislatures in Redistricting After </w:t>
        </w:r>
        <w:r w:rsidR="0020748D" w:rsidRPr="008033E1">
          <w:rPr>
            <w:i/>
            <w:iCs/>
            <w:rPrChange w:id="488" w:author="Jonathan Cervas" w:date="2023-06-23T19:04:00Z">
              <w:rPr/>
            </w:rPrChange>
          </w:rPr>
          <w:t>Perry v. Perez</w:t>
        </w:r>
        <w:r w:rsidR="0020748D">
          <w:t xml:space="preserve">, 11 </w:t>
        </w:r>
        <w:r w:rsidR="0020748D">
          <w:rPr>
            <w:smallCaps/>
          </w:rPr>
          <w:t>Election Law Journal: Rules, Politics, and Policy</w:t>
        </w:r>
        <w:r w:rsidR="0020748D">
          <w:t xml:space="preserve"> 431–445 (2012)</w:t>
        </w:r>
      </w:ins>
      <w:ins w:id="489" w:author="Jonathan Cervas" w:date="2023-06-23T19:01:00Z">
        <w:r w:rsidR="008033E1">
          <w:t>.</w:t>
        </w:r>
      </w:ins>
    </w:p>
    <w:p w14:paraId="19F61A5F" w14:textId="3EE9C2C5" w:rsidR="00E70D0A" w:rsidRPr="00B806FD" w:rsidRDefault="00E70D0A" w:rsidP="00B806FD">
      <w:pPr>
        <w:pStyle w:val="FootnoteText"/>
      </w:pPr>
      <w:del w:id="490" w:author="Jonathan Cervas" w:date="2023-06-23T18:42:00Z">
        <w:r w:rsidRPr="00B806FD" w:rsidDel="00DF3BEC">
          <w:rPr>
            <w:i/>
            <w:iCs/>
          </w:rPr>
          <w:delText>Id.</w:delText>
        </w:r>
        <w:r w:rsidRPr="00B806FD" w:rsidDel="00DF3BEC">
          <w:delText xml:space="preserve"> at *124.</w:delText>
        </w:r>
      </w:del>
    </w:p>
  </w:footnote>
  <w:footnote w:id="188">
    <w:p w14:paraId="115E6F07" w14:textId="1ADDA584"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t xml:space="preserve">Associated Press, </w:t>
      </w:r>
      <w:r w:rsidRPr="00B806FD">
        <w:rPr>
          <w:i/>
          <w:iCs/>
        </w:rPr>
        <w:t>Governor Approves New Congressional Map in Maryland</w:t>
      </w:r>
      <w:r w:rsidRPr="00B806FD">
        <w:t xml:space="preserve">, </w:t>
      </w:r>
      <w:r w:rsidRPr="00B806FD">
        <w:rPr>
          <w:smallCaps/>
        </w:rPr>
        <w:t>Politico</w:t>
      </w:r>
      <w:r w:rsidRPr="00B806FD">
        <w:t>: E</w:t>
      </w:r>
      <w:r w:rsidRPr="00B806FD">
        <w:rPr>
          <w:smallCaps/>
        </w:rPr>
        <w:t>lections</w:t>
      </w:r>
      <w:r w:rsidRPr="00B806FD">
        <w:t xml:space="preserve"> (Apr. 4, 2022, 07:39 PM EDT), https://www.politico.com/news/2022/04/04/redistricting-maryland-hogan-congressional-map-00022904 [https://perma.cc/K7LQ-J8PE] (last visited Dec. 23, 2022).</w:t>
      </w:r>
    </w:p>
  </w:footnote>
  <w:footnote w:id="189">
    <w:p w14:paraId="1C0E2680" w14:textId="3D3A346C"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8C1524">
        <w:t>Harper v. Lewis</w:t>
      </w:r>
      <w:r w:rsidRPr="00B806FD">
        <w:t>, No. 19-CVS-012667, at 7–15 (N.C. Super. Ct. 2019);</w:t>
      </w:r>
      <w:r w:rsidRPr="00B806FD">
        <w:rPr>
          <w:i/>
          <w:iCs/>
        </w:rPr>
        <w:t xml:space="preserve"> </w:t>
      </w:r>
      <w:r w:rsidRPr="00B806FD">
        <w:t>Harper v. Hall, 380 N.C. 317, 455 (2022) (Newby, J., dissenting) (stating “[n]o express provision of our constitution has been violated here.  Nonetheless, in the majority's view, it is the members of this Court, rather than the people, who hold the power to alter our constitution.  Thus, the majority by judicial fiat amends the plain text of Article I, §§ 10, 12, 14, and 19, to empower courts to supervise the legislative power of redistricting when met with complaints of partisan gerrymandering.”).</w:t>
      </w:r>
    </w:p>
  </w:footnote>
  <w:footnote w:id="190">
    <w:p w14:paraId="65E7C075" w14:textId="442A9DD5"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 xml:space="preserve">See </w:t>
      </w:r>
      <w:proofErr w:type="spellStart"/>
      <w:r w:rsidRPr="008C1524">
        <w:rPr>
          <w:i/>
          <w:iCs/>
          <w:rPrChange w:id="491" w:author="Jonathan Cervas" w:date="2023-06-29T16:59:00Z">
            <w:rPr/>
          </w:rPrChange>
        </w:rPr>
        <w:t>Rucho</w:t>
      </w:r>
      <w:proofErr w:type="spellEnd"/>
      <w:r w:rsidRPr="00B806FD">
        <w:t>, 139 S. Ct. at 2491, 2509.</w:t>
      </w:r>
    </w:p>
  </w:footnote>
  <w:footnote w:id="191">
    <w:p w14:paraId="06CF3F0B" w14:textId="3D319B5E"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w:t>
      </w:r>
      <w:r w:rsidRPr="00B806FD">
        <w:rPr>
          <w:i/>
        </w:rPr>
        <w:t xml:space="preserve"> </w:t>
      </w:r>
      <w:r w:rsidRPr="00E43F55">
        <w:rPr>
          <w:i/>
          <w:iCs/>
          <w:noProof/>
          <w:rPrChange w:id="492" w:author="Jonathan Cervas" w:date="2023-06-23T14:29:00Z">
            <w:rPr>
              <w:noProof/>
            </w:rPr>
          </w:rPrChange>
        </w:rPr>
        <w:t>Cooper v. Harris</w:t>
      </w:r>
      <w:r w:rsidRPr="00B806FD">
        <w:rPr>
          <w:noProof/>
        </w:rPr>
        <w:t>, 581 U.S. 285 (2017).</w:t>
      </w:r>
    </w:p>
  </w:footnote>
  <w:footnote w:id="192">
    <w:p w14:paraId="57B24A1C" w14:textId="52D2BCC3"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 xml:space="preserve">See </w:t>
      </w:r>
      <w:del w:id="493" w:author="Jonathan Cervas" w:date="2023-06-23T14:30:00Z">
        <w:r w:rsidRPr="00B806FD" w:rsidDel="00E43F55">
          <w:rPr>
            <w:i/>
            <w:iCs/>
          </w:rPr>
          <w:delText>i</w:delText>
        </w:r>
      </w:del>
      <w:ins w:id="494" w:author="Jonathan Cervas" w:date="2023-06-23T14:30:00Z">
        <w:r w:rsidR="00E43F55">
          <w:rPr>
            <w:i/>
            <w:iCs/>
          </w:rPr>
          <w:t>I</w:t>
        </w:r>
      </w:ins>
      <w:r w:rsidRPr="00B806FD">
        <w:rPr>
          <w:i/>
          <w:iCs/>
        </w:rPr>
        <w:t>d.</w:t>
      </w:r>
      <w:r w:rsidRPr="00B806FD">
        <w:t xml:space="preserve"> at 313</w:t>
      </w:r>
      <w:r w:rsidRPr="00B806FD">
        <w:rPr>
          <w:i/>
          <w:iCs/>
        </w:rPr>
        <w:t xml:space="preserve"> </w:t>
      </w:r>
      <w:r w:rsidRPr="00B806FD">
        <w:t>(describing how “</w:t>
      </w:r>
      <w:proofErr w:type="spellStart"/>
      <w:r w:rsidRPr="00B806FD">
        <w:t>Hofeller</w:t>
      </w:r>
      <w:proofErr w:type="spellEnd"/>
      <w:r w:rsidRPr="00B806FD">
        <w:t xml:space="preserve"> explained that </w:t>
      </w:r>
      <w:proofErr w:type="spellStart"/>
      <w:r w:rsidRPr="00B806FD">
        <w:t>Rucho</w:t>
      </w:r>
      <w:proofErr w:type="spellEnd"/>
      <w:r w:rsidRPr="00B806FD">
        <w:t xml:space="preserve"> and Lewis instructed him, first and foremost, to make the map as a whole ‘more favorable to Republican candidates.’”). </w:t>
      </w:r>
    </w:p>
  </w:footnote>
  <w:footnote w:id="193">
    <w:p w14:paraId="6DD1E817" w14:textId="521D09C8" w:rsidR="00555B54" w:rsidRPr="00B806FD" w:rsidRDefault="00555B54" w:rsidP="00B806FD">
      <w:pPr>
        <w:pStyle w:val="FootnoteText"/>
      </w:pPr>
      <w:r w:rsidRPr="00B806FD">
        <w:rPr>
          <w:rStyle w:val="FootnoteReference"/>
        </w:rPr>
        <w:footnoteRef/>
      </w:r>
      <w:r w:rsidRPr="00B806FD">
        <w:t xml:space="preserve"> </w:t>
      </w:r>
      <w:r w:rsidRPr="00B806FD">
        <w:tab/>
      </w:r>
      <w:r w:rsidRPr="008C1524">
        <w:t>Harper v. Lewis</w:t>
      </w:r>
      <w:r w:rsidRPr="00B806FD">
        <w:t>, No. 19-CVS--12667 (N.C. Super. Ct. 2019).</w:t>
      </w:r>
    </w:p>
  </w:footnote>
  <w:footnote w:id="194">
    <w:p w14:paraId="28C1A4FB" w14:textId="7A7ABEAD"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w:t>
      </w:r>
      <w:r w:rsidRPr="00B806FD">
        <w:rPr>
          <w:i/>
        </w:rPr>
        <w:t xml:space="preserve"> </w:t>
      </w:r>
      <w:r w:rsidRPr="00B806FD">
        <w:t>N.C. Const. art. I, § 10.</w:t>
      </w:r>
    </w:p>
  </w:footnote>
  <w:footnote w:id="195">
    <w:p w14:paraId="27E2F6F2" w14:textId="51F1E69C"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w:t>
      </w:r>
      <w:r w:rsidRPr="00B806FD">
        <w:rPr>
          <w:i/>
        </w:rPr>
        <w:t xml:space="preserve"> </w:t>
      </w:r>
      <w:r w:rsidRPr="00B806FD">
        <w:t>N.C. Const. art. I, § 19.</w:t>
      </w:r>
    </w:p>
  </w:footnote>
  <w:footnote w:id="196">
    <w:p w14:paraId="49285983" w14:textId="41AEC38F"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 generally</w:t>
      </w:r>
      <w:r w:rsidRPr="00B806FD">
        <w:rPr>
          <w:i/>
        </w:rPr>
        <w:t xml:space="preserve"> </w:t>
      </w:r>
      <w:r w:rsidRPr="00B806FD">
        <w:t>N.C. Const. art. I, §§ 12, 14</w:t>
      </w:r>
    </w:p>
  </w:footnote>
  <w:footnote w:id="197">
    <w:p w14:paraId="2BFEC7E3" w14:textId="62CDFCD6" w:rsidR="00555B54" w:rsidRPr="00B806FD" w:rsidRDefault="00555B54" w:rsidP="00B806FD">
      <w:pPr>
        <w:pStyle w:val="FootnoteText"/>
      </w:pPr>
      <w:r w:rsidRPr="00B806FD">
        <w:rPr>
          <w:rStyle w:val="FootnoteReference"/>
        </w:rPr>
        <w:footnoteRef/>
      </w:r>
      <w:r w:rsidRPr="00B806FD">
        <w:t xml:space="preserve"> </w:t>
      </w:r>
      <w:r w:rsidRPr="00B806FD">
        <w:tab/>
        <w:t>Harper, No. 19-CVS-012667 at 22–24.</w:t>
      </w:r>
    </w:p>
  </w:footnote>
  <w:footnote w:id="198">
    <w:p w14:paraId="29077C0B" w14:textId="49E7A7EF" w:rsidR="008C1524" w:rsidRDefault="008C1524">
      <w:pPr>
        <w:pStyle w:val="FootnoteText"/>
      </w:pPr>
      <w:ins w:id="497" w:author="Jonathan Cervas" w:date="2023-06-29T16:57:00Z">
        <w:r>
          <w:rPr>
            <w:rStyle w:val="FootnoteReference"/>
          </w:rPr>
          <w:footnoteRef/>
        </w:r>
        <w:r>
          <w:t xml:space="preserve"> </w:t>
        </w:r>
        <w:r>
          <w:tab/>
        </w:r>
        <w:r w:rsidRPr="00B806FD">
          <w:rPr>
            <w:i/>
            <w:iCs/>
          </w:rPr>
          <w:t>See</w:t>
        </w:r>
        <w:r w:rsidRPr="00B806FD">
          <w:t xml:space="preserve"> </w:t>
        </w:r>
        <w:r w:rsidRPr="00B806FD">
          <w:rPr>
            <w:i/>
            <w:iCs/>
          </w:rPr>
          <w:t>North Carolina Election Results</w:t>
        </w:r>
        <w:r w:rsidRPr="00B806FD">
          <w:t xml:space="preserve">, </w:t>
        </w:r>
        <w:r w:rsidRPr="00B806FD">
          <w:rPr>
            <w:smallCaps/>
          </w:rPr>
          <w:t>N.Y. Times</w:t>
        </w:r>
        <w:r w:rsidRPr="00B806FD">
          <w:t xml:space="preserve"> (Mar. 7, 2021), https://www.nytimes.com/interactive/2020/11/03/us/elections/results-north-carolina.html [https://perma.cc/WN8J-QNU7].</w:t>
        </w:r>
      </w:ins>
    </w:p>
  </w:footnote>
  <w:footnote w:id="199">
    <w:p w14:paraId="68472C60" w14:textId="6797B612" w:rsidR="00555B54" w:rsidRPr="00B806FD" w:rsidDel="008C1524" w:rsidRDefault="00555B54" w:rsidP="00B806FD">
      <w:pPr>
        <w:pStyle w:val="FootnoteText"/>
        <w:rPr>
          <w:del w:id="499" w:author="Jonathan Cervas" w:date="2023-06-29T16:57:00Z"/>
        </w:rPr>
      </w:pPr>
      <w:del w:id="500" w:author="Jonathan Cervas" w:date="2023-06-29T16:57:00Z">
        <w:r w:rsidRPr="00B806FD" w:rsidDel="008C1524">
          <w:rPr>
            <w:rStyle w:val="FootnoteReference"/>
          </w:rPr>
          <w:footnoteRef/>
        </w:r>
        <w:r w:rsidRPr="00B806FD" w:rsidDel="008C1524">
          <w:delText xml:space="preserve"> </w:delText>
        </w:r>
        <w:r w:rsidRPr="00B806FD" w:rsidDel="008C1524">
          <w:rPr>
            <w:i/>
            <w:iCs/>
          </w:rPr>
          <w:delText>See</w:delText>
        </w:r>
        <w:r w:rsidRPr="00B806FD" w:rsidDel="008C1524">
          <w:delText xml:space="preserve"> </w:delText>
        </w:r>
        <w:r w:rsidRPr="00B806FD" w:rsidDel="008C1524">
          <w:rPr>
            <w:i/>
            <w:iCs/>
          </w:rPr>
          <w:delText>North Carolina Election Results</w:delText>
        </w:r>
        <w:r w:rsidRPr="00B806FD" w:rsidDel="008C1524">
          <w:delText xml:space="preserve">, </w:delText>
        </w:r>
        <w:r w:rsidRPr="00B806FD" w:rsidDel="008C1524">
          <w:rPr>
            <w:smallCaps/>
          </w:rPr>
          <w:delText>N.Y. Times</w:delText>
        </w:r>
        <w:r w:rsidRPr="00B806FD" w:rsidDel="008C1524">
          <w:delText xml:space="preserve"> (Mar. 7, 2021), https://www.nytimes.com/interactive/2020/11/03/us/elections/results-north-carolina.html [https://perma.cc/WN8J-QNU7].</w:delText>
        </w:r>
      </w:del>
    </w:p>
  </w:footnote>
  <w:footnote w:id="200">
    <w:p w14:paraId="0D7E41B5" w14:textId="410441C3" w:rsidR="00555B54" w:rsidRPr="00B806FD" w:rsidDel="008C1524" w:rsidRDefault="00555B54" w:rsidP="00B806FD">
      <w:pPr>
        <w:pStyle w:val="FootnoteText"/>
        <w:rPr>
          <w:del w:id="502" w:author="Jonathan Cervas" w:date="2023-06-29T16:57:00Z"/>
        </w:rPr>
      </w:pPr>
      <w:del w:id="503" w:author="Jonathan Cervas" w:date="2023-06-29T16:57:00Z">
        <w:r w:rsidRPr="00B806FD" w:rsidDel="008C1524">
          <w:rPr>
            <w:rStyle w:val="FootnoteReference"/>
          </w:rPr>
          <w:footnoteRef/>
        </w:r>
        <w:r w:rsidRPr="00B806FD" w:rsidDel="008C1524">
          <w:delText xml:space="preserve"> </w:delText>
        </w:r>
        <w:r w:rsidRPr="00B806FD" w:rsidDel="008C1524">
          <w:rPr>
            <w:i/>
            <w:iCs/>
          </w:rPr>
          <w:delText>See</w:delText>
        </w:r>
        <w:r w:rsidRPr="00B806FD" w:rsidDel="008C1524">
          <w:delText xml:space="preserve"> </w:delText>
        </w:r>
        <w:r w:rsidRPr="00B806FD" w:rsidDel="008C1524">
          <w:rPr>
            <w:i/>
            <w:iCs/>
          </w:rPr>
          <w:delText>North Carolina Election Results</w:delText>
        </w:r>
        <w:r w:rsidRPr="00B806FD" w:rsidDel="008C1524">
          <w:delText xml:space="preserve">, </w:delText>
        </w:r>
        <w:r w:rsidRPr="00B806FD" w:rsidDel="008C1524">
          <w:rPr>
            <w:smallCaps/>
          </w:rPr>
          <w:delText>N.Y. Times</w:delText>
        </w:r>
        <w:r w:rsidRPr="00B806FD" w:rsidDel="008C1524">
          <w:delText xml:space="preserve"> (May 15, 2019), https://www.nytimes.com/interactive/2018/11/06/us/elections/results-north-carolina-elections.html [https://perma.cc/2WRR-F8XY].</w:delText>
        </w:r>
      </w:del>
    </w:p>
  </w:footnote>
  <w:footnote w:id="201">
    <w:p w14:paraId="1E9BAA05" w14:textId="41D2B0B6" w:rsidR="008C1524" w:rsidRDefault="008C1524">
      <w:pPr>
        <w:pStyle w:val="FootnoteText"/>
      </w:pPr>
      <w:ins w:id="505" w:author="Jonathan Cervas" w:date="2023-06-29T16:57:00Z">
        <w:r>
          <w:rPr>
            <w:rStyle w:val="FootnoteReference"/>
          </w:rPr>
          <w:footnoteRef/>
        </w:r>
        <w:r>
          <w:t xml:space="preserve"> </w:t>
        </w:r>
        <w:r>
          <w:tab/>
        </w:r>
        <w:r w:rsidRPr="00B806FD">
          <w:rPr>
            <w:i/>
            <w:iCs/>
          </w:rPr>
          <w:t>See</w:t>
        </w:r>
        <w:r w:rsidRPr="00B806FD">
          <w:t xml:space="preserve"> </w:t>
        </w:r>
        <w:r w:rsidRPr="00B806FD">
          <w:rPr>
            <w:i/>
            <w:iCs/>
          </w:rPr>
          <w:t>North Carolina Election Results</w:t>
        </w:r>
        <w:r w:rsidRPr="00B806FD">
          <w:t xml:space="preserve">, </w:t>
        </w:r>
        <w:r w:rsidRPr="00B806FD">
          <w:rPr>
            <w:smallCaps/>
          </w:rPr>
          <w:t>N.Y. Times</w:t>
        </w:r>
        <w:r w:rsidRPr="00B806FD">
          <w:t xml:space="preserve"> (May 15, 2019), https://www.nytimes.com/interactive/2018/11/06/us/elections/results-north-carolina-elections.html [https://perma.cc/2WRR-F8XY].</w:t>
        </w:r>
      </w:ins>
    </w:p>
  </w:footnote>
  <w:footnote w:id="202">
    <w:p w14:paraId="3FAB86A2" w14:textId="2B749C6A"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 supra</w:t>
      </w:r>
      <w:r w:rsidRPr="00B806FD">
        <w:t xml:space="preserve"> </w:t>
      </w:r>
      <w:proofErr w:type="spellStart"/>
      <w:r w:rsidRPr="00B806FD">
        <w:t>tbl</w:t>
      </w:r>
      <w:proofErr w:type="spellEnd"/>
      <w:r w:rsidRPr="00B806FD">
        <w:t xml:space="preserve">. 1; Spencer, </w:t>
      </w:r>
      <w:r w:rsidRPr="00B806FD">
        <w:rPr>
          <w:i/>
          <w:iCs/>
        </w:rPr>
        <w:t>supra</w:t>
      </w:r>
      <w:r w:rsidRPr="00B806FD">
        <w:t xml:space="preserve"> note </w:t>
      </w:r>
      <w:ins w:id="506" w:author="Jonathan Cervas" w:date="2023-06-23T14:33:00Z">
        <w:r w:rsidR="00E43F55">
          <w:fldChar w:fldCharType="begin"/>
        </w:r>
        <w:r w:rsidR="00E43F55">
          <w:instrText xml:space="preserve"> NOTEREF _Ref138329809 \h </w:instrText>
        </w:r>
      </w:ins>
      <w:r w:rsidR="00E43F55">
        <w:fldChar w:fldCharType="separate"/>
      </w:r>
      <w:ins w:id="507" w:author="Jonathan Cervas" w:date="2023-06-23T14:33:00Z">
        <w:r w:rsidR="00E43F55">
          <w:t>135</w:t>
        </w:r>
        <w:r w:rsidR="00E43F55">
          <w:fldChar w:fldCharType="end"/>
        </w:r>
      </w:ins>
      <w:del w:id="508" w:author="Jonathan Cervas" w:date="2023-06-23T14:33:00Z">
        <w:r w:rsidRPr="00B806FD" w:rsidDel="00E43F55">
          <w:delText>133</w:delText>
        </w:r>
      </w:del>
      <w:r w:rsidRPr="00B806FD">
        <w:t>.</w:t>
      </w:r>
    </w:p>
  </w:footnote>
  <w:footnote w:id="203">
    <w:p w14:paraId="3258D270" w14:textId="2EAA601F" w:rsidR="00555B54" w:rsidRPr="00B806FD" w:rsidRDefault="00555B54" w:rsidP="00B806FD">
      <w:pPr>
        <w:pStyle w:val="FootnoteText"/>
      </w:pPr>
      <w:r w:rsidRPr="00B806FD">
        <w:rPr>
          <w:rStyle w:val="FootnoteReference"/>
        </w:rPr>
        <w:footnoteRef/>
      </w:r>
      <w:r w:rsidRPr="00B806FD">
        <w:t xml:space="preserve"> </w:t>
      </w:r>
      <w:r w:rsidRPr="00B806FD">
        <w:tab/>
        <w:t xml:space="preserve">Fiona </w:t>
      </w:r>
      <w:proofErr w:type="spellStart"/>
      <w:r w:rsidRPr="00B806FD">
        <w:t>Kniaz</w:t>
      </w:r>
      <w:proofErr w:type="spellEnd"/>
      <w:r w:rsidRPr="00B806FD">
        <w:t xml:space="preserve">, </w:t>
      </w:r>
      <w:r w:rsidRPr="00B806FD">
        <w:rPr>
          <w:i/>
          <w:iCs/>
        </w:rPr>
        <w:t>Governors and the Redistricting Process</w:t>
      </w:r>
      <w:r w:rsidRPr="00B806FD">
        <w:t xml:space="preserve">, </w:t>
      </w:r>
      <w:r w:rsidRPr="00B806FD">
        <w:rPr>
          <w:smallCaps/>
        </w:rPr>
        <w:t>Eagleton Center on the American Governor</w:t>
      </w:r>
      <w:r w:rsidRPr="00B806FD">
        <w:t xml:space="preserve"> (2021), https://governors.rutgers.edu/governors-and-the-redistricting-process/ [https://perma.cc/TV6Q-MJUY].</w:t>
      </w:r>
    </w:p>
  </w:footnote>
  <w:footnote w:id="204">
    <w:p w14:paraId="148DE782" w14:textId="7CEF1903"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Harper v. Hall, 868 S.E.2d 499, 510-11 (N.C. Super. Ct. 2022).</w:t>
      </w:r>
    </w:p>
  </w:footnote>
  <w:footnote w:id="205">
    <w:p w14:paraId="22F73162" w14:textId="25025ABC"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382–383.</w:t>
      </w:r>
    </w:p>
  </w:footnote>
  <w:footnote w:id="206">
    <w:p w14:paraId="002E3733" w14:textId="04D3FDEB"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321.</w:t>
      </w:r>
    </w:p>
  </w:footnote>
  <w:footnote w:id="207">
    <w:p w14:paraId="080854A8" w14:textId="305969EF"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323.</w:t>
      </w:r>
    </w:p>
  </w:footnote>
  <w:footnote w:id="208">
    <w:p w14:paraId="42A45C31" w14:textId="277C794B" w:rsidR="00555B54" w:rsidRPr="00B806FD" w:rsidRDefault="00555B54" w:rsidP="00B806FD">
      <w:pPr>
        <w:pStyle w:val="FootnoteText"/>
      </w:pPr>
      <w:r w:rsidRPr="00B806FD">
        <w:rPr>
          <w:rStyle w:val="FootnoteReference"/>
        </w:rPr>
        <w:footnoteRef/>
      </w:r>
      <w:r w:rsidRPr="00B806FD">
        <w:t xml:space="preserve"> </w:t>
      </w:r>
      <w:r w:rsidRPr="00B806FD">
        <w:tab/>
        <w:t xml:space="preserve">Order Appointing Special </w:t>
      </w:r>
      <w:proofErr w:type="gramStart"/>
      <w:r w:rsidRPr="00B806FD">
        <w:t>Masters</w:t>
      </w:r>
      <w:proofErr w:type="gramEnd"/>
      <w:r w:rsidRPr="00B806FD">
        <w:t xml:space="preserve"> at 2-7, Harper v. Hall, 868 S.E.2d 499, 510-11 (N.C. Super. Ct. 2022); </w:t>
      </w:r>
      <w:r w:rsidRPr="00B806FD">
        <w:rPr>
          <w:i/>
          <w:iCs/>
        </w:rPr>
        <w:t xml:space="preserve">see also </w:t>
      </w:r>
      <w:r w:rsidRPr="00B806FD">
        <w:t xml:space="preserve">Steve Doyle, </w:t>
      </w:r>
      <w:r w:rsidRPr="00B806FD">
        <w:rPr>
          <w:i/>
          <w:iCs/>
        </w:rPr>
        <w:t xml:space="preserve">NC Redistricting Special </w:t>
      </w:r>
      <w:proofErr w:type="gramStart"/>
      <w:r w:rsidRPr="00B806FD">
        <w:rPr>
          <w:i/>
          <w:iCs/>
        </w:rPr>
        <w:t>Masters</w:t>
      </w:r>
      <w:proofErr w:type="gramEnd"/>
      <w:r w:rsidRPr="00B806FD">
        <w:rPr>
          <w:i/>
          <w:iCs/>
        </w:rPr>
        <w:t xml:space="preserve"> Have Greensboro Flavor</w:t>
      </w:r>
      <w:r w:rsidRPr="00B806FD">
        <w:t xml:space="preserve">, </w:t>
      </w:r>
      <w:r w:rsidRPr="00B806FD">
        <w:rPr>
          <w:smallCaps/>
        </w:rPr>
        <w:t>Fox 8 Greensboro: Your Local Election HQ</w:t>
      </w:r>
      <w:r w:rsidRPr="00B806FD">
        <w:t xml:space="preserve"> (Apr. 5, 2022), https://myfox8.com/your-local-election-hq/nc-redistricting-special-masters-have-greensboro-flavor/ [https://perma.cc/W5SN-YMHH] (last visited Dec. 24, 2022).</w:t>
      </w:r>
    </w:p>
  </w:footnote>
  <w:footnote w:id="209">
    <w:p w14:paraId="36719DA2" w14:textId="14865082"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bCs/>
        </w:rPr>
        <w:t>Disclosure: Bernard Grofman served as that technical consultant.</w:t>
      </w:r>
    </w:p>
  </w:footnote>
  <w:footnote w:id="210">
    <w:p w14:paraId="3FB9123D" w14:textId="62AE1A3B" w:rsidR="00555B54" w:rsidRPr="00B806FD" w:rsidRDefault="00555B54" w:rsidP="00B806FD">
      <w:pPr>
        <w:pStyle w:val="FootnoteText"/>
      </w:pPr>
      <w:r w:rsidRPr="00B806FD">
        <w:rPr>
          <w:rStyle w:val="FootnoteReference"/>
        </w:rPr>
        <w:footnoteRef/>
      </w:r>
      <w:r w:rsidRPr="00B806FD">
        <w:t xml:space="preserve"> </w:t>
      </w:r>
      <w:r w:rsidRPr="00B806FD">
        <w:tab/>
        <w:t>Order on Remedial Plans at 23</w:t>
      </w:r>
      <w:ins w:id="509" w:author="Jonathan Cervas" w:date="2023-06-29T16:58:00Z">
        <w:r w:rsidR="008C1524">
          <w:t>,</w:t>
        </w:r>
      </w:ins>
      <w:r w:rsidRPr="00B806FD">
        <w:t xml:space="preserve"> </w:t>
      </w:r>
      <w:r w:rsidRPr="008C1524">
        <w:rPr>
          <w:i/>
          <w:iCs/>
          <w:rPrChange w:id="510" w:author="Jonathan Cervas" w:date="2023-06-29T16:58:00Z">
            <w:rPr/>
          </w:rPrChange>
        </w:rPr>
        <w:t>Harper</w:t>
      </w:r>
      <w:r w:rsidRPr="00B806FD">
        <w:t>, 868 S.E.2d.</w:t>
      </w:r>
    </w:p>
  </w:footnote>
  <w:footnote w:id="211">
    <w:p w14:paraId="4A00E721" w14:textId="094B3F63" w:rsidR="00114B20" w:rsidRPr="00B806FD" w:rsidRDefault="00114B20" w:rsidP="00B806FD">
      <w:pPr>
        <w:pStyle w:val="FootnoteText"/>
      </w:pPr>
      <w:r w:rsidRPr="00B806FD">
        <w:rPr>
          <w:rStyle w:val="FootnoteReference"/>
        </w:rPr>
        <w:footnoteRef/>
      </w:r>
      <w:r w:rsidR="001C4C87" w:rsidRPr="00B806FD">
        <w:rPr>
          <w:i/>
          <w:iCs/>
        </w:rPr>
        <w:t xml:space="preserve"> </w:t>
      </w:r>
      <w:r w:rsidR="001C4C87" w:rsidRPr="00B806FD">
        <w:rPr>
          <w:i/>
          <w:iCs/>
        </w:rPr>
        <w:tab/>
      </w:r>
      <w:r w:rsidRPr="00B806FD">
        <w:rPr>
          <w:i/>
          <w:iCs/>
        </w:rPr>
        <w:t xml:space="preserve">See </w:t>
      </w:r>
      <w:r w:rsidRPr="00B806FD">
        <w:rPr>
          <w:smallCaps/>
        </w:rPr>
        <w:t>Ballotpedia,</w:t>
      </w:r>
      <w:r w:rsidRPr="00B806FD">
        <w:t xml:space="preserve"> </w:t>
      </w:r>
      <w:r w:rsidRPr="00B806FD">
        <w:rPr>
          <w:i/>
          <w:iCs/>
        </w:rPr>
        <w:t>Party Control of New York State Government</w:t>
      </w:r>
      <w:r w:rsidRPr="00B806FD">
        <w:t>, https://ballotpedia.org/Party_control_of_New_York_state_government [https://perma.cc/N4NE-RPSZ] (last visited Dec. 23, 2022).</w:t>
      </w:r>
    </w:p>
  </w:footnote>
  <w:footnote w:id="212">
    <w:p w14:paraId="1FAFAC1D" w14:textId="32CFA8A3"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rPr>
          <w:smallCaps/>
        </w:rPr>
        <w:t>Ballotpedia,</w:t>
      </w:r>
      <w:r w:rsidRPr="00B806FD">
        <w:t xml:space="preserve"> </w:t>
      </w:r>
      <w:proofErr w:type="gramStart"/>
      <w:r w:rsidRPr="00B806FD">
        <w:rPr>
          <w:i/>
          <w:iCs/>
        </w:rPr>
        <w:t>Redistricting</w:t>
      </w:r>
      <w:proofErr w:type="gramEnd"/>
      <w:r w:rsidRPr="00B806FD">
        <w:rPr>
          <w:i/>
          <w:iCs/>
        </w:rPr>
        <w:t xml:space="preserve"> in New York After the 2010 Census</w:t>
      </w:r>
      <w:del w:id="511" w:author="Jonathan Cervas" w:date="2023-06-29T16:59:00Z">
        <w:r w:rsidRPr="00B806FD" w:rsidDel="008C1524">
          <w:rPr>
            <w:i/>
            <w:iCs/>
          </w:rPr>
          <w:delText xml:space="preserve"> </w:delText>
        </w:r>
      </w:del>
      <w:r w:rsidRPr="00B806FD">
        <w:t>, https://ballotpedia.org/Redistricting_in_New_York_after_the_2010_census [https://perma.cc/8HQ8-LRRR] (last visited Dec. 23, 2022).</w:t>
      </w:r>
    </w:p>
  </w:footnote>
  <w:footnote w:id="213">
    <w:p w14:paraId="316AA72F" w14:textId="5640DDAC"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rPr>
          <w:i/>
          <w:iCs/>
        </w:rPr>
        <w:t xml:space="preserve">See </w:t>
      </w:r>
      <w:r w:rsidRPr="00B806FD">
        <w:t xml:space="preserve">Marissa </w:t>
      </w:r>
      <w:proofErr w:type="spellStart"/>
      <w:r w:rsidRPr="00B806FD">
        <w:t>Zanfardino</w:t>
      </w:r>
      <w:proofErr w:type="spellEnd"/>
      <w:r w:rsidRPr="00B806FD">
        <w:t xml:space="preserve"> &amp; Jeffrey M. Wice, </w:t>
      </w:r>
      <w:r w:rsidRPr="00B806FD">
        <w:rPr>
          <w:i/>
          <w:iCs/>
        </w:rPr>
        <w:t>New York State Constitutional Amendment Explainer</w:t>
      </w:r>
      <w:r w:rsidRPr="00B806FD">
        <w:t xml:space="preserve">, </w:t>
      </w:r>
      <w:r w:rsidRPr="00B806FD">
        <w:rPr>
          <w:smallCaps/>
        </w:rPr>
        <w:t>Redistricting Resources</w:t>
      </w:r>
      <w:r w:rsidRPr="00B806FD">
        <w:t xml:space="preserve"> 11 (2021); </w:t>
      </w:r>
      <w:r w:rsidRPr="00B806FD">
        <w:rPr>
          <w:smallCaps/>
        </w:rPr>
        <w:t>New York State Independent Redistricting Commission</w:t>
      </w:r>
      <w:r w:rsidRPr="00B806FD">
        <w:t>, https://www.nyirc.gov/about [https://perma.cc/T24N-NG8T] (last visited Dec. 24, 2022) (providing background on the Commission).</w:t>
      </w:r>
    </w:p>
  </w:footnote>
  <w:footnote w:id="214">
    <w:p w14:paraId="639C76F6" w14:textId="103005C5"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t>N.Y. Const. art. III, § 4(c).</w:t>
      </w:r>
    </w:p>
  </w:footnote>
  <w:footnote w:id="215">
    <w:p w14:paraId="048CA0C0" w14:textId="1D5A0CE4"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rPr>
          <w:i/>
          <w:iCs/>
        </w:rPr>
        <w:t>See</w:t>
      </w:r>
      <w:r w:rsidRPr="00B806FD">
        <w:rPr>
          <w:i/>
        </w:rPr>
        <w:t xml:space="preserve"> </w:t>
      </w:r>
      <w:r w:rsidRPr="00B806FD">
        <w:t>N.Y. Const. art. III, § 5-b(a).</w:t>
      </w:r>
    </w:p>
  </w:footnote>
  <w:footnote w:id="216">
    <w:p w14:paraId="21FF9003" w14:textId="22AD54C1"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t>N.Y. Const. art. III, § 5-b(g).</w:t>
      </w:r>
    </w:p>
  </w:footnote>
  <w:footnote w:id="217">
    <w:p w14:paraId="644487A6" w14:textId="3EA90082" w:rsidR="00114B20" w:rsidRPr="00B806FD" w:rsidRDefault="00114B20" w:rsidP="00B806FD">
      <w:pPr>
        <w:pStyle w:val="FootnoteText"/>
        <w:rPr>
          <w:i/>
          <w:iCs/>
        </w:rPr>
      </w:pPr>
      <w:r w:rsidRPr="00B806FD">
        <w:rPr>
          <w:rStyle w:val="FootnoteReference"/>
        </w:rPr>
        <w:footnoteRef/>
      </w:r>
      <w:r w:rsidRPr="00B806FD">
        <w:t xml:space="preserve"> </w:t>
      </w:r>
      <w:r w:rsidR="001C4C87" w:rsidRPr="00B806FD">
        <w:tab/>
      </w:r>
      <w:r w:rsidRPr="00B806FD">
        <w:rPr>
          <w:i/>
          <w:iCs/>
        </w:rPr>
        <w:t>I</w:t>
      </w:r>
      <w:ins w:id="512" w:author="Jonathan Cervas" w:date="2023-06-23T14:46:00Z">
        <w:r w:rsidR="0060108E">
          <w:rPr>
            <w:i/>
            <w:iCs/>
          </w:rPr>
          <w:t>bi</w:t>
        </w:r>
      </w:ins>
      <w:r w:rsidRPr="00B806FD">
        <w:rPr>
          <w:i/>
          <w:iCs/>
        </w:rPr>
        <w:t>d.</w:t>
      </w:r>
    </w:p>
  </w:footnote>
  <w:footnote w:id="218">
    <w:p w14:paraId="3414CCDD" w14:textId="453B2A8B"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rPr>
          <w:i/>
          <w:iCs/>
        </w:rPr>
        <w:t>Redistricting in New York After the 2020 Census</w:t>
      </w:r>
      <w:r w:rsidRPr="00B806FD">
        <w:t xml:space="preserve">, </w:t>
      </w:r>
      <w:r w:rsidRPr="00B806FD">
        <w:rPr>
          <w:smallCaps/>
        </w:rPr>
        <w:t>Ballotpedia</w:t>
      </w:r>
      <w:r w:rsidRPr="00B806FD">
        <w:t>, https://ballotpedia.org/Redistricting_in_New_York_after_the_2020_census [https://perma.cc/C7RR-48YW] (last visited Dec. 23, 2022).</w:t>
      </w:r>
    </w:p>
  </w:footnote>
  <w:footnote w:id="219">
    <w:p w14:paraId="1D0400CC" w14:textId="690F409D" w:rsidR="00114B20" w:rsidRPr="0060108E" w:rsidRDefault="00114B20" w:rsidP="00B806FD">
      <w:pPr>
        <w:pStyle w:val="FootnoteText"/>
      </w:pPr>
      <w:r w:rsidRPr="00B806FD">
        <w:rPr>
          <w:rStyle w:val="FootnoteReference"/>
        </w:rPr>
        <w:footnoteRef/>
      </w:r>
      <w:r w:rsidRPr="00B806FD">
        <w:t xml:space="preserve"> </w:t>
      </w:r>
      <w:r w:rsidR="001C4C87" w:rsidRPr="00B806FD">
        <w:tab/>
      </w:r>
      <w:r w:rsidRPr="00B806FD">
        <w:t xml:space="preserve">U.S. Census Bureau, </w:t>
      </w:r>
      <w:r w:rsidRPr="00B806FD">
        <w:rPr>
          <w:i/>
          <w:iCs/>
        </w:rPr>
        <w:t>supra</w:t>
      </w:r>
      <w:r w:rsidRPr="00B806FD">
        <w:t xml:space="preserve"> note 138; Shane Goldmacher, </w:t>
      </w:r>
      <w:proofErr w:type="gramStart"/>
      <w:r w:rsidRPr="00B806FD">
        <w:rPr>
          <w:i/>
          <w:iCs/>
        </w:rPr>
        <w:t>After</w:t>
      </w:r>
      <w:proofErr w:type="gramEnd"/>
      <w:r w:rsidRPr="00B806FD">
        <w:rPr>
          <w:i/>
          <w:iCs/>
        </w:rPr>
        <w:t xml:space="preserve"> 2020 Count, New York Narrowly Loses Some Clout</w:t>
      </w:r>
      <w:r w:rsidRPr="00B806FD">
        <w:t xml:space="preserve">, </w:t>
      </w:r>
      <w:r w:rsidRPr="00B806FD">
        <w:rPr>
          <w:smallCaps/>
        </w:rPr>
        <w:t>N.Y. Times</w:t>
      </w:r>
      <w:r w:rsidRPr="00B806FD">
        <w:t>, Apr. 27, 2021, at 18, https://www.nytimes.com/2021/04/26/nyregion/new-york-census-congress.html [https://perma.cc/Q3TH-STGJ].</w:t>
      </w:r>
      <w:ins w:id="513" w:author="Jonathan Cervas" w:date="2023-06-23T14:48:00Z">
        <w:r w:rsidR="0060108E">
          <w:t xml:space="preserve"> </w:t>
        </w:r>
        <w:r w:rsidR="0060108E">
          <w:rPr>
            <w:i/>
            <w:iCs/>
          </w:rPr>
          <w:t>See also</w:t>
        </w:r>
        <w:r w:rsidR="0060108E">
          <w:t xml:space="preserve"> Jonathan Cervas &amp; Bernard Grofman, </w:t>
        </w:r>
        <w:r w:rsidR="0060108E">
          <w:rPr>
            <w:i/>
            <w:iCs/>
          </w:rPr>
          <w:t>The unanticipated effect of COVID‐19 on house apportionment</w:t>
        </w:r>
        <w:r w:rsidR="0060108E">
          <w:t xml:space="preserve">, 102 </w:t>
        </w:r>
        <w:r w:rsidR="0060108E">
          <w:rPr>
            <w:smallCaps/>
          </w:rPr>
          <w:t xml:space="preserve">Social </w:t>
        </w:r>
        <w:proofErr w:type="gramStart"/>
        <w:r w:rsidR="0060108E">
          <w:rPr>
            <w:smallCaps/>
          </w:rPr>
          <w:t>Science</w:t>
        </w:r>
        <w:proofErr w:type="gramEnd"/>
        <w:r w:rsidR="0060108E">
          <w:rPr>
            <w:smallCaps/>
          </w:rPr>
          <w:t xml:space="preserve"> Quarterly</w:t>
        </w:r>
        <w:r w:rsidR="0060108E">
          <w:t xml:space="preserve"> 2432–2434 (2021).</w:t>
        </w:r>
      </w:ins>
    </w:p>
  </w:footnote>
  <w:footnote w:id="220">
    <w:p w14:paraId="3D9F42AA" w14:textId="2C417C10"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t xml:space="preserve">Nicholas </w:t>
      </w:r>
      <w:proofErr w:type="spellStart"/>
      <w:r w:rsidRPr="00B806FD">
        <w:t>Fandos</w:t>
      </w:r>
      <w:proofErr w:type="spellEnd"/>
      <w:r w:rsidRPr="00B806FD">
        <w:t xml:space="preserve">, Luis </w:t>
      </w:r>
      <w:proofErr w:type="spellStart"/>
      <w:r w:rsidRPr="00B806FD">
        <w:t>Ferré-Sadurní</w:t>
      </w:r>
      <w:proofErr w:type="spellEnd"/>
      <w:r w:rsidRPr="00B806FD">
        <w:t xml:space="preserve"> &amp; Grace Ashford, </w:t>
      </w:r>
      <w:r w:rsidRPr="00B806FD">
        <w:rPr>
          <w:i/>
          <w:iCs/>
        </w:rPr>
        <w:t>A ‘Master Class’ in Gerrymandering, This Time Led by N.Y. Democrats</w:t>
      </w:r>
      <w:r w:rsidRPr="00B806FD">
        <w:t xml:space="preserve">, </w:t>
      </w:r>
      <w:r w:rsidRPr="00B806FD">
        <w:rPr>
          <w:smallCaps/>
        </w:rPr>
        <w:t>N.Y. Times</w:t>
      </w:r>
      <w:r w:rsidRPr="00B806FD">
        <w:t>, (Feb. 2, 2022), https://www.nytimes.com/2022/02/02/nyregion/redistricting-gerrymandering-ny.html [https://perma.cc/N7RZ-NFMR].</w:t>
      </w:r>
    </w:p>
  </w:footnote>
  <w:footnote w:id="221">
    <w:p w14:paraId="21CD4236" w14:textId="576E8D5A" w:rsidR="00114B20" w:rsidRPr="00B806FD" w:rsidRDefault="00114B20" w:rsidP="00B806FD">
      <w:pPr>
        <w:pStyle w:val="FootnoteText"/>
      </w:pPr>
      <w:r w:rsidRPr="00B806FD">
        <w:rPr>
          <w:rStyle w:val="FootnoteReference"/>
        </w:rPr>
        <w:footnoteRef/>
      </w:r>
      <w:r w:rsidR="001C4C87" w:rsidRPr="00B806FD">
        <w:t xml:space="preserve"> </w:t>
      </w:r>
      <w:r w:rsidR="001C4C87" w:rsidRPr="00B806FD">
        <w:tab/>
      </w:r>
      <w:del w:id="514" w:author="Jonathan Cervas" w:date="2023-06-23T14:49:00Z">
        <w:r w:rsidRPr="00B806FD" w:rsidDel="0060108E">
          <w:delText xml:space="preserve">Matter of </w:delText>
        </w:r>
      </w:del>
      <w:proofErr w:type="spellStart"/>
      <w:ins w:id="515" w:author="Jonathan Cervas" w:date="2023-06-23T15:06:00Z">
        <w:r w:rsidR="00DE4155" w:rsidRPr="00DE4155">
          <w:rPr>
            <w:i/>
            <w:iCs/>
          </w:rPr>
          <w:t>Harkenrider</w:t>
        </w:r>
        <w:proofErr w:type="spellEnd"/>
        <w:r w:rsidR="00DE4155" w:rsidRPr="00DE4155">
          <w:rPr>
            <w:i/>
            <w:iCs/>
          </w:rPr>
          <w:t xml:space="preserve"> v. </w:t>
        </w:r>
        <w:proofErr w:type="spellStart"/>
        <w:r w:rsidR="00DE4155" w:rsidRPr="00DE4155">
          <w:rPr>
            <w:i/>
            <w:iCs/>
          </w:rPr>
          <w:t>Hochul</w:t>
        </w:r>
        <w:proofErr w:type="spellEnd"/>
        <w:r w:rsidR="00DE4155" w:rsidRPr="00DE4155">
          <w:rPr>
            <w:i/>
            <w:iCs/>
          </w:rPr>
          <w:t xml:space="preserve">, </w:t>
        </w:r>
        <w:r w:rsidR="00DE4155" w:rsidRPr="00DE4155">
          <w:rPr>
            <w:rPrChange w:id="516" w:author="Jonathan Cervas" w:date="2023-06-23T15:06:00Z">
              <w:rPr>
                <w:i/>
                <w:iCs/>
              </w:rPr>
            </w:rPrChange>
          </w:rPr>
          <w:t>197 N.E.3d 437, 442 (2022)</w:t>
        </w:r>
      </w:ins>
      <w:del w:id="517" w:author="Jonathan Cervas" w:date="2023-06-23T15:06:00Z">
        <w:r w:rsidRPr="0060108E" w:rsidDel="00DE4155">
          <w:rPr>
            <w:i/>
            <w:iCs/>
            <w:rPrChange w:id="518" w:author="Jonathan Cervas" w:date="2023-06-23T14:49:00Z">
              <w:rPr/>
            </w:rPrChange>
          </w:rPr>
          <w:delText>Harkenrider v. Hochul</w:delText>
        </w:r>
        <w:r w:rsidRPr="00B806FD" w:rsidDel="00DE4155">
          <w:delText>, No. 02833, slip op. at 3 (N.Y. Apr. 27. 2022)</w:delText>
        </w:r>
      </w:del>
      <w:r w:rsidRPr="00B806FD">
        <w:t xml:space="preserve">; Nicholas Fandos, </w:t>
      </w:r>
      <w:r w:rsidRPr="00B806FD">
        <w:rPr>
          <w:i/>
          <w:iCs/>
        </w:rPr>
        <w:t>Democrats Lose Control of N.Y. Election Maps, as Top Court Rejects Appeal</w:t>
      </w:r>
      <w:r w:rsidRPr="00B806FD">
        <w:t xml:space="preserve">, </w:t>
      </w:r>
      <w:r w:rsidRPr="00B806FD">
        <w:rPr>
          <w:smallCaps/>
        </w:rPr>
        <w:t>N.Y. Times</w:t>
      </w:r>
      <w:r w:rsidRPr="00B806FD">
        <w:t xml:space="preserve"> (Apr. 27, 2022), https://www.nytimes.com/2022/04/27/nyregion/redistricting-congress-gerrymander-ny.html [https://perma.cc/L7ND-S3H5].</w:t>
      </w:r>
    </w:p>
  </w:footnote>
  <w:footnote w:id="222">
    <w:p w14:paraId="5A71CBE9" w14:textId="7789900C" w:rsidR="00114B20" w:rsidRPr="00B806FD" w:rsidRDefault="00114B20" w:rsidP="00B806FD">
      <w:pPr>
        <w:pStyle w:val="FootnoteText"/>
      </w:pPr>
      <w:r w:rsidRPr="00B806FD">
        <w:rPr>
          <w:rStyle w:val="FootnoteReference"/>
        </w:rPr>
        <w:footnoteRef/>
      </w:r>
      <w:r w:rsidRPr="00B806FD">
        <w:t xml:space="preserve"> </w:t>
      </w:r>
      <w:r w:rsidR="001C4C87" w:rsidRPr="00B806FD">
        <w:tab/>
      </w:r>
      <w:del w:id="519" w:author="Jonathan Cervas" w:date="2023-06-23T14:49:00Z">
        <w:r w:rsidRPr="00B806FD" w:rsidDel="0060108E">
          <w:delText xml:space="preserve">Matter of </w:delText>
        </w:r>
      </w:del>
      <w:del w:id="520" w:author="Jonathan Cervas" w:date="2023-06-23T14:55:00Z">
        <w:r w:rsidRPr="0060108E" w:rsidDel="0060108E">
          <w:rPr>
            <w:i/>
            <w:iCs/>
            <w:rPrChange w:id="521" w:author="Jonathan Cervas" w:date="2023-06-23T14:50:00Z">
              <w:rPr/>
            </w:rPrChange>
          </w:rPr>
          <w:delText>Harkenrider</w:delText>
        </w:r>
      </w:del>
      <w:del w:id="522" w:author="Jonathan Cervas" w:date="2023-06-23T14:50:00Z">
        <w:r w:rsidRPr="00B806FD" w:rsidDel="0060108E">
          <w:delText xml:space="preserve"> v. Hochul, No. 02833</w:delText>
        </w:r>
      </w:del>
      <w:del w:id="523" w:author="Jonathan Cervas" w:date="2023-06-23T14:55:00Z">
        <w:r w:rsidRPr="00B806FD" w:rsidDel="0060108E">
          <w:delText>, slip op. at 1-2 (N.Y. Apr. 27, 2022).</w:delText>
        </w:r>
      </w:del>
      <w:proofErr w:type="spellStart"/>
      <w:ins w:id="524" w:author="Jonathan Cervas" w:date="2023-06-23T14:55:00Z">
        <w:r w:rsidR="0060108E" w:rsidRPr="008C1524">
          <w:rPr>
            <w:i/>
            <w:iCs/>
            <w:rPrChange w:id="525" w:author="Jonathan Cervas" w:date="2023-06-29T16:58:00Z">
              <w:rPr/>
            </w:rPrChange>
          </w:rPr>
          <w:t>Harkenrider</w:t>
        </w:r>
      </w:ins>
      <w:proofErr w:type="spellEnd"/>
      <w:ins w:id="526" w:author="Jonathan Cervas" w:date="2023-06-29T16:59:00Z">
        <w:r w:rsidR="008C1524">
          <w:rPr>
            <w:i/>
            <w:iCs/>
          </w:rPr>
          <w:t>,</w:t>
        </w:r>
      </w:ins>
      <w:ins w:id="527" w:author="Jonathan Cervas" w:date="2023-06-23T15:19:00Z">
        <w:r w:rsidR="00A810D7">
          <w:t xml:space="preserve"> </w:t>
        </w:r>
      </w:ins>
      <w:ins w:id="528" w:author="Jonathan Cervas" w:date="2023-06-29T16:59:00Z">
        <w:r w:rsidR="008C1524" w:rsidRPr="00FC1D58">
          <w:t xml:space="preserve">197 N.E.3d </w:t>
        </w:r>
      </w:ins>
      <w:ins w:id="529" w:author="Jonathan Cervas" w:date="2023-06-23T15:19:00Z">
        <w:r w:rsidR="00A810D7">
          <w:t>at</w:t>
        </w:r>
      </w:ins>
      <w:ins w:id="530" w:author="Jonathan Cervas" w:date="2023-06-23T14:55:00Z">
        <w:r w:rsidR="0060108E" w:rsidRPr="0060108E">
          <w:t xml:space="preserve"> 449–50</w:t>
        </w:r>
      </w:ins>
      <w:ins w:id="531" w:author="Jonathan Cervas" w:date="2023-06-23T14:56:00Z">
        <w:r w:rsidR="0060108E">
          <w:t>.</w:t>
        </w:r>
      </w:ins>
    </w:p>
  </w:footnote>
  <w:footnote w:id="223">
    <w:p w14:paraId="5AA88F9F" w14:textId="7523BF84" w:rsidR="00114B20" w:rsidRPr="00B806FD" w:rsidRDefault="00114B20" w:rsidP="00B806FD">
      <w:pPr>
        <w:pStyle w:val="FootnoteText"/>
      </w:pPr>
      <w:r w:rsidRPr="00B806FD">
        <w:rPr>
          <w:rStyle w:val="FootnoteReference"/>
        </w:rPr>
        <w:footnoteRef/>
      </w:r>
      <w:r w:rsidRPr="00B806FD">
        <w:t xml:space="preserve"> </w:t>
      </w:r>
      <w:r w:rsidR="001C4C87" w:rsidRPr="00B806FD">
        <w:tab/>
      </w:r>
      <w:ins w:id="537" w:author="Jonathan Cervas" w:date="2023-06-23T15:05:00Z">
        <w:r w:rsidR="00DE4155">
          <w:rPr>
            <w:i/>
            <w:iCs/>
          </w:rPr>
          <w:t>Id.</w:t>
        </w:r>
        <w:r w:rsidR="00DE4155">
          <w:t xml:space="preserve"> at</w:t>
        </w:r>
      </w:ins>
      <w:ins w:id="538" w:author="Jonathan Cervas" w:date="2023-06-23T15:01:00Z">
        <w:r w:rsidR="00453292" w:rsidRPr="00453292">
          <w:rPr>
            <w:rPrChange w:id="539" w:author="Jonathan Cervas" w:date="2023-06-23T15:02:00Z">
              <w:rPr>
                <w:i/>
                <w:iCs/>
              </w:rPr>
            </w:rPrChange>
          </w:rPr>
          <w:t xml:space="preserve"> 449</w:t>
        </w:r>
      </w:ins>
      <w:ins w:id="540" w:author="Jonathan Cervas" w:date="2023-06-23T15:02:00Z">
        <w:r w:rsidR="00453292">
          <w:t>.</w:t>
        </w:r>
      </w:ins>
      <w:del w:id="541" w:author="Jonathan Cervas" w:date="2023-06-23T15:01:00Z">
        <w:r w:rsidRPr="00B806FD" w:rsidDel="00453292">
          <w:rPr>
            <w:i/>
            <w:iCs/>
          </w:rPr>
          <w:delText>Id.</w:delText>
        </w:r>
        <w:r w:rsidRPr="00B806FD" w:rsidDel="00453292">
          <w:delText xml:space="preserve"> at 8.</w:delText>
        </w:r>
      </w:del>
      <w:ins w:id="542" w:author="Jonathan Cervas" w:date="2023-06-24T15:24:00Z">
        <w:r w:rsidR="007B6EDF">
          <w:t xml:space="preserve"> </w:t>
        </w:r>
        <w:r w:rsidR="007B6EDF" w:rsidRPr="0060108E">
          <w:t>(</w:t>
        </w:r>
      </w:ins>
      <w:ins w:id="543" w:author="Jonathan Cervas" w:date="2023-06-24T15:25:00Z">
        <w:r w:rsidR="007B6EDF">
          <w:t xml:space="preserve">saying </w:t>
        </w:r>
      </w:ins>
      <w:ins w:id="544" w:author="Jonathan Cervas" w:date="2023-06-24T15:24:00Z">
        <w:r w:rsidR="007B6EDF" w:rsidRPr="0060108E">
          <w:t>"Contrary to the State respondents’ contentions, the detailed amendments leave no room for legislative discretion regarding the particulars of implementation; this is not a scenario where the Constitution fails to provide “specific guidance” or is “</w:t>
        </w:r>
        <w:proofErr w:type="spellStart"/>
        <w:r w:rsidR="007B6EDF" w:rsidRPr="0060108E">
          <w:t>silen</w:t>
        </w:r>
        <w:proofErr w:type="spellEnd"/>
        <w:r w:rsidR="007B6EDF" w:rsidRPr="0060108E">
          <w:t>[t] on the issue”</w:t>
        </w:r>
      </w:ins>
      <w:ins w:id="545" w:author="Jonathan Cervas" w:date="2023-06-24T15:25:00Z">
        <w:r w:rsidR="007B6EDF">
          <w:t>.</w:t>
        </w:r>
      </w:ins>
      <w:ins w:id="546" w:author="Jonathan Cervas" w:date="2023-06-24T15:24:00Z">
        <w:r w:rsidR="007B6EDF" w:rsidRPr="0060108E">
          <w:t>")</w:t>
        </w:r>
      </w:ins>
      <w:ins w:id="547" w:author="Jonathan Cervas" w:date="2023-06-24T15:25:00Z">
        <w:r w:rsidR="007B6EDF">
          <w:t>.</w:t>
        </w:r>
      </w:ins>
    </w:p>
  </w:footnote>
  <w:footnote w:id="224">
    <w:p w14:paraId="0F9AA8C5" w14:textId="08D80784" w:rsidR="00114B20" w:rsidRPr="00B806FD" w:rsidRDefault="00114B20" w:rsidP="00B806FD">
      <w:pPr>
        <w:pStyle w:val="FootnoteText"/>
      </w:pPr>
      <w:r w:rsidRPr="00B806FD">
        <w:rPr>
          <w:rStyle w:val="FootnoteReference"/>
        </w:rPr>
        <w:footnoteRef/>
      </w:r>
      <w:r w:rsidRPr="00B806FD">
        <w:t xml:space="preserve"> </w:t>
      </w:r>
      <w:r w:rsidR="001C4C87" w:rsidRPr="00B806FD">
        <w:tab/>
      </w:r>
      <w:ins w:id="548" w:author="Jonathan Cervas" w:date="2023-06-24T15:29:00Z">
        <w:r w:rsidR="007B6EDF">
          <w:rPr>
            <w:i/>
            <w:iCs/>
          </w:rPr>
          <w:t>Id.</w:t>
        </w:r>
      </w:ins>
      <w:ins w:id="549" w:author="Jonathan Cervas" w:date="2023-06-23T15:01:00Z">
        <w:r w:rsidR="00453292">
          <w:t xml:space="preserve"> at </w:t>
        </w:r>
      </w:ins>
      <w:ins w:id="550" w:author="Jonathan Cervas" w:date="2023-06-23T15:00:00Z">
        <w:r w:rsidR="00453292" w:rsidRPr="00A23E47">
          <w:t>454</w:t>
        </w:r>
        <w:r w:rsidR="00453292">
          <w:t>.</w:t>
        </w:r>
        <w:r w:rsidR="00453292" w:rsidRPr="00453292">
          <w:t xml:space="preserve"> </w:t>
        </w:r>
        <w:r w:rsidR="00453292" w:rsidRPr="00453292">
          <w:rPr>
            <w:rPrChange w:id="551" w:author="Jonathan Cervas" w:date="2023-06-23T15:00:00Z">
              <w:rPr>
                <w:i/>
                <w:iCs/>
              </w:rPr>
            </w:rPrChange>
          </w:rPr>
          <w:t xml:space="preserve">("[T]he enactment of the congressional and senate maps by the legislature was procedurally unconstitutional, and the congressional map is also substantively unconstitutional as drawn with impermissible partisan purpose...")  </w:t>
        </w:r>
      </w:ins>
      <w:del w:id="552" w:author="Jonathan Cervas" w:date="2023-06-23T15:00:00Z">
        <w:r w:rsidRPr="00B806FD" w:rsidDel="00453292">
          <w:rPr>
            <w:i/>
            <w:iCs/>
          </w:rPr>
          <w:delText>Id.</w:delText>
        </w:r>
        <w:r w:rsidRPr="00B806FD" w:rsidDel="00453292">
          <w:delText xml:space="preserve"> at 1.</w:delText>
        </w:r>
      </w:del>
    </w:p>
  </w:footnote>
  <w:footnote w:id="225">
    <w:p w14:paraId="3B495785" w14:textId="46BD634F" w:rsidR="00114B20" w:rsidRPr="00B806FD" w:rsidRDefault="00114B20" w:rsidP="00B806FD">
      <w:pPr>
        <w:pStyle w:val="FootnoteText"/>
      </w:pPr>
      <w:r w:rsidRPr="00B806FD">
        <w:rPr>
          <w:rStyle w:val="FootnoteReference"/>
        </w:rPr>
        <w:footnoteRef/>
      </w:r>
      <w:r w:rsidRPr="00B806FD">
        <w:t xml:space="preserve"> </w:t>
      </w:r>
      <w:r w:rsidR="001C4C87" w:rsidRPr="00B806FD">
        <w:tab/>
      </w:r>
      <w:ins w:id="553" w:author="Jonathan Cervas" w:date="2023-06-23T15:03:00Z">
        <w:r w:rsidR="00453292" w:rsidRPr="00453292">
          <w:rPr>
            <w:i/>
            <w:iCs/>
            <w:rPrChange w:id="554" w:author="Jonathan Cervas" w:date="2023-06-23T15:03:00Z">
              <w:rPr/>
            </w:rPrChange>
          </w:rPr>
          <w:t>Id</w:t>
        </w:r>
        <w:r w:rsidR="00453292">
          <w:t>. at</w:t>
        </w:r>
      </w:ins>
      <w:ins w:id="555" w:author="Jonathan Cervas" w:date="2023-06-23T15:02:00Z">
        <w:r w:rsidR="00453292" w:rsidRPr="00453292">
          <w:rPr>
            <w:rPrChange w:id="556" w:author="Jonathan Cervas" w:date="2023-06-23T15:02:00Z">
              <w:rPr>
                <w:i/>
                <w:iCs/>
              </w:rPr>
            </w:rPrChange>
          </w:rPr>
          <w:t xml:space="preserve"> 453</w:t>
        </w:r>
      </w:ins>
      <w:del w:id="557" w:author="Jonathan Cervas" w:date="2023-06-23T15:02:00Z">
        <w:r w:rsidRPr="00453292" w:rsidDel="00453292">
          <w:rPr>
            <w:rPrChange w:id="558" w:author="Jonathan Cervas" w:date="2023-06-23T15:02:00Z">
              <w:rPr>
                <w:i/>
                <w:iCs/>
              </w:rPr>
            </w:rPrChange>
          </w:rPr>
          <w:delText>Id</w:delText>
        </w:r>
        <w:r w:rsidRPr="00B806FD" w:rsidDel="00453292">
          <w:rPr>
            <w:i/>
            <w:iCs/>
          </w:rPr>
          <w:delText>.</w:delText>
        </w:r>
        <w:r w:rsidRPr="00B806FD" w:rsidDel="00453292">
          <w:delText xml:space="preserve"> at 10.</w:delText>
        </w:r>
      </w:del>
    </w:p>
  </w:footnote>
  <w:footnote w:id="226">
    <w:p w14:paraId="07AF6DE0" w14:textId="0981AF28"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t xml:space="preserve">Disclosure: Jonathan Cervas served as the special master in </w:t>
      </w:r>
      <w:proofErr w:type="spellStart"/>
      <w:r w:rsidRPr="00B806FD">
        <w:rPr>
          <w:i/>
          <w:iCs/>
        </w:rPr>
        <w:t>Harkenrider</w:t>
      </w:r>
      <w:proofErr w:type="spellEnd"/>
      <w:r w:rsidRPr="00B806FD">
        <w:t>.  Bernard Grofman served as a consultant to the special master</w:t>
      </w:r>
      <w:ins w:id="559" w:author="Jonathan Cervas" w:date="2023-06-23T15:03:00Z">
        <w:r w:rsidR="00453292">
          <w:t>.</w:t>
        </w:r>
      </w:ins>
    </w:p>
  </w:footnote>
  <w:footnote w:id="227">
    <w:p w14:paraId="550A588B" w14:textId="2B0587BD" w:rsidR="009563A6" w:rsidRPr="00B806FD" w:rsidRDefault="009563A6" w:rsidP="00B806FD">
      <w:pPr>
        <w:pStyle w:val="FootnoteText"/>
      </w:pPr>
      <w:r w:rsidRPr="00B806FD">
        <w:rPr>
          <w:rStyle w:val="FootnoteReference"/>
        </w:rPr>
        <w:footnoteRef/>
      </w:r>
      <w:r w:rsidRPr="00B806FD">
        <w:t xml:space="preserve"> </w:t>
      </w:r>
      <w:r w:rsidRPr="00B806FD">
        <w:tab/>
        <w:t xml:space="preserve">Levitt, </w:t>
      </w:r>
      <w:r w:rsidRPr="00B806FD">
        <w:rPr>
          <w:i/>
          <w:iCs/>
        </w:rPr>
        <w:t>supra</w:t>
      </w:r>
      <w:r w:rsidRPr="00B806FD">
        <w:t xml:space="preserve"> note</w:t>
      </w:r>
      <w:del w:id="560" w:author="Jonathan Cervas" w:date="2023-06-23T15:27:00Z">
        <w:r w:rsidRPr="00B806FD" w:rsidDel="00A810D7">
          <w:delText xml:space="preserve"> </w:delText>
        </w:r>
      </w:del>
      <w:ins w:id="561" w:author="Jonathan Cervas" w:date="2023-06-23T15:27:00Z">
        <w:r w:rsidR="00A810D7">
          <w:fldChar w:fldCharType="begin"/>
        </w:r>
        <w:r w:rsidR="00A810D7">
          <w:instrText xml:space="preserve"> NOTEREF _Ref138175261 \h </w:instrText>
        </w:r>
      </w:ins>
      <w:r w:rsidR="00A810D7">
        <w:fldChar w:fldCharType="separate"/>
      </w:r>
      <w:ins w:id="562" w:author="Jonathan Cervas" w:date="2023-06-23T15:27:00Z">
        <w:r w:rsidR="00A810D7">
          <w:t>3</w:t>
        </w:r>
        <w:r w:rsidR="00A810D7">
          <w:fldChar w:fldCharType="end"/>
        </w:r>
      </w:ins>
      <w:del w:id="563" w:author="Jonathan Cervas" w:date="2023-06-23T15:27:00Z">
        <w:r w:rsidRPr="00B806FD" w:rsidDel="00A810D7">
          <w:delText>134</w:delText>
        </w:r>
      </w:del>
      <w:r w:rsidRPr="00B806FD">
        <w:t>.</w:t>
      </w:r>
    </w:p>
  </w:footnote>
  <w:footnote w:id="228">
    <w:p w14:paraId="08F3BACB" w14:textId="47B89262" w:rsidR="009563A6" w:rsidRPr="00B806FD" w:rsidRDefault="009563A6" w:rsidP="00B806FD">
      <w:pPr>
        <w:pStyle w:val="FootnoteText"/>
      </w:pPr>
      <w:r w:rsidRPr="00B806FD">
        <w:rPr>
          <w:rStyle w:val="FootnoteReference"/>
        </w:rPr>
        <w:footnoteRef/>
      </w:r>
      <w:r w:rsidRPr="00B806FD">
        <w:t xml:space="preserve"> </w:t>
      </w:r>
      <w:r w:rsidRPr="00B806FD">
        <w:tab/>
        <w:t xml:space="preserve">Andrew Prokop, </w:t>
      </w:r>
      <w:r w:rsidRPr="00B806FD">
        <w:rPr>
          <w:i/>
          <w:iCs/>
        </w:rPr>
        <w:t>Ohio’s Gerrymandering Reform Was Just Approved by the State’s Voters</w:t>
      </w:r>
      <w:r w:rsidRPr="00B806FD">
        <w:t xml:space="preserve">, </w:t>
      </w:r>
      <w:r w:rsidRPr="00B806FD">
        <w:rPr>
          <w:smallCaps/>
        </w:rPr>
        <w:t>Vox</w:t>
      </w:r>
      <w:r w:rsidRPr="00B806FD">
        <w:t xml:space="preserve"> (May 8, 2018), https://www.vox.com/2018/5/7/17302388/ohio-issue-1-gerrymandering-redistricting [https://perma.cc/24HN-GL8X].</w:t>
      </w:r>
    </w:p>
  </w:footnote>
  <w:footnote w:id="229">
    <w:p w14:paraId="0951BF9D" w14:textId="58CC65C2" w:rsidR="009563A6" w:rsidRPr="00B806FD" w:rsidRDefault="009563A6" w:rsidP="00B806FD">
      <w:pPr>
        <w:pStyle w:val="FootnoteText"/>
      </w:pPr>
      <w:r w:rsidRPr="00B806FD">
        <w:rPr>
          <w:rStyle w:val="FootnoteReference"/>
        </w:rPr>
        <w:footnoteRef/>
      </w:r>
      <w:r w:rsidRPr="00B806FD">
        <w:t xml:space="preserve"> </w:t>
      </w:r>
      <w:r w:rsidRPr="00B806FD">
        <w:tab/>
        <w:t>Oh. Const. art. XIX, § 1(A).</w:t>
      </w:r>
    </w:p>
  </w:footnote>
  <w:footnote w:id="230">
    <w:p w14:paraId="2030908D" w14:textId="7921B22E" w:rsidR="009563A6" w:rsidRPr="00B806FD" w:rsidRDefault="009563A6" w:rsidP="00B806FD">
      <w:pPr>
        <w:pStyle w:val="FootnoteText"/>
        <w:rPr>
          <w:i/>
          <w:iCs/>
        </w:rPr>
      </w:pPr>
      <w:r w:rsidRPr="00B806FD">
        <w:rPr>
          <w:rStyle w:val="FootnoteReference"/>
        </w:rPr>
        <w:footnoteRef/>
      </w:r>
      <w:r w:rsidRPr="00B806FD">
        <w:t xml:space="preserve"> </w:t>
      </w:r>
      <w:r w:rsidRPr="00B806FD">
        <w:tab/>
      </w:r>
      <w:r w:rsidRPr="00B806FD">
        <w:rPr>
          <w:i/>
          <w:iCs/>
        </w:rPr>
        <w:t>I</w:t>
      </w:r>
      <w:ins w:id="564" w:author="Jonathan Cervas" w:date="2023-06-23T15:29:00Z">
        <w:r w:rsidR="00A810D7">
          <w:rPr>
            <w:i/>
            <w:iCs/>
          </w:rPr>
          <w:t>bi</w:t>
        </w:r>
      </w:ins>
      <w:r w:rsidRPr="00B806FD">
        <w:rPr>
          <w:i/>
          <w:iCs/>
        </w:rPr>
        <w:t>d.</w:t>
      </w:r>
    </w:p>
  </w:footnote>
  <w:footnote w:id="231">
    <w:p w14:paraId="022632A4" w14:textId="36CEF2F0" w:rsidR="009563A6" w:rsidRPr="00B806FD" w:rsidRDefault="009563A6" w:rsidP="00B806FD">
      <w:pPr>
        <w:pStyle w:val="FootnoteText"/>
      </w:pPr>
      <w:r w:rsidRPr="00B806FD">
        <w:rPr>
          <w:rStyle w:val="FootnoteReference"/>
        </w:rPr>
        <w:footnoteRef/>
      </w:r>
      <w:r w:rsidRPr="00B806FD">
        <w:t xml:space="preserve"> </w:t>
      </w:r>
      <w:r w:rsidRPr="00B806FD">
        <w:tab/>
      </w:r>
      <w:r w:rsidRPr="00B806FD">
        <w:rPr>
          <w:i/>
          <w:iCs/>
        </w:rPr>
        <w:t>I</w:t>
      </w:r>
      <w:ins w:id="565" w:author="Jonathan Cervas" w:date="2023-06-23T15:29:00Z">
        <w:r w:rsidR="00A810D7">
          <w:rPr>
            <w:i/>
            <w:iCs/>
          </w:rPr>
          <w:t>bi</w:t>
        </w:r>
      </w:ins>
      <w:r w:rsidRPr="00B806FD">
        <w:rPr>
          <w:i/>
          <w:iCs/>
        </w:rPr>
        <w:t>d.</w:t>
      </w:r>
    </w:p>
  </w:footnote>
  <w:footnote w:id="232">
    <w:p w14:paraId="0E7160A6" w14:textId="44B705BE" w:rsidR="009563A6" w:rsidRPr="00B806FD" w:rsidRDefault="009563A6" w:rsidP="00B806FD">
      <w:pPr>
        <w:pStyle w:val="FootnoteText"/>
        <w:rPr>
          <w:i/>
          <w:iCs/>
        </w:rPr>
      </w:pPr>
      <w:r w:rsidRPr="00B806FD">
        <w:rPr>
          <w:rStyle w:val="FootnoteReference"/>
        </w:rPr>
        <w:footnoteRef/>
      </w:r>
      <w:r w:rsidRPr="00B806FD">
        <w:t xml:space="preserve"> </w:t>
      </w:r>
      <w:r w:rsidRPr="00B806FD">
        <w:tab/>
      </w:r>
      <w:r w:rsidRPr="00B806FD">
        <w:rPr>
          <w:i/>
          <w:iCs/>
        </w:rPr>
        <w:t>I</w:t>
      </w:r>
      <w:ins w:id="566" w:author="Jonathan Cervas" w:date="2023-06-23T15:29:00Z">
        <w:r w:rsidR="00A810D7">
          <w:rPr>
            <w:i/>
            <w:iCs/>
          </w:rPr>
          <w:t>bi</w:t>
        </w:r>
      </w:ins>
      <w:r w:rsidRPr="00B806FD">
        <w:rPr>
          <w:i/>
          <w:iCs/>
        </w:rPr>
        <w:t>d.</w:t>
      </w:r>
    </w:p>
  </w:footnote>
  <w:footnote w:id="233">
    <w:p w14:paraId="2E957415" w14:textId="6C87AC0F" w:rsidR="009563A6" w:rsidRPr="00B806FD" w:rsidRDefault="009563A6" w:rsidP="00B806FD">
      <w:pPr>
        <w:pStyle w:val="FootnoteText"/>
      </w:pPr>
      <w:r w:rsidRPr="00B806FD">
        <w:rPr>
          <w:rStyle w:val="FootnoteReference"/>
        </w:rPr>
        <w:footnoteRef/>
      </w:r>
      <w:r w:rsidRPr="00B806FD">
        <w:t xml:space="preserve"> </w:t>
      </w:r>
      <w:r w:rsidRPr="00B806FD">
        <w:tab/>
        <w:t>Oh. Const. art. XIX, § 1(C)(3)(e) (</w:t>
      </w:r>
      <w:del w:id="567" w:author="Jonathan Cervas" w:date="2023-06-27T09:41:00Z">
        <w:r w:rsidRPr="00B806FD" w:rsidDel="00B56F5F">
          <w:delText xml:space="preserve"> </w:delText>
        </w:r>
      </w:del>
      <w:r w:rsidRPr="00B806FD">
        <w:t>providing “[</w:t>
      </w:r>
      <w:proofErr w:type="spellStart"/>
      <w:r w:rsidRPr="00B806FD">
        <w:t>i</w:t>
      </w:r>
      <w:proofErr w:type="spellEnd"/>
      <w:r w:rsidRPr="00B806FD">
        <w:t>]f the plan becomes law, the plan shall remain effective until two general elections for the United States house of representatives have occurred under the plan, except as provided in Section 3 of this article.”).</w:t>
      </w:r>
    </w:p>
  </w:footnote>
  <w:footnote w:id="234">
    <w:p w14:paraId="369327D1" w14:textId="2BE0BA87" w:rsidR="009563A6" w:rsidRPr="00B806FD" w:rsidRDefault="009563A6" w:rsidP="00B806FD">
      <w:pPr>
        <w:pStyle w:val="FootnoteText"/>
      </w:pPr>
      <w:r w:rsidRPr="00B806FD">
        <w:rPr>
          <w:rStyle w:val="FootnoteReference"/>
        </w:rPr>
        <w:footnoteRef/>
      </w:r>
      <w:r w:rsidRPr="00B806FD">
        <w:t xml:space="preserve"> </w:t>
      </w:r>
      <w:r w:rsidRPr="00B806FD">
        <w:tab/>
        <w:t>Oh. Const. art. XIX, § 1(C)(3).</w:t>
      </w:r>
    </w:p>
  </w:footnote>
  <w:footnote w:id="235">
    <w:p w14:paraId="466B3CC4" w14:textId="7D5EF692" w:rsidR="009563A6" w:rsidRPr="00B806FD" w:rsidRDefault="009563A6" w:rsidP="00B806FD">
      <w:pPr>
        <w:pStyle w:val="FootnoteText"/>
      </w:pPr>
      <w:r w:rsidRPr="00B806FD">
        <w:rPr>
          <w:rStyle w:val="FootnoteReference"/>
        </w:rPr>
        <w:footnoteRef/>
      </w:r>
      <w:r w:rsidRPr="00B806FD">
        <w:t xml:space="preserve"> </w:t>
      </w:r>
      <w:r w:rsidRPr="00B806FD">
        <w:tab/>
      </w:r>
      <w:r w:rsidRPr="00B806FD">
        <w:rPr>
          <w:i/>
          <w:iCs/>
        </w:rPr>
        <w:t>I</w:t>
      </w:r>
      <w:ins w:id="568" w:author="Jonathan Cervas" w:date="2023-06-28T17:15:00Z">
        <w:r w:rsidR="008032E2">
          <w:rPr>
            <w:i/>
            <w:iCs/>
          </w:rPr>
          <w:t>bi</w:t>
        </w:r>
      </w:ins>
      <w:r w:rsidRPr="00B806FD">
        <w:rPr>
          <w:i/>
          <w:iCs/>
        </w:rPr>
        <w:t>d</w:t>
      </w:r>
      <w:r w:rsidRPr="00B806FD">
        <w:t xml:space="preserve">. </w:t>
      </w:r>
    </w:p>
  </w:footnote>
  <w:footnote w:id="236">
    <w:p w14:paraId="1B06FBC1" w14:textId="024AF9A4" w:rsidR="009563A6" w:rsidRPr="00B806FD" w:rsidRDefault="009563A6" w:rsidP="00B806FD">
      <w:pPr>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t>Oh. Const. art. XIX, § 1(J) (stating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237">
    <w:p w14:paraId="75F4D8B4" w14:textId="57AAF2AB" w:rsidR="009563A6" w:rsidRPr="00B806FD" w:rsidRDefault="009563A6" w:rsidP="00B806FD">
      <w:pPr>
        <w:pStyle w:val="FootnoteText"/>
      </w:pPr>
      <w:r w:rsidRPr="00B806FD">
        <w:rPr>
          <w:rStyle w:val="FootnoteReference"/>
        </w:rPr>
        <w:footnoteRef/>
      </w:r>
      <w:r w:rsidRPr="00B806FD">
        <w:t xml:space="preserve"> </w:t>
      </w:r>
      <w:r w:rsidRPr="00B806FD">
        <w:tab/>
        <w:t xml:space="preserve">Julie </w:t>
      </w:r>
      <w:proofErr w:type="spellStart"/>
      <w:r w:rsidRPr="00B806FD">
        <w:t>Carr</w:t>
      </w:r>
      <w:proofErr w:type="spellEnd"/>
      <w:r w:rsidRPr="00B806FD">
        <w:t xml:space="preserve"> Smyth, </w:t>
      </w:r>
      <w:r w:rsidRPr="00B806FD">
        <w:rPr>
          <w:i/>
          <w:iCs/>
        </w:rPr>
        <w:t>Ohio Redistricting Process Falters as Panel Hits Impasse</w:t>
      </w:r>
      <w:r w:rsidRPr="00B806FD">
        <w:t xml:space="preserve">, </w:t>
      </w:r>
      <w:r w:rsidRPr="00B806FD">
        <w:rPr>
          <w:smallCaps/>
        </w:rPr>
        <w:t>AP News</w:t>
      </w:r>
      <w:r w:rsidRPr="00B806FD">
        <w:t xml:space="preserve"> (Feb. 17, 2022), https://apnews.com/article/ohio-legislature-redistricting-005319224508f729fe93f066a59eaef7 [https://perma.cc/C95G-TQ7F].</w:t>
      </w:r>
    </w:p>
  </w:footnote>
  <w:footnote w:id="238">
    <w:p w14:paraId="4D2A5711" w14:textId="672DE5BD" w:rsidR="009563A6" w:rsidRPr="00B806FD" w:rsidRDefault="009563A6" w:rsidP="00B806FD">
      <w:pPr>
        <w:pStyle w:val="FootnoteText"/>
      </w:pPr>
      <w:r w:rsidRPr="00B806FD">
        <w:rPr>
          <w:rStyle w:val="FootnoteReference"/>
        </w:rPr>
        <w:footnoteRef/>
      </w:r>
      <w:r w:rsidRPr="00B806FD">
        <w:t xml:space="preserve"> </w:t>
      </w:r>
      <w:r w:rsidRPr="00B806FD">
        <w:tab/>
      </w:r>
      <w:r w:rsidRPr="005640A7">
        <w:t>Adams v. DeWine</w:t>
      </w:r>
      <w:r w:rsidRPr="00B806FD">
        <w:t>, 195 N.3d 74, 78 (Ohio 2022).</w:t>
      </w:r>
    </w:p>
  </w:footnote>
  <w:footnote w:id="239">
    <w:p w14:paraId="6C5B13BF" w14:textId="4A31288F" w:rsidR="009563A6" w:rsidRPr="00B806FD" w:rsidRDefault="009563A6" w:rsidP="00B806FD">
      <w:pPr>
        <w:pStyle w:val="FootnoteText"/>
      </w:pPr>
      <w:r w:rsidRPr="00B806FD">
        <w:rPr>
          <w:rStyle w:val="FootnoteReference"/>
        </w:rPr>
        <w:footnoteRef/>
      </w:r>
      <w:r w:rsidRPr="00B806FD">
        <w:t xml:space="preserve"> </w:t>
      </w:r>
      <w:r w:rsidRPr="00B806FD">
        <w:tab/>
      </w:r>
      <w:r w:rsidRPr="00B806FD">
        <w:rPr>
          <w:i/>
          <w:iCs/>
        </w:rPr>
        <w:t>I</w:t>
      </w:r>
      <w:ins w:id="569" w:author="Jonathan Cervas" w:date="2023-06-28T17:16:00Z">
        <w:r w:rsidR="008032E2">
          <w:rPr>
            <w:i/>
            <w:iCs/>
          </w:rPr>
          <w:t>bi</w:t>
        </w:r>
      </w:ins>
      <w:r w:rsidRPr="00B806FD">
        <w:rPr>
          <w:i/>
          <w:iCs/>
        </w:rPr>
        <w:t>d.</w:t>
      </w:r>
    </w:p>
  </w:footnote>
  <w:footnote w:id="240">
    <w:p w14:paraId="7D1167CA" w14:textId="309F6BC0" w:rsidR="009563A6" w:rsidRPr="00B806FD" w:rsidRDefault="009563A6" w:rsidP="00B806FD">
      <w:pPr>
        <w:pStyle w:val="FootnoteText"/>
      </w:pPr>
      <w:r w:rsidRPr="00B806FD">
        <w:rPr>
          <w:rStyle w:val="FootnoteReference"/>
        </w:rPr>
        <w:footnoteRef/>
      </w:r>
      <w:r w:rsidRPr="00B806FD">
        <w:t xml:space="preserve"> </w:t>
      </w:r>
      <w:r w:rsidRPr="00B806FD">
        <w:tab/>
      </w:r>
      <w:ins w:id="570" w:author="Jonathan Cervas" w:date="2023-06-28T17:17:00Z">
        <w:r w:rsidR="008032E2" w:rsidRPr="008032E2">
          <w:t>Complaint</w:t>
        </w:r>
      </w:ins>
      <w:del w:id="571" w:author="Jonathan Cervas" w:date="2023-06-28T17:17:00Z">
        <w:r w:rsidRPr="00B806FD" w:rsidDel="008032E2">
          <w:delText>Compl.</w:delText>
        </w:r>
      </w:del>
      <w:r w:rsidRPr="00B806FD">
        <w:t xml:space="preserve"> at 4, Adams v. DeWine, 195 N.3d </w:t>
      </w:r>
      <w:del w:id="572" w:author="Jonathan Cervas" w:date="2023-06-28T17:30:00Z">
        <w:r w:rsidRPr="00B806FD" w:rsidDel="005640A7">
          <w:delText xml:space="preserve">74 </w:delText>
        </w:r>
      </w:del>
      <w:r w:rsidRPr="00B806FD">
        <w:t>(Ohio 2022) (No. 2021-1428) (stating “with little notice to the public, the General Assembly introduced a unified Republican proposal with roughly the same partisan breakdown as the earlier proposals (worse than the 2011 plan), which was then promptly rammed through each chamber on party-line votes.”).</w:t>
      </w:r>
    </w:p>
  </w:footnote>
  <w:footnote w:id="241">
    <w:p w14:paraId="1FC7B5AF" w14:textId="5FC3E657" w:rsidR="009563A6" w:rsidRPr="00B806FD" w:rsidRDefault="009563A6" w:rsidP="00B806FD">
      <w:pPr>
        <w:pStyle w:val="FootnoteText"/>
      </w:pPr>
      <w:r w:rsidRPr="00B806FD">
        <w:rPr>
          <w:rStyle w:val="FootnoteReference"/>
        </w:rPr>
        <w:footnoteRef/>
      </w:r>
      <w:r w:rsidRPr="00B806FD">
        <w:t xml:space="preserve"> </w:t>
      </w:r>
      <w:r w:rsidRPr="00B806FD">
        <w:tab/>
      </w:r>
      <w:r w:rsidRPr="00B806FD">
        <w:rPr>
          <w:i/>
          <w:iCs/>
        </w:rPr>
        <w:t>Adams</w:t>
      </w:r>
      <w:r w:rsidRPr="00B806FD">
        <w:t>, 195 N.3d at 76.</w:t>
      </w:r>
    </w:p>
  </w:footnote>
  <w:footnote w:id="242">
    <w:p w14:paraId="4B91B372" w14:textId="0049F280" w:rsidR="009563A6" w:rsidRPr="00B806FD" w:rsidRDefault="009563A6" w:rsidP="00B806FD">
      <w:pPr>
        <w:pStyle w:val="FootnoteText"/>
      </w:pPr>
      <w:r w:rsidRPr="00B806FD">
        <w:rPr>
          <w:rStyle w:val="FootnoteReference"/>
        </w:rPr>
        <w:footnoteRef/>
      </w:r>
      <w:r w:rsidRPr="00B806FD">
        <w:t xml:space="preserve"> </w:t>
      </w:r>
      <w:r w:rsidRPr="00B806FD">
        <w:tab/>
      </w:r>
      <w:proofErr w:type="spellStart"/>
      <w:ins w:id="573" w:author="Jonathan Cervas" w:date="2023-06-28T17:17:00Z">
        <w:r w:rsidR="008032E2" w:rsidRPr="008032E2">
          <w:t>Complaint</w:t>
        </w:r>
      </w:ins>
      <w:del w:id="574" w:author="Jonathan Cervas" w:date="2023-06-28T17:17:00Z">
        <w:r w:rsidRPr="00B806FD" w:rsidDel="008032E2">
          <w:delText xml:space="preserve">Compl. </w:delText>
        </w:r>
      </w:del>
      <w:r w:rsidRPr="00B806FD">
        <w:t>at</w:t>
      </w:r>
      <w:proofErr w:type="spellEnd"/>
      <w:r w:rsidRPr="00B806FD">
        <w:t xml:space="preserve"> 1, </w:t>
      </w:r>
      <w:r w:rsidRPr="005640A7">
        <w:rPr>
          <w:i/>
          <w:iCs/>
          <w:rPrChange w:id="575" w:author="Jonathan Cervas" w:date="2023-06-28T17:30:00Z">
            <w:rPr/>
          </w:rPrChange>
        </w:rPr>
        <w:t>Adams</w:t>
      </w:r>
      <w:del w:id="576" w:author="Jonathan Cervas" w:date="2023-06-28T17:38:00Z">
        <w:r w:rsidRPr="00B806FD" w:rsidDel="00312520">
          <w:delText>, 195 N.3d 74</w:delText>
        </w:r>
      </w:del>
      <w:r w:rsidRPr="00B806FD">
        <w:t>.</w:t>
      </w:r>
    </w:p>
  </w:footnote>
  <w:footnote w:id="243">
    <w:p w14:paraId="2F9DF116" w14:textId="0BE870CA" w:rsidR="009563A6" w:rsidRPr="00B806FD" w:rsidRDefault="009563A6" w:rsidP="00B806FD">
      <w:pPr>
        <w:pStyle w:val="FootnoteText"/>
      </w:pPr>
      <w:r w:rsidRPr="00B806FD">
        <w:rPr>
          <w:rStyle w:val="FootnoteReference"/>
        </w:rPr>
        <w:footnoteRef/>
      </w:r>
      <w:r w:rsidRPr="00B806FD">
        <w:t xml:space="preserve"> </w:t>
      </w:r>
      <w:r w:rsidRPr="00B806FD">
        <w:tab/>
        <w:t xml:space="preserve">Andy Chow, </w:t>
      </w:r>
      <w:r w:rsidRPr="00B806FD">
        <w:rPr>
          <w:i/>
          <w:iCs/>
        </w:rPr>
        <w:t>Legislative Leaders Send Congressional Mapmaking Back to Ohio Redistricting Commission</w:t>
      </w:r>
      <w:r w:rsidRPr="00B806FD">
        <w:t xml:space="preserve">, </w:t>
      </w:r>
      <w:r w:rsidRPr="00B806FD">
        <w:rPr>
          <w:smallCaps/>
        </w:rPr>
        <w:t>WOSU News</w:t>
      </w:r>
      <w:r w:rsidRPr="00B806FD">
        <w:t xml:space="preserve"> (Feb. 8, 2022), https://news.wosu.org/politics-government/2022-02-08/legislative-leaders-sending-congressional-mapmaking-back-to-ohio-redistricting-commission [https://perma.cc/YT5K-X8AG].</w:t>
      </w:r>
    </w:p>
  </w:footnote>
  <w:footnote w:id="244">
    <w:p w14:paraId="59369635" w14:textId="38473EE6" w:rsidR="009563A6" w:rsidRPr="00B806FD" w:rsidRDefault="009563A6" w:rsidP="00B806FD">
      <w:pPr>
        <w:pStyle w:val="FootnoteText"/>
      </w:pPr>
      <w:r w:rsidRPr="00B806FD">
        <w:rPr>
          <w:rStyle w:val="FootnoteReference"/>
        </w:rPr>
        <w:footnoteRef/>
      </w:r>
      <w:r w:rsidRPr="00B806FD">
        <w:t xml:space="preserve"> </w:t>
      </w:r>
      <w:r w:rsidRPr="00B806FD">
        <w:tab/>
      </w:r>
      <w:r w:rsidRPr="00B806FD">
        <w:rPr>
          <w:i/>
          <w:iCs/>
        </w:rPr>
        <w:t>Id.</w:t>
      </w:r>
    </w:p>
  </w:footnote>
  <w:footnote w:id="245">
    <w:p w14:paraId="1E2D5875" w14:textId="3AEF3F58"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t xml:space="preserve">Jessie </w:t>
      </w:r>
      <w:proofErr w:type="spellStart"/>
      <w:r w:rsidRPr="00B806FD">
        <w:t>Balmert</w:t>
      </w:r>
      <w:proofErr w:type="spellEnd"/>
      <w:r w:rsidRPr="00B806FD">
        <w:t xml:space="preserve">, </w:t>
      </w:r>
      <w:r w:rsidRPr="00B806FD">
        <w:rPr>
          <w:i/>
          <w:iCs/>
        </w:rPr>
        <w:t>Redistricting: Ohio Supreme Court Rejects Congressional Map Used in May, Orders New One</w:t>
      </w:r>
      <w:r w:rsidRPr="00B806FD">
        <w:t xml:space="preserve">, </w:t>
      </w:r>
      <w:r w:rsidRPr="00B806FD">
        <w:rPr>
          <w:smallCaps/>
        </w:rPr>
        <w:t>The Columbus Dispatch</w:t>
      </w:r>
      <w:r w:rsidRPr="00B806FD">
        <w:t xml:space="preserve"> (July 19, 2022), https://www.dispatch.com/story/news/politics/elections/2022/07/19/ohio-supreme-court-strikes-down-congressional-map-used-may-primary/9359835002/ [https://perma.cc/</w:t>
      </w:r>
      <w:r w:rsidRPr="00B806FD">
        <w:rPr>
          <w:rStyle w:val="normaltextrun"/>
          <w:bdr w:val="none" w:sz="0" w:space="0" w:color="auto" w:frame="1"/>
        </w:rPr>
        <w:t>4GVT-QFZV</w:t>
      </w:r>
      <w:r w:rsidRPr="00B806FD">
        <w:t>] (providing “[b]efore approving this map, Senate President Matt Huffman, R-Lima, argued that the Ohio Redistricting Commission didn’t need to abide by voter-approved rules that prevent maps from unduly favoring one party. The court, ultimately, disagreed.”).</w:t>
      </w:r>
    </w:p>
  </w:footnote>
  <w:footnote w:id="246">
    <w:p w14:paraId="4CA734E1" w14:textId="36713D5B"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t xml:space="preserve">Jim Gaines, </w:t>
      </w:r>
      <w:r w:rsidRPr="00B806FD">
        <w:rPr>
          <w:i/>
          <w:iCs/>
        </w:rPr>
        <w:t>Ohio Redistricting Commission Approves New U.S. House Map on Another Party-Line Vote</w:t>
      </w:r>
      <w:r w:rsidRPr="00B806FD">
        <w:t xml:space="preserve">, </w:t>
      </w:r>
      <w:r w:rsidRPr="00B806FD">
        <w:rPr>
          <w:smallCaps/>
        </w:rPr>
        <w:t>Dayton Daily News</w:t>
      </w:r>
      <w:r w:rsidRPr="00B806FD">
        <w:t xml:space="preserve"> (Mar. 2, 2022), https://www.daytondailynews.com/local/ohio-redistricting-commission-approves-new-us-house-map-on-another-party-line-vote/TBWPX5E64FC47EKUKS5LBEYQF4/ https://perma.cc/QV8N-EXKG].</w:t>
      </w:r>
    </w:p>
  </w:footnote>
  <w:footnote w:id="247">
    <w:p w14:paraId="45A4744E" w14:textId="12E9DD2C"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t xml:space="preserve">WTVG Staff, </w:t>
      </w:r>
      <w:r w:rsidRPr="00B806FD">
        <w:rPr>
          <w:i/>
          <w:iCs/>
        </w:rPr>
        <w:t>Ohio Supreme Court Makes Final Judgement on Congressional Map Challenges</w:t>
      </w:r>
      <w:r w:rsidRPr="00B806FD">
        <w:t xml:space="preserve">, </w:t>
      </w:r>
      <w:r w:rsidRPr="00B806FD">
        <w:rPr>
          <w:smallCaps/>
        </w:rPr>
        <w:t xml:space="preserve">ABC Action News 13 </w:t>
      </w:r>
      <w:r w:rsidRPr="00B806FD">
        <w:t>(Mar. 18, 2022), https://www.13abc.com/2022/03/18/ohio-supreme-court-makes-final-judgement-congressional-map-challenges/ [https://perma.cc/AS8Z-7DTQ].</w:t>
      </w:r>
    </w:p>
  </w:footnote>
  <w:footnote w:id="248">
    <w:p w14:paraId="510EA2A3" w14:textId="0BC66034" w:rsidR="009563A6" w:rsidRPr="00B806FD" w:rsidRDefault="009563A6" w:rsidP="00B806FD">
      <w:pPr>
        <w:pStyle w:val="FootnoteText"/>
      </w:pPr>
      <w:r w:rsidRPr="00B806FD">
        <w:rPr>
          <w:rStyle w:val="FootnoteReference"/>
        </w:rPr>
        <w:footnoteRef/>
      </w:r>
      <w:r w:rsidRPr="00B806FD">
        <w:t xml:space="preserve"> </w:t>
      </w:r>
      <w:r w:rsidR="00DB2A8D" w:rsidRPr="00B806FD">
        <w:tab/>
      </w:r>
      <w:ins w:id="578" w:author="Jonathan Cervas" w:date="2023-06-28T17:44:00Z">
        <w:r w:rsidR="00705583" w:rsidRPr="00705583">
          <w:rPr>
            <w:noProof/>
          </w:rPr>
          <w:t>Neiman v. LaRose, 2022-Ohio-2471, 207 N.E.3d 607</w:t>
        </w:r>
        <w:r w:rsidR="00705583" w:rsidRPr="00705583" w:rsidDel="00705583">
          <w:rPr>
            <w:noProof/>
          </w:rPr>
          <w:t xml:space="preserve"> </w:t>
        </w:r>
      </w:ins>
      <w:del w:id="579" w:author="Jonathan Cervas" w:date="2023-06-28T17:44:00Z">
        <w:r w:rsidRPr="00B806FD" w:rsidDel="00705583">
          <w:rPr>
            <w:noProof/>
          </w:rPr>
          <w:delText xml:space="preserve">Neiman v. LaRose, No. 2022-0298, 2022-Ohio-2471, at *65 </w:delText>
        </w:r>
      </w:del>
      <w:r w:rsidRPr="00B806FD">
        <w:rPr>
          <w:noProof/>
        </w:rPr>
        <w:t>(Ohio July 19, 2022).</w:t>
      </w:r>
    </w:p>
  </w:footnote>
  <w:footnote w:id="249">
    <w:p w14:paraId="398219F0" w14:textId="0923DF99"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rPr>
          <w:i/>
          <w:iCs/>
        </w:rPr>
        <w:t>Id.</w:t>
      </w:r>
      <w:r w:rsidRPr="00B806FD">
        <w:t xml:space="preserve"> at </w:t>
      </w:r>
      <w:ins w:id="580" w:author="Jonathan Cervas" w:date="2023-06-28T17:46:00Z">
        <w:r w:rsidR="00705583" w:rsidRPr="00705583">
          <w:t>616</w:t>
        </w:r>
        <w:r w:rsidR="00705583">
          <w:t>.</w:t>
        </w:r>
      </w:ins>
      <w:del w:id="581" w:author="Jonathan Cervas" w:date="2023-06-28T17:46:00Z">
        <w:r w:rsidRPr="00B806FD" w:rsidDel="00705583">
          <w:delText>*33–34.</w:delText>
        </w:r>
      </w:del>
    </w:p>
  </w:footnote>
  <w:footnote w:id="250">
    <w:p w14:paraId="4F29D40B" w14:textId="685D3E66"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rPr>
          <w:i/>
          <w:iCs/>
        </w:rPr>
        <w:t>Id.</w:t>
      </w:r>
      <w:r w:rsidRPr="00B806FD">
        <w:t xml:space="preserve"> at </w:t>
      </w:r>
      <w:ins w:id="582" w:author="Jonathan Cervas" w:date="2023-06-28T17:47:00Z">
        <w:r w:rsidR="00996DB0" w:rsidRPr="00996DB0">
          <w:t>621</w:t>
        </w:r>
      </w:ins>
      <w:ins w:id="583" w:author="Jonathan Cervas" w:date="2023-06-28T17:46:00Z">
        <w:r w:rsidR="00705583">
          <w:t>.</w:t>
        </w:r>
      </w:ins>
      <w:del w:id="584" w:author="Jonathan Cervas" w:date="2023-06-28T17:46:00Z">
        <w:r w:rsidRPr="00B806FD" w:rsidDel="00705583">
          <w:delText>*33</w:delText>
        </w:r>
      </w:del>
      <w:r w:rsidRPr="00B806FD">
        <w:t>.</w:t>
      </w:r>
    </w:p>
  </w:footnote>
  <w:footnote w:id="251">
    <w:p w14:paraId="12B88B42" w14:textId="3F67DD90"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t xml:space="preserve">Dan </w:t>
      </w:r>
      <w:proofErr w:type="spellStart"/>
      <w:r w:rsidRPr="00B806FD">
        <w:t>Trevas</w:t>
      </w:r>
      <w:proofErr w:type="spellEnd"/>
      <w:r w:rsidRPr="00B806FD">
        <w:t xml:space="preserve">, </w:t>
      </w:r>
      <w:r w:rsidRPr="00B806FD">
        <w:rPr>
          <w:i/>
          <w:iCs/>
        </w:rPr>
        <w:t>Readopted House and Senate District Maps Remain Invalid</w:t>
      </w:r>
      <w:r w:rsidRPr="00B806FD">
        <w:t xml:space="preserve">, </w:t>
      </w:r>
      <w:r w:rsidRPr="00B806FD">
        <w:rPr>
          <w:smallCaps/>
        </w:rPr>
        <w:t>Court News Ohio</w:t>
      </w:r>
      <w:r w:rsidRPr="00B806FD">
        <w:t xml:space="preserve"> (May 25, 2022), http://www.courtnewsohio.gov/cases/2022/SCO/0525/redistricting.asp [https://perma.cc/6KFT-C2PQ].</w:t>
      </w:r>
    </w:p>
  </w:footnote>
  <w:footnote w:id="252">
    <w:p w14:paraId="4CC30D9C" w14:textId="3BAF4749" w:rsidR="009563A6" w:rsidRPr="00B806FD" w:rsidRDefault="009563A6" w:rsidP="00B806FD">
      <w:pPr>
        <w:pStyle w:val="FootnoteText"/>
      </w:pPr>
      <w:r w:rsidRPr="00B806FD">
        <w:rPr>
          <w:rStyle w:val="FootnoteReference"/>
        </w:rPr>
        <w:footnoteRef/>
      </w:r>
      <w:r w:rsidRPr="00B806FD">
        <w:t xml:space="preserve"> </w:t>
      </w:r>
      <w:r w:rsidR="00DB2A8D" w:rsidRPr="00B806FD">
        <w:tab/>
      </w:r>
      <w:proofErr w:type="spellStart"/>
      <w:ins w:id="586" w:author="Jonathan Cervas" w:date="2023-06-28T17:49:00Z">
        <w:r w:rsidR="00996DB0" w:rsidRPr="00996DB0">
          <w:t>Gonidakis</w:t>
        </w:r>
        <w:proofErr w:type="spellEnd"/>
        <w:r w:rsidR="00996DB0" w:rsidRPr="00996DB0">
          <w:t xml:space="preserve"> v. LaRose, 599 F. Supp. 3d 642, 651 (S.D. Ohio 2022)</w:t>
        </w:r>
        <w:r w:rsidR="00996DB0">
          <w:t>. (“</w:t>
        </w:r>
        <w:r w:rsidR="00996DB0" w:rsidRPr="00996DB0">
          <w:t>The Commission failed to pass a map within that window of time.</w:t>
        </w:r>
        <w:r w:rsidR="00996DB0">
          <w:t>”)</w:t>
        </w:r>
        <w:r w:rsidR="00996DB0" w:rsidRPr="00996DB0">
          <w:t xml:space="preserve">  </w:t>
        </w:r>
      </w:ins>
      <w:del w:id="587" w:author="Jonathan Cervas" w:date="2023-06-28T17:49:00Z">
        <w:r w:rsidRPr="00B806FD" w:rsidDel="00996DB0">
          <w:delText>Gonidakis v. LaRose, 599 F. Supp. 3d 642, (S.D. Ohio 2022).</w:delText>
        </w:r>
      </w:del>
    </w:p>
  </w:footnote>
  <w:footnote w:id="253">
    <w:p w14:paraId="71EE0112" w14:textId="255FA4A7" w:rsidR="009563A6" w:rsidRPr="00B806FD" w:rsidRDefault="009563A6" w:rsidP="00B806FD">
      <w:pPr>
        <w:pStyle w:val="FootnoteText"/>
      </w:pPr>
      <w:r w:rsidRPr="00B806FD">
        <w:rPr>
          <w:rStyle w:val="FootnoteReference"/>
        </w:rPr>
        <w:footnoteRef/>
      </w:r>
      <w:r w:rsidRPr="00B806FD">
        <w:t xml:space="preserve"> </w:t>
      </w:r>
      <w:r w:rsidR="00DB2A8D" w:rsidRPr="00B806FD">
        <w:tab/>
      </w:r>
      <w:proofErr w:type="spellStart"/>
      <w:r w:rsidRPr="00B806FD">
        <w:t>Balmert</w:t>
      </w:r>
      <w:proofErr w:type="spellEnd"/>
      <w:r w:rsidRPr="00B806FD">
        <w:t xml:space="preserve">, </w:t>
      </w:r>
      <w:r w:rsidRPr="00B806FD">
        <w:rPr>
          <w:i/>
          <w:iCs/>
        </w:rPr>
        <w:t>supra</w:t>
      </w:r>
      <w:r w:rsidRPr="00B806FD">
        <w:t xml:space="preserve"> note </w:t>
      </w:r>
      <w:ins w:id="588" w:author="Jonathan Cervas" w:date="2023-06-28T17:51:00Z">
        <w:r w:rsidR="00FB183A">
          <w:fldChar w:fldCharType="begin"/>
        </w:r>
        <w:r w:rsidR="00FB183A">
          <w:instrText xml:space="preserve"> NOTEREF _Ref138867107 \h </w:instrText>
        </w:r>
      </w:ins>
      <w:r w:rsidR="00FB183A">
        <w:fldChar w:fldCharType="separate"/>
      </w:r>
      <w:ins w:id="589" w:author="Jonathan Cervas" w:date="2023-06-28T17:51:00Z">
        <w:r w:rsidR="00FB183A">
          <w:t>243</w:t>
        </w:r>
        <w:r w:rsidR="00FB183A">
          <w:fldChar w:fldCharType="end"/>
        </w:r>
      </w:ins>
      <w:del w:id="590" w:author="Jonathan Cervas" w:date="2023-06-28T17:51:00Z">
        <w:r w:rsidRPr="00B806FD" w:rsidDel="00FB183A">
          <w:delText>242</w:delText>
        </w:r>
      </w:del>
      <w:r w:rsidRPr="00B806FD">
        <w:t>. (</w:t>
      </w:r>
      <w:proofErr w:type="gramStart"/>
      <w:r w:rsidRPr="00B806FD">
        <w:t>stating</w:t>
      </w:r>
      <w:proofErr w:type="gramEnd"/>
      <w:r w:rsidRPr="00B806FD">
        <w:t xml:space="preserve"> that “[t]he map struck down by the Ohio Supreme Court will be used in the November elections because candidates were already selected in the May primary using these districts.”).</w:t>
      </w:r>
    </w:p>
  </w:footnote>
  <w:footnote w:id="254">
    <w:p w14:paraId="52AC02DA" w14:textId="01BB69DC"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t xml:space="preserve">The 2022 election was underway at this point in terms of petitions for candidacy.  The court was reluctant to intervene in the state process stating they acted only “as a last resort, after giving [the] </w:t>
      </w:r>
      <w:proofErr w:type="gramStart"/>
      <w:r w:rsidRPr="00B806FD">
        <w:t>state[</w:t>
      </w:r>
      <w:proofErr w:type="gramEnd"/>
      <w:r w:rsidRPr="00B806FD">
        <w:t>] every opportunity” to enact a new plan.</w:t>
      </w:r>
      <w:ins w:id="592" w:author="Jonathan Cervas" w:date="2023-06-28T23:11:00Z">
        <w:r w:rsidR="00202811">
          <w:t xml:space="preserve"> </w:t>
        </w:r>
        <w:proofErr w:type="spellStart"/>
        <w:r w:rsidR="00202811" w:rsidRPr="00FC1D58">
          <w:rPr>
            <w:i/>
            <w:iCs/>
          </w:rPr>
          <w:t>Gonidakis</w:t>
        </w:r>
        <w:proofErr w:type="spellEnd"/>
        <w:r w:rsidR="00202811" w:rsidRPr="00202811">
          <w:t xml:space="preserve"> </w:t>
        </w:r>
        <w:r w:rsidR="00202811">
          <w:t xml:space="preserve">at </w:t>
        </w:r>
        <w:r w:rsidR="00202811" w:rsidRPr="00202811">
          <w:t>646</w:t>
        </w:r>
      </w:ins>
      <w:ins w:id="593" w:author="Jonathan Cervas" w:date="2023-06-28T23:12:00Z">
        <w:r w:rsidR="00202811">
          <w:t xml:space="preserve">, citing </w:t>
        </w:r>
        <w:proofErr w:type="spellStart"/>
        <w:r w:rsidR="00202811" w:rsidRPr="00202811">
          <w:t>Growe</w:t>
        </w:r>
        <w:proofErr w:type="spellEnd"/>
        <w:r w:rsidR="00202811" w:rsidRPr="00202811">
          <w:t xml:space="preserve"> v. </w:t>
        </w:r>
        <w:proofErr w:type="spellStart"/>
        <w:r w:rsidR="00202811" w:rsidRPr="00202811">
          <w:t>Emison</w:t>
        </w:r>
        <w:proofErr w:type="spellEnd"/>
        <w:r w:rsidR="00202811" w:rsidRPr="00202811">
          <w:t>, 507 U.S. 25, 34</w:t>
        </w:r>
        <w:r w:rsidR="00202811">
          <w:t xml:space="preserve"> </w:t>
        </w:r>
        <w:r w:rsidR="00202811" w:rsidRPr="00202811">
          <w:t>(1993)</w:t>
        </w:r>
        <w:r w:rsidR="00202811">
          <w:t>.</w:t>
        </w:r>
      </w:ins>
      <w:del w:id="594" w:author="Jonathan Cervas" w:date="2023-06-28T23:10:00Z">
        <w:r w:rsidRPr="00B806FD" w:rsidDel="00202811">
          <w:delText xml:space="preserve">  Gonidakis, 599 F. Supp at .</w:delText>
        </w:r>
      </w:del>
    </w:p>
  </w:footnote>
  <w:footnote w:id="255">
    <w:p w14:paraId="2BF65404" w14:textId="7F708D2E"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rPr>
          <w:i/>
          <w:iCs/>
        </w:rPr>
        <w:t>Id.</w:t>
      </w:r>
      <w:ins w:id="596" w:author="Jonathan Cervas" w:date="2023-06-28T23:15:00Z">
        <w:r w:rsidR="00202811">
          <w:t xml:space="preserve"> at </w:t>
        </w:r>
      </w:ins>
      <w:ins w:id="597" w:author="Jonathan Cervas" w:date="2023-06-28T23:16:00Z">
        <w:r w:rsidR="00202811">
          <w:t>6</w:t>
        </w:r>
      </w:ins>
      <w:ins w:id="598" w:author="Jonathan Cervas" w:date="2023-06-28T23:15:00Z">
        <w:r w:rsidR="00202811">
          <w:t>47.</w:t>
        </w:r>
      </w:ins>
      <w:r w:rsidRPr="00B806FD">
        <w:t xml:space="preserve"> (</w:t>
      </w:r>
      <w:proofErr w:type="gramStart"/>
      <w:r w:rsidRPr="00B806FD">
        <w:t>stating</w:t>
      </w:r>
      <w:proofErr w:type="gramEnd"/>
      <w:r w:rsidRPr="00B806FD">
        <w:t xml:space="preserve"> the federal court was “[h]</w:t>
      </w:r>
      <w:proofErr w:type="spellStart"/>
      <w:r w:rsidRPr="00B806FD">
        <w:t>anded</w:t>
      </w:r>
      <w:proofErr w:type="spellEnd"/>
      <w:r w:rsidRPr="00B806FD">
        <w:t xml:space="preserve"> a menu of unappetizing options, [and] we defer ordering Map 3 as long as possible-a final pause in hope that Ohio finally approves a map that complies with federal and state law.”).</w:t>
      </w:r>
    </w:p>
  </w:footnote>
  <w:footnote w:id="256">
    <w:p w14:paraId="2401E9BB" w14:textId="5EB52CDD"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rPr>
          <w:i/>
          <w:iCs/>
        </w:rPr>
        <w:t>Id.</w:t>
      </w:r>
      <w:ins w:id="600" w:author="Jonathan Cervas" w:date="2023-06-28T23:16:00Z">
        <w:r w:rsidR="00202811">
          <w:t xml:space="preserve"> at 692.</w:t>
        </w:r>
      </w:ins>
      <w:r w:rsidRPr="00B806FD">
        <w:t xml:space="preserve"> (</w:t>
      </w:r>
      <w:del w:id="601" w:author="Jonathan Cervas" w:date="2023-06-28T23:17:00Z">
        <w:r w:rsidRPr="00B806FD" w:rsidDel="00202811">
          <w:delText xml:space="preserve">stating from the </w:delText>
        </w:r>
      </w:del>
      <w:r w:rsidRPr="00B806FD">
        <w:t>dissent</w:t>
      </w:r>
      <w:ins w:id="602" w:author="Jonathan Cervas" w:date="2023-06-28T23:17:00Z">
        <w:r w:rsidR="00202811">
          <w:t>ing</w:t>
        </w:r>
      </w:ins>
      <w:ins w:id="603" w:author="Jonathan Cervas" w:date="2023-06-29T11:27:00Z">
        <w:r w:rsidR="00025DE2">
          <w:t>)</w:t>
        </w:r>
      </w:ins>
      <w:r w:rsidRPr="00B806FD">
        <w:t xml:space="preserve"> </w:t>
      </w:r>
      <w:ins w:id="604" w:author="Jonathan Cervas" w:date="2023-06-29T11:27:00Z">
        <w:r w:rsidR="00025DE2">
          <w:t>(</w:t>
        </w:r>
      </w:ins>
      <w:r w:rsidRPr="00B806FD">
        <w:t>“[l]</w:t>
      </w:r>
      <w:proofErr w:type="spellStart"/>
      <w:r w:rsidRPr="00B806FD">
        <w:t>amentably</w:t>
      </w:r>
      <w:proofErr w:type="spellEnd"/>
      <w:r w:rsidRPr="00B806FD">
        <w:t>, the majority opinion remedy moves Ohio no closer to resolving its redistricting saga.  Since these maps are approved for the 2022 election only, the Commission soon will take up the task of redistricting for 2024 and beyond. I shudder at the perverse incentives of which the Commission could avail itself.”).</w:t>
      </w:r>
    </w:p>
  </w:footnote>
  <w:footnote w:id="257">
    <w:p w14:paraId="571FF369" w14:textId="5D8D6CC9" w:rsidR="00FB183A" w:rsidRDefault="00FB183A">
      <w:pPr>
        <w:pStyle w:val="FootnoteText"/>
      </w:pPr>
      <w:r>
        <w:rPr>
          <w:rStyle w:val="FootnoteReference"/>
        </w:rPr>
        <w:footnoteRef/>
      </w:r>
      <w:r>
        <w:t xml:space="preserve"> </w:t>
      </w:r>
      <w:r>
        <w:rPr>
          <w:noProof/>
        </w:rPr>
        <w:t>Party Control of Oregon State Government, Ballotpedia, https://ballotpedia.org/Party_control_of_Oregon_state_government [https://perma.cc/FHZ4-75CK] (last visited Dec. 24, 2022).</w:t>
      </w:r>
      <w:r>
        <w:t xml:space="preserve">  </w:t>
      </w:r>
    </w:p>
  </w:footnote>
  <w:footnote w:id="258">
    <w:p w14:paraId="73007A46" w14:textId="00E81C4B" w:rsidR="003A3201" w:rsidRPr="00B806FD" w:rsidRDefault="003A3201" w:rsidP="00B806FD">
      <w:pPr>
        <w:pStyle w:val="FootnoteText"/>
      </w:pPr>
      <w:r w:rsidRPr="00B806FD">
        <w:rPr>
          <w:rStyle w:val="FootnoteReference"/>
        </w:rPr>
        <w:footnoteRef/>
      </w:r>
      <w:r w:rsidRPr="00B806FD">
        <w:t xml:space="preserve"> </w:t>
      </w:r>
      <w:r w:rsidRPr="00B806FD">
        <w:tab/>
      </w:r>
      <w:proofErr w:type="spellStart"/>
      <w:r w:rsidRPr="00B806FD">
        <w:t>Chandelis</w:t>
      </w:r>
      <w:proofErr w:type="spellEnd"/>
      <w:r w:rsidRPr="00B806FD">
        <w:t xml:space="preserve"> Duster, </w:t>
      </w:r>
      <w:r w:rsidRPr="00B806FD">
        <w:rPr>
          <w:i/>
          <w:iCs/>
        </w:rPr>
        <w:t>Oregon Approves the Nation’s First New Congressional Map | CNN Politics</w:t>
      </w:r>
      <w:r w:rsidRPr="00B806FD">
        <w:t xml:space="preserve">, </w:t>
      </w:r>
      <w:r w:rsidRPr="00B806FD">
        <w:rPr>
          <w:smallCaps/>
        </w:rPr>
        <w:t>CNN Politics</w:t>
      </w:r>
      <w:r w:rsidRPr="00B806FD">
        <w:t xml:space="preserve"> (Sep. 28, 2021), https://www.cnn.com/2021/09/28/politics/oregon-new-congressional-map/index.html https://perma.cc/N6K4-T6F6].</w:t>
      </w:r>
    </w:p>
  </w:footnote>
  <w:footnote w:id="259">
    <w:p w14:paraId="745FD2C7" w14:textId="700E22AC" w:rsidR="003A3201" w:rsidRPr="00B806FD" w:rsidRDefault="003A3201" w:rsidP="00B806FD">
      <w:pPr>
        <w:pStyle w:val="FootnoteText"/>
      </w:pPr>
      <w:r w:rsidRPr="00B806FD">
        <w:rPr>
          <w:rStyle w:val="FootnoteReference"/>
        </w:rPr>
        <w:footnoteRef/>
      </w:r>
      <w:r w:rsidRPr="00B806FD">
        <w:t xml:space="preserve"> </w:t>
      </w:r>
      <w:r w:rsidRPr="00B806FD">
        <w:tab/>
        <w:t xml:space="preserve">Dirk </w:t>
      </w:r>
      <w:proofErr w:type="spellStart"/>
      <w:r w:rsidRPr="00B806FD">
        <w:t>VanderHart</w:t>
      </w:r>
      <w:proofErr w:type="spellEnd"/>
      <w:r w:rsidRPr="00B806FD">
        <w:t xml:space="preserve">, </w:t>
      </w:r>
      <w:r w:rsidRPr="00B806FD">
        <w:rPr>
          <w:i/>
          <w:iCs/>
        </w:rPr>
        <w:t>Judicial Panel Upholds Oregon Democrats’ New US Congressional Districts</w:t>
      </w:r>
      <w:r w:rsidRPr="00B806FD">
        <w:t xml:space="preserve">, </w:t>
      </w:r>
      <w:r w:rsidRPr="00B806FD">
        <w:rPr>
          <w:smallCaps/>
        </w:rPr>
        <w:t>OPB</w:t>
      </w:r>
      <w:r w:rsidRPr="00B806FD">
        <w:t xml:space="preserve"> (Nov. 24, 2021), https://www.opb.org/article/2021/11/24/judicial-panel-upholds-oregon-democrats-new-congressional-districts/ [https://perma.cc/2KWL-5XWA]</w:t>
      </w:r>
      <w:r w:rsidRPr="00B806FD" w:rsidDel="00425A37">
        <w:t xml:space="preserve"> </w:t>
      </w:r>
      <w:r w:rsidRPr="00B806FD">
        <w:t>(stating that “[d]</w:t>
      </w:r>
      <w:proofErr w:type="spellStart"/>
      <w:r w:rsidRPr="00B806FD">
        <w:t>emocrats</w:t>
      </w:r>
      <w:proofErr w:type="spellEnd"/>
      <w:r w:rsidRPr="00B806FD">
        <w:t xml:space="preserve"> ultimately softened their proposal, but the plan that passed is still seen by many in the GOP as a blatant gerrymander.”).</w:t>
      </w:r>
    </w:p>
  </w:footnote>
  <w:footnote w:id="260">
    <w:p w14:paraId="1B26062B" w14:textId="0E13B026" w:rsidR="003A3201" w:rsidRPr="00B806FD" w:rsidRDefault="003A3201"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rPr>
          <w:noProof/>
        </w:rPr>
        <w:t>Clarno v. Fagan, No. 21-CV-40180, at *1 (Or. Cir. Ct.</w:t>
      </w:r>
      <w:ins w:id="607" w:author="Jonathan Cervas" w:date="2023-06-29T11:52:00Z">
        <w:r w:rsidR="00B42861">
          <w:rPr>
            <w:noProof/>
          </w:rPr>
          <w:t xml:space="preserve"> </w:t>
        </w:r>
        <w:r w:rsidR="00B42861" w:rsidRPr="00B42861">
          <w:rPr>
            <w:noProof/>
          </w:rPr>
          <w:t>Marion Cnty</w:t>
        </w:r>
        <w:r w:rsidR="00B42861">
          <w:rPr>
            <w:noProof/>
          </w:rPr>
          <w:t>.</w:t>
        </w:r>
      </w:ins>
      <w:r w:rsidRPr="00B806FD">
        <w:rPr>
          <w:noProof/>
        </w:rPr>
        <w:t xml:space="preserve"> Nov. 24, 2021).</w:t>
      </w:r>
    </w:p>
  </w:footnote>
  <w:footnote w:id="261">
    <w:p w14:paraId="1CC76C6D" w14:textId="4C6AAE79" w:rsidR="003A3201" w:rsidRPr="00B806FD" w:rsidRDefault="003A3201" w:rsidP="00B806FD">
      <w:pPr>
        <w:pStyle w:val="FootnoteText"/>
      </w:pPr>
      <w:r w:rsidRPr="00B806FD">
        <w:rPr>
          <w:rStyle w:val="FootnoteReference"/>
        </w:rPr>
        <w:footnoteRef/>
      </w:r>
      <w:r w:rsidRPr="00B806FD">
        <w:t xml:space="preserve"> </w:t>
      </w:r>
      <w:r w:rsidRPr="00B806FD">
        <w:tab/>
        <w:t>Or. Rev. Stat. § 188.010(2).</w:t>
      </w:r>
      <w:ins w:id="612" w:author="Jonathan Cervas" w:date="2023-06-29T11:55:00Z">
        <w:r w:rsidR="00B42861">
          <w:t xml:space="preserve"> (</w:t>
        </w:r>
        <w:r w:rsidR="00B42861" w:rsidRPr="00BA6A97">
          <w:t>“[n]o district shall be drawn for the purpose of favoring any political party, incumbent legislator or other person</w:t>
        </w:r>
        <w:r w:rsidR="00B42861">
          <w:t>[.]</w:t>
        </w:r>
        <w:r w:rsidR="00B42861" w:rsidRPr="005F51A4">
          <w:t>”</w:t>
        </w:r>
        <w:r w:rsidR="00B42861">
          <w:t>)</w:t>
        </w:r>
      </w:ins>
    </w:p>
  </w:footnote>
  <w:footnote w:id="262">
    <w:p w14:paraId="29974C0B" w14:textId="3FE18548" w:rsidR="003A3201" w:rsidRPr="00B806FD" w:rsidRDefault="003A3201" w:rsidP="00B806FD">
      <w:pPr>
        <w:pStyle w:val="FootnoteText"/>
      </w:pPr>
      <w:r w:rsidRPr="00B806FD">
        <w:rPr>
          <w:rStyle w:val="FootnoteReference"/>
        </w:rPr>
        <w:footnoteRef/>
      </w:r>
      <w:r w:rsidRPr="00B806FD">
        <w:t xml:space="preserve"> </w:t>
      </w:r>
      <w:r w:rsidRPr="00B806FD">
        <w:tab/>
        <w:t xml:space="preserve">Pet. at 10, </w:t>
      </w:r>
      <w:proofErr w:type="spellStart"/>
      <w:r w:rsidRPr="00B806FD">
        <w:t>Clarno</w:t>
      </w:r>
      <w:proofErr w:type="spellEnd"/>
      <w:r w:rsidRPr="00B806FD">
        <w:t xml:space="preserve"> v. Fagan, No. 21-CV-40180 (Or. Cir. Ct.</w:t>
      </w:r>
      <w:ins w:id="613" w:author="Jonathan Cervas" w:date="2023-06-29T11:52:00Z">
        <w:r w:rsidR="00B42861">
          <w:t xml:space="preserve"> </w:t>
        </w:r>
        <w:r w:rsidR="00B42861" w:rsidRPr="00B42861">
          <w:rPr>
            <w:noProof/>
          </w:rPr>
          <w:t>Marion Cnty</w:t>
        </w:r>
        <w:r w:rsidR="00B42861">
          <w:rPr>
            <w:noProof/>
          </w:rPr>
          <w:t>.</w:t>
        </w:r>
      </w:ins>
      <w:r w:rsidRPr="00B806FD">
        <w:t xml:space="preserve"> Oct. 11, 2021).</w:t>
      </w:r>
    </w:p>
  </w:footnote>
  <w:footnote w:id="263">
    <w:p w14:paraId="2C4D0F8C" w14:textId="705409E1" w:rsidR="003A3201" w:rsidRPr="00B806FD" w:rsidRDefault="003A3201" w:rsidP="00B806FD">
      <w:pPr>
        <w:pStyle w:val="FootnoteText"/>
      </w:pPr>
      <w:r w:rsidRPr="00B806FD">
        <w:rPr>
          <w:rStyle w:val="FootnoteReference"/>
        </w:rPr>
        <w:footnoteRef/>
      </w:r>
      <w:r w:rsidRPr="00B806FD">
        <w:t xml:space="preserve"> </w:t>
      </w:r>
      <w:r w:rsidRPr="00B806FD">
        <w:tab/>
        <w:t>Or. Const. art. I, §§ 8, 26.</w:t>
      </w:r>
    </w:p>
  </w:footnote>
  <w:footnote w:id="264">
    <w:p w14:paraId="235A47A0" w14:textId="630C01CF" w:rsidR="003A3201" w:rsidRPr="00B806FD" w:rsidRDefault="003A3201" w:rsidP="00B806FD">
      <w:pPr>
        <w:pStyle w:val="FootnoteText"/>
      </w:pPr>
      <w:r w:rsidRPr="00B806FD">
        <w:rPr>
          <w:rStyle w:val="FootnoteReference"/>
        </w:rPr>
        <w:footnoteRef/>
      </w:r>
      <w:r w:rsidRPr="00B806FD">
        <w:t xml:space="preserve"> </w:t>
      </w:r>
      <w:r w:rsidRPr="00B806FD">
        <w:tab/>
        <w:t>Or. Const. art. I, § 2; Or. Const. art. II, § 1.</w:t>
      </w:r>
    </w:p>
  </w:footnote>
  <w:footnote w:id="265">
    <w:p w14:paraId="597A8FD4" w14:textId="5EAE52D1" w:rsidR="003A3201" w:rsidRPr="00B806FD" w:rsidRDefault="003A3201" w:rsidP="00B806FD">
      <w:pPr>
        <w:pStyle w:val="FootnoteText"/>
      </w:pPr>
      <w:r w:rsidRPr="00B806FD">
        <w:rPr>
          <w:rStyle w:val="FootnoteReference"/>
        </w:rPr>
        <w:footnoteRef/>
      </w:r>
      <w:r w:rsidRPr="00B806FD">
        <w:t xml:space="preserve"> </w:t>
      </w:r>
      <w:r w:rsidRPr="00B806FD">
        <w:tab/>
        <w:t xml:space="preserve">2021 Or. Laws, </w:t>
      </w:r>
      <w:proofErr w:type="spellStart"/>
      <w:r w:rsidRPr="00B806FD">
        <w:t>ch.</w:t>
      </w:r>
      <w:proofErr w:type="spellEnd"/>
      <w:r w:rsidRPr="00B806FD">
        <w:t xml:space="preserve"> 419, § 1(6).</w:t>
      </w:r>
    </w:p>
  </w:footnote>
  <w:footnote w:id="266">
    <w:p w14:paraId="4DEC9587" w14:textId="3FC55607" w:rsidR="003A3201" w:rsidRPr="00B806FD" w:rsidRDefault="003A3201"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proofErr w:type="spellStart"/>
      <w:r w:rsidRPr="00B806FD">
        <w:rPr>
          <w:i/>
          <w:iCs/>
        </w:rPr>
        <w:t>Clarno</w:t>
      </w:r>
      <w:proofErr w:type="spellEnd"/>
      <w:r w:rsidRPr="00B806FD">
        <w:t>, No. 21-CV-40180, at *1.</w:t>
      </w:r>
    </w:p>
  </w:footnote>
  <w:footnote w:id="267">
    <w:p w14:paraId="083129E6" w14:textId="0DA70856" w:rsidR="003A3201" w:rsidRPr="00B806FD" w:rsidRDefault="003A3201"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*2.</w:t>
      </w:r>
    </w:p>
  </w:footnote>
  <w:footnote w:id="268">
    <w:p w14:paraId="61210577" w14:textId="32D8AEC9" w:rsidR="003A3201" w:rsidRPr="00B806FD" w:rsidRDefault="003A3201"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*13–14.</w:t>
      </w:r>
    </w:p>
  </w:footnote>
  <w:footnote w:id="269">
    <w:p w14:paraId="4ADB86D0" w14:textId="18A8693C" w:rsidR="003A3201" w:rsidRPr="00B806FD" w:rsidRDefault="003A3201" w:rsidP="00B806FD">
      <w:pPr>
        <w:pStyle w:val="FootnoteText"/>
      </w:pPr>
      <w:r w:rsidRPr="00B806FD">
        <w:rPr>
          <w:rStyle w:val="FootnoteReference"/>
        </w:rPr>
        <w:footnoteRef/>
      </w:r>
      <w:r w:rsidRPr="00B806FD">
        <w:t xml:space="preserve"> </w:t>
      </w:r>
      <w:r w:rsidRPr="00B806FD">
        <w:tab/>
      </w:r>
      <w:proofErr w:type="spellStart"/>
      <w:r w:rsidRPr="00B806FD">
        <w:rPr>
          <w:i/>
          <w:iCs/>
        </w:rPr>
        <w:t>Clarno</w:t>
      </w:r>
      <w:proofErr w:type="spellEnd"/>
      <w:r w:rsidRPr="00B806FD">
        <w:t>, No. 21-CV-40180, at *9 (providing that the map “falls well within the range of plans that have been used in the state for the past fifty years.”).</w:t>
      </w:r>
    </w:p>
  </w:footnote>
  <w:footnote w:id="270">
    <w:p w14:paraId="62CFB892" w14:textId="0ABD8299" w:rsidR="003A3201" w:rsidRPr="00B806FD" w:rsidRDefault="003A3201"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*8.</w:t>
      </w:r>
    </w:p>
  </w:footnote>
  <w:footnote w:id="271">
    <w:p w14:paraId="55E89F2A" w14:textId="377C9E06" w:rsidR="003A3201" w:rsidRPr="00B806FD" w:rsidRDefault="003A3201" w:rsidP="00B806FD">
      <w:pPr>
        <w:pStyle w:val="FootnoteText"/>
      </w:pPr>
      <w:r w:rsidRPr="00B806FD">
        <w:rPr>
          <w:rStyle w:val="FootnoteReference"/>
        </w:rPr>
        <w:footnoteRef/>
      </w:r>
      <w:r w:rsidRPr="00B806FD">
        <w:t xml:space="preserve"> </w:t>
      </w:r>
      <w:r w:rsidRPr="00B806FD">
        <w:tab/>
      </w:r>
      <w:r w:rsidRPr="00B806FD">
        <w:rPr>
          <w:i/>
          <w:iCs/>
        </w:rPr>
        <w:t>I</w:t>
      </w:r>
      <w:ins w:id="614" w:author="Jonathan Cervas" w:date="2023-06-29T11:58:00Z">
        <w:r w:rsidR="005241F1">
          <w:rPr>
            <w:i/>
            <w:iCs/>
          </w:rPr>
          <w:t>bi</w:t>
        </w:r>
      </w:ins>
      <w:r w:rsidRPr="00B806FD">
        <w:rPr>
          <w:i/>
          <w:iCs/>
        </w:rPr>
        <w:t>d.</w:t>
      </w:r>
    </w:p>
  </w:footnote>
  <w:footnote w:id="272">
    <w:p w14:paraId="582EFE33" w14:textId="7979FF1B" w:rsidR="003A3201" w:rsidRPr="00B806FD" w:rsidDel="005241F1" w:rsidRDefault="003A3201" w:rsidP="00B806FD">
      <w:pPr>
        <w:pStyle w:val="FootnoteText"/>
        <w:rPr>
          <w:del w:id="616" w:author="Jonathan Cervas" w:date="2023-06-29T11:58:00Z"/>
        </w:rPr>
      </w:pPr>
      <w:del w:id="617" w:author="Jonathan Cervas" w:date="2023-06-29T11:58:00Z">
        <w:r w:rsidRPr="00B806FD" w:rsidDel="005241F1">
          <w:rPr>
            <w:rStyle w:val="FootnoteReference"/>
          </w:rPr>
          <w:footnoteRef/>
        </w:r>
        <w:r w:rsidRPr="00B806FD" w:rsidDel="005241F1">
          <w:delText xml:space="preserve"> </w:delText>
        </w:r>
        <w:r w:rsidRPr="00B806FD" w:rsidDel="005241F1">
          <w:tab/>
        </w:r>
        <w:r w:rsidRPr="00B806FD" w:rsidDel="005241F1">
          <w:rPr>
            <w:i/>
            <w:iCs/>
          </w:rPr>
          <w:delText>I</w:delText>
        </w:r>
      </w:del>
      <w:ins w:id="618" w:author="Jonathan Cervas" w:date="2023-06-29T11:58:00Z">
        <w:del w:id="619" w:author="Jonathan Cervas" w:date="2023-06-29T11:58:00Z">
          <w:r w:rsidR="005241F1" w:rsidDel="005241F1">
            <w:rPr>
              <w:i/>
              <w:iCs/>
            </w:rPr>
            <w:delText>bi</w:delText>
          </w:r>
        </w:del>
      </w:ins>
      <w:del w:id="620" w:author="Jonathan Cervas" w:date="2023-06-29T11:58:00Z">
        <w:r w:rsidRPr="00B806FD" w:rsidDel="005241F1">
          <w:rPr>
            <w:i/>
            <w:iCs/>
          </w:rPr>
          <w:delText>d.</w:delText>
        </w:r>
      </w:del>
    </w:p>
  </w:footnote>
  <w:footnote w:id="273">
    <w:p w14:paraId="1DDAD29B" w14:textId="74178399" w:rsidR="003A3201" w:rsidRPr="00B806FD" w:rsidRDefault="003A3201" w:rsidP="00B806FD">
      <w:pPr>
        <w:pStyle w:val="FootnoteText"/>
        <w:rPr>
          <w:i/>
          <w:iCs/>
        </w:rPr>
      </w:pPr>
      <w:r w:rsidRPr="00B806FD">
        <w:rPr>
          <w:rStyle w:val="FootnoteReference"/>
        </w:rPr>
        <w:footnoteRef/>
      </w:r>
      <w:r w:rsidRPr="00B806FD">
        <w:t xml:space="preserve"> </w:t>
      </w:r>
      <w:r w:rsidRPr="00B806FD">
        <w:tab/>
      </w:r>
      <w:del w:id="621" w:author="Jonathan Cervas" w:date="2023-06-29T11:58:00Z">
        <w:r w:rsidRPr="00B806FD" w:rsidDel="005241F1">
          <w:rPr>
            <w:i/>
            <w:iCs/>
          </w:rPr>
          <w:delText>Clarno</w:delText>
        </w:r>
        <w:r w:rsidRPr="00B806FD" w:rsidDel="005241F1">
          <w:delText>, No. 21-CV-40180, at *8</w:delText>
        </w:r>
      </w:del>
      <w:ins w:id="622" w:author="Jonathan Cervas" w:date="2023-06-29T11:58:00Z">
        <w:r w:rsidR="005241F1">
          <w:rPr>
            <w:i/>
            <w:iCs/>
          </w:rPr>
          <w:t>Ibid</w:t>
        </w:r>
      </w:ins>
      <w:r w:rsidRPr="00B806FD">
        <w:t>.</w:t>
      </w:r>
    </w:p>
  </w:footnote>
  <w:footnote w:id="274">
    <w:p w14:paraId="6ECE433F" w14:textId="133BC71B" w:rsidR="003A3201" w:rsidRPr="00B806FD" w:rsidRDefault="003A3201"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*10.</w:t>
      </w:r>
    </w:p>
  </w:footnote>
  <w:footnote w:id="275">
    <w:p w14:paraId="79F6B7E7" w14:textId="2E541F75" w:rsidR="003A3201" w:rsidRPr="00B806FD" w:rsidRDefault="003A3201"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*13–14.</w:t>
      </w:r>
    </w:p>
  </w:footnote>
  <w:footnote w:id="276">
    <w:p w14:paraId="08FA080A" w14:textId="00BA6830" w:rsidR="003A3201" w:rsidRPr="00B806FD" w:rsidRDefault="003A3201" w:rsidP="00B806FD">
      <w:pPr>
        <w:pStyle w:val="FootnoteText"/>
      </w:pPr>
      <w:r w:rsidRPr="00B806FD">
        <w:rPr>
          <w:rStyle w:val="FootnoteReference"/>
        </w:rPr>
        <w:footnoteRef/>
      </w:r>
      <w:r w:rsidRPr="00B806FD">
        <w:t xml:space="preserve"> </w:t>
      </w:r>
      <w:r w:rsidRPr="00B806FD">
        <w:tab/>
        <w:t xml:space="preserve">For example, </w:t>
      </w:r>
      <w:r w:rsidRPr="00B806FD">
        <w:rPr>
          <w:i/>
          <w:iCs/>
        </w:rPr>
        <w:t>See</w:t>
      </w:r>
      <w:r w:rsidRPr="00B806FD">
        <w:t xml:space="preserve"> </w:t>
      </w:r>
      <w:r w:rsidRPr="00B806FD">
        <w:rPr>
          <w:noProof/>
        </w:rPr>
        <w:t xml:space="preserve">Black Voters Matter Capacity Building Inst., Inc. v. Lee, No. 2022-CA-000666 (Fla. Cir. Ct. 2022); </w:t>
      </w:r>
      <w:r w:rsidRPr="00B806FD">
        <w:rPr>
          <w:i/>
          <w:iCs/>
          <w:noProof/>
        </w:rPr>
        <w:t xml:space="preserve">see also </w:t>
      </w:r>
      <w:r w:rsidRPr="00B806FD">
        <w:rPr>
          <w:noProof/>
        </w:rPr>
        <w:t xml:space="preserve">Republican Party of New Mexico v. Oliver, No. -506-CV-202200041 (N.M. 5th Dist. Jan. 21, 2022); </w:t>
      </w:r>
      <w:r w:rsidRPr="00B806FD">
        <w:rPr>
          <w:i/>
          <w:iCs/>
          <w:noProof/>
        </w:rPr>
        <w:t xml:space="preserve">see also </w:t>
      </w:r>
      <w:r w:rsidRPr="00B806FD">
        <w:rPr>
          <w:noProof/>
        </w:rPr>
        <w:t>League of Women Voters of Utah v. Utah State Legislature, No. 220901712 (Utah 3rd Dist. Ct. Mar. 17, 2022).</w:t>
      </w:r>
    </w:p>
  </w:footnote>
  <w:footnote w:id="277">
    <w:p w14:paraId="66B9B253" w14:textId="0DC8D229" w:rsidR="00743C64" w:rsidRPr="00B806FD" w:rsidRDefault="00743C64" w:rsidP="00B806FD">
      <w:pPr>
        <w:pStyle w:val="FootnoteText"/>
      </w:pPr>
      <w:r w:rsidRPr="00B806FD">
        <w:rPr>
          <w:rStyle w:val="FootnoteReference"/>
        </w:rPr>
        <w:footnoteRef/>
      </w:r>
      <w:r w:rsidRPr="00B806FD">
        <w:t xml:space="preserve"> </w:t>
      </w:r>
      <w:r w:rsidRPr="00B806FD">
        <w:tab/>
        <w:t xml:space="preserve">Tim Carpenter, </w:t>
      </w:r>
      <w:r w:rsidRPr="00B806FD">
        <w:rPr>
          <w:i/>
          <w:iCs/>
        </w:rPr>
        <w:t>GOP Clings to Kansas House Supermajority Entering Kelly’s Second Term as Governor</w:t>
      </w:r>
      <w:r w:rsidRPr="00B806FD">
        <w:t xml:space="preserve">, </w:t>
      </w:r>
      <w:r w:rsidRPr="00B806FD">
        <w:rPr>
          <w:smallCaps/>
        </w:rPr>
        <w:t>Kansas Reflector</w:t>
      </w:r>
      <w:r w:rsidRPr="00B806FD">
        <w:t xml:space="preserve"> (Nov. 10, 2022), https://kansasreflector.com/2022/11/10/gop-clings-to-kansas-house-supermajority-entering-kellys-second-term-as-governor/ [https://perma.cc/FT3F-3E7B].</w:t>
      </w:r>
    </w:p>
  </w:footnote>
  <w:footnote w:id="278">
    <w:p w14:paraId="7CFAFAF5" w14:textId="67E9C59E" w:rsidR="00743C64" w:rsidRPr="00B806FD" w:rsidRDefault="00743C64" w:rsidP="00B806FD">
      <w:pPr>
        <w:pStyle w:val="FootnoteText"/>
      </w:pPr>
      <w:r w:rsidRPr="00B806FD">
        <w:rPr>
          <w:rStyle w:val="FootnoteReference"/>
        </w:rPr>
        <w:footnoteRef/>
      </w:r>
      <w:r w:rsidRPr="00B806FD">
        <w:t xml:space="preserve"> </w:t>
      </w:r>
      <w:r w:rsidRPr="00B806FD">
        <w:tab/>
      </w:r>
      <w:r w:rsidRPr="00B806FD">
        <w:rPr>
          <w:i/>
          <w:iCs/>
        </w:rPr>
        <w:t>Party Control of Kansas State Government</w:t>
      </w:r>
      <w:r w:rsidRPr="00B806FD">
        <w:t xml:space="preserve">, </w:t>
      </w:r>
      <w:r w:rsidRPr="00B806FD">
        <w:rPr>
          <w:smallCaps/>
        </w:rPr>
        <w:t>Ballotpedia</w:t>
      </w:r>
      <w:r w:rsidRPr="00B806FD">
        <w:t>, https://ballotpedia.org/Party_control_of_Kansas_state_government [https://perma.cc/E3Y7-Z7D8] (last visited Dec. 24, 2022).</w:t>
      </w:r>
    </w:p>
  </w:footnote>
  <w:footnote w:id="279">
    <w:p w14:paraId="437A7CEB" w14:textId="27E3FD73" w:rsidR="00743C64" w:rsidRPr="00B806FD" w:rsidRDefault="00743C64" w:rsidP="00B806FD">
      <w:pPr>
        <w:pStyle w:val="FootnoteText"/>
      </w:pPr>
      <w:r w:rsidRPr="00B806FD">
        <w:rPr>
          <w:rStyle w:val="FootnoteReference"/>
        </w:rPr>
        <w:footnoteRef/>
      </w:r>
      <w:r w:rsidRPr="00B806FD">
        <w:t xml:space="preserve"> </w:t>
      </w:r>
      <w:r w:rsidRPr="00B806FD">
        <w:tab/>
        <w:t xml:space="preserve">The Governor’s veto was overridden with </w:t>
      </w:r>
      <w:ins w:id="625" w:author="Jonathan Cervas" w:date="2023-06-29T13:35:00Z">
        <w:r w:rsidR="002E6BEF">
          <w:t>the</w:t>
        </w:r>
      </w:ins>
      <w:del w:id="626" w:author="Jonathan Cervas" w:date="2023-06-29T13:35:00Z">
        <w:r w:rsidRPr="00B806FD" w:rsidDel="002E6BEF">
          <w:delText>a</w:delText>
        </w:r>
      </w:del>
      <w:r w:rsidRPr="00B806FD">
        <w:t xml:space="preserve"> minimum</w:t>
      </w:r>
      <w:ins w:id="627" w:author="Jonathan Cervas" w:date="2023-06-29T13:36:00Z">
        <w:r w:rsidR="002E6BEF">
          <w:t>,</w:t>
        </w:r>
      </w:ins>
      <w:r w:rsidRPr="00B806FD">
        <w:t xml:space="preserve"> twenty-seven (27)</w:t>
      </w:r>
      <w:ins w:id="628" w:author="Jonathan Cervas" w:date="2023-06-29T13:36:00Z">
        <w:r w:rsidR="002E6BEF">
          <w:t>,</w:t>
        </w:r>
      </w:ins>
      <w:r w:rsidRPr="00B806FD">
        <w:t xml:space="preserve"> votes in the state senate and one over the minimum</w:t>
      </w:r>
      <w:ins w:id="629" w:author="Jonathan Cervas" w:date="2023-06-29T13:36:00Z">
        <w:r w:rsidR="002E6BEF">
          <w:t>,</w:t>
        </w:r>
      </w:ins>
      <w:r w:rsidRPr="00B806FD">
        <w:t xml:space="preserve"> eighty-five (85)</w:t>
      </w:r>
      <w:ins w:id="630" w:author="Jonathan Cervas" w:date="2023-06-29T13:36:00Z">
        <w:r w:rsidR="002E6BEF">
          <w:t>,</w:t>
        </w:r>
      </w:ins>
      <w:r w:rsidRPr="00B806FD">
        <w:t xml:space="preserve"> in the state house.</w:t>
      </w:r>
    </w:p>
  </w:footnote>
  <w:footnote w:id="280">
    <w:p w14:paraId="4D171D36" w14:textId="6569B9AF" w:rsidR="00743C64" w:rsidRPr="00B806FD" w:rsidRDefault="00743C64" w:rsidP="00B806FD">
      <w:pPr>
        <w:pStyle w:val="FootnoteText"/>
      </w:pPr>
      <w:r w:rsidRPr="00B806FD">
        <w:rPr>
          <w:rStyle w:val="FootnoteReference"/>
        </w:rPr>
        <w:footnoteRef/>
      </w:r>
      <w:r w:rsidRPr="00B806FD">
        <w:t xml:space="preserve"> </w:t>
      </w:r>
      <w:r w:rsidRPr="00B806FD">
        <w:tab/>
      </w:r>
      <w:ins w:id="631" w:author="Jonathan Cervas" w:date="2023-06-29T13:39:00Z">
        <w:r w:rsidR="002E6BEF" w:rsidRPr="002E6BEF">
          <w:rPr>
            <w:noProof/>
          </w:rPr>
          <w:t>Rivera v. Schwab, 315 Kan. 877</w:t>
        </w:r>
      </w:ins>
      <w:ins w:id="632" w:author="Jonathan Cervas" w:date="2023-06-29T13:41:00Z">
        <w:r w:rsidR="002E6BEF">
          <w:rPr>
            <w:noProof/>
          </w:rPr>
          <w:t xml:space="preserve"> </w:t>
        </w:r>
      </w:ins>
      <w:ins w:id="633" w:author="Jonathan Cervas" w:date="2023-06-29T13:39:00Z">
        <w:r w:rsidR="002E6BEF" w:rsidRPr="002E6BEF">
          <w:rPr>
            <w:noProof/>
          </w:rPr>
          <w:t>(2022)</w:t>
        </w:r>
      </w:ins>
      <w:ins w:id="634" w:author="Jonathan Cervas" w:date="2023-06-29T13:41:00Z">
        <w:r w:rsidR="002E6BEF">
          <w:rPr>
            <w:noProof/>
          </w:rPr>
          <w:t>.</w:t>
        </w:r>
      </w:ins>
      <w:ins w:id="635" w:author="Jonathan Cervas" w:date="2023-06-29T13:39:00Z">
        <w:r w:rsidR="002E6BEF" w:rsidRPr="002E6BEF" w:rsidDel="002E6BEF">
          <w:rPr>
            <w:noProof/>
          </w:rPr>
          <w:t xml:space="preserve"> </w:t>
        </w:r>
      </w:ins>
      <w:del w:id="636" w:author="Jonathan Cervas" w:date="2023-06-29T13:38:00Z">
        <w:r w:rsidRPr="00B806FD" w:rsidDel="002E6BEF">
          <w:rPr>
            <w:noProof/>
          </w:rPr>
          <w:delText>Rivera v. Schwab, No. 2022-CV-000089, at *6 (Wyandotte Kan. Cnty. Dist. Ct. 2022).</w:delText>
        </w:r>
      </w:del>
    </w:p>
  </w:footnote>
  <w:footnote w:id="281">
    <w:p w14:paraId="0AC8724B" w14:textId="23A707F5" w:rsidR="00743C64" w:rsidRPr="00B806FD" w:rsidRDefault="00743C64" w:rsidP="00B806FD">
      <w:pPr>
        <w:pStyle w:val="FootnoteText"/>
      </w:pPr>
      <w:r w:rsidRPr="00B806FD">
        <w:rPr>
          <w:rStyle w:val="FootnoteReference"/>
        </w:rPr>
        <w:footnoteRef/>
      </w:r>
      <w:r w:rsidRPr="00B806FD">
        <w:t xml:space="preserve"> </w:t>
      </w:r>
      <w:r w:rsidRPr="00B806FD">
        <w:tab/>
      </w:r>
      <w:r w:rsidRPr="00B806FD">
        <w:rPr>
          <w:i/>
          <w:iCs/>
        </w:rPr>
        <w:t>Id.</w:t>
      </w:r>
      <w:ins w:id="637" w:author="Jonathan Cervas" w:date="2023-06-29T17:02:00Z">
        <w:r w:rsidR="00153E10">
          <w:rPr>
            <w:i/>
            <w:iCs/>
          </w:rPr>
          <w:t xml:space="preserve"> </w:t>
        </w:r>
      </w:ins>
      <w:r w:rsidRPr="00B806FD">
        <w:t xml:space="preserve">at </w:t>
      </w:r>
      <w:del w:id="638" w:author="Jonathan Cervas" w:date="2023-06-29T13:39:00Z">
        <w:r w:rsidRPr="00B806FD" w:rsidDel="002E6BEF">
          <w:delText>*208.</w:delText>
        </w:r>
      </w:del>
      <w:ins w:id="639" w:author="Jonathan Cervas" w:date="2023-06-29T13:39:00Z">
        <w:r w:rsidR="002E6BEF">
          <w:t>880.</w:t>
        </w:r>
      </w:ins>
    </w:p>
  </w:footnote>
  <w:footnote w:id="282">
    <w:p w14:paraId="46D55A46" w14:textId="0E85A5EB" w:rsidR="00743C64" w:rsidRPr="00B806FD" w:rsidRDefault="00743C64"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w:t>
      </w:r>
      <w:ins w:id="640" w:author="Jonathan Cervas" w:date="2023-06-29T13:43:00Z">
        <w:r w:rsidR="002E6BEF" w:rsidRPr="002E6BEF">
          <w:t>885</w:t>
        </w:r>
      </w:ins>
      <w:del w:id="641" w:author="Jonathan Cervas" w:date="2023-06-29T13:43:00Z">
        <w:r w:rsidRPr="00B806FD" w:rsidDel="002E6BEF">
          <w:delText>at *53.</w:delText>
        </w:r>
      </w:del>
    </w:p>
  </w:footnote>
  <w:footnote w:id="283">
    <w:p w14:paraId="01F4FDA9" w14:textId="58A2D82C"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rPr>
          <w:i/>
          <w:iCs/>
        </w:rPr>
        <w:t>Id.</w:t>
      </w:r>
      <w:r w:rsidRPr="00B806FD">
        <w:t xml:space="preserve"> at </w:t>
      </w:r>
      <w:ins w:id="642" w:author="Jonathan Cervas" w:date="2023-06-29T13:44:00Z">
        <w:r w:rsidR="002E6BEF" w:rsidRPr="002E6BEF">
          <w:t>946</w:t>
        </w:r>
      </w:ins>
      <w:del w:id="643" w:author="Jonathan Cervas" w:date="2023-06-29T13:44:00Z">
        <w:r w:rsidRPr="00B806FD" w:rsidDel="002E6BEF">
          <w:delText>*65</w:delText>
        </w:r>
      </w:del>
      <w:r w:rsidRPr="00B806FD">
        <w:t>.</w:t>
      </w:r>
    </w:p>
  </w:footnote>
  <w:footnote w:id="284">
    <w:p w14:paraId="2EB3E1C9" w14:textId="34980163" w:rsidR="00743C64" w:rsidRPr="00B806FD" w:rsidRDefault="00743C64" w:rsidP="00B806FD">
      <w:pPr>
        <w:pStyle w:val="FootnoteText"/>
      </w:pPr>
      <w:r w:rsidRPr="00B806FD">
        <w:rPr>
          <w:rStyle w:val="FootnoteReference"/>
        </w:rPr>
        <w:footnoteRef/>
      </w:r>
      <w:r w:rsidRPr="00B806FD">
        <w:t xml:space="preserve"> </w:t>
      </w:r>
      <w:r w:rsidR="00A14541" w:rsidRPr="00B806FD">
        <w:tab/>
      </w:r>
      <w:ins w:id="645" w:author="Jonathan Cervas" w:date="2023-06-29T13:46:00Z">
        <w:r w:rsidR="00511739" w:rsidRPr="00511739">
          <w:rPr>
            <w:i/>
            <w:iCs/>
            <w:noProof/>
            <w:rPrChange w:id="646" w:author="Jonathan Cervas" w:date="2023-06-29T13:46:00Z">
              <w:rPr>
                <w:noProof/>
              </w:rPr>
            </w:rPrChange>
          </w:rPr>
          <w:t>Id.</w:t>
        </w:r>
        <w:r w:rsidR="00511739">
          <w:rPr>
            <w:noProof/>
          </w:rPr>
          <w:t xml:space="preserve"> at </w:t>
        </w:r>
      </w:ins>
      <w:ins w:id="647" w:author="Jonathan Cervas" w:date="2023-06-29T13:45:00Z">
        <w:r w:rsidR="002E6BEF" w:rsidRPr="002E6BEF">
          <w:rPr>
            <w:noProof/>
          </w:rPr>
          <w:t>881</w:t>
        </w:r>
        <w:r w:rsidR="002E6BEF">
          <w:rPr>
            <w:noProof/>
          </w:rPr>
          <w:t>. (saying “</w:t>
        </w:r>
        <w:r w:rsidR="002E6BEF" w:rsidRPr="002E6BEF">
          <w:rPr>
            <w:noProof/>
          </w:rPr>
          <w:t>Defendants, who we will refer to as the State, appealed and on May 18 we held that, on the record before us, plaintiffs have not prevailed on their claims that Sub. SB 355 violates the Kansas Constitution.</w:t>
        </w:r>
        <w:r w:rsidR="002E6BEF">
          <w:rPr>
            <w:noProof/>
          </w:rPr>
          <w:t>”).</w:t>
        </w:r>
      </w:ins>
      <w:del w:id="648" w:author="Jonathan Cervas" w:date="2023-06-29T13:45:00Z">
        <w:r w:rsidRPr="00B806FD" w:rsidDel="002E6BEF">
          <w:rPr>
            <w:noProof/>
          </w:rPr>
          <w:delText xml:space="preserve">Rivera v. Schwab, </w:delText>
        </w:r>
        <w:bookmarkStart w:id="649" w:name="_Hlk125198148"/>
        <w:r w:rsidRPr="00B806FD" w:rsidDel="002E6BEF">
          <w:rPr>
            <w:noProof/>
          </w:rPr>
          <w:delText>512 P.3d 168</w:delText>
        </w:r>
        <w:bookmarkEnd w:id="649"/>
        <w:r w:rsidRPr="00B806FD" w:rsidDel="002E6BEF">
          <w:rPr>
            <w:noProof/>
          </w:rPr>
          <w:delText>, 173 (Kan. 2022).</w:delText>
        </w:r>
      </w:del>
    </w:p>
  </w:footnote>
  <w:footnote w:id="285">
    <w:p w14:paraId="45E9A800" w14:textId="5675B671" w:rsidR="00743C64" w:rsidRPr="00B806FD" w:rsidRDefault="00743C64" w:rsidP="00B806FD">
      <w:pPr>
        <w:pStyle w:val="FootnoteText"/>
      </w:pPr>
      <w:r w:rsidRPr="00B806FD">
        <w:rPr>
          <w:rStyle w:val="FootnoteReference"/>
        </w:rPr>
        <w:footnoteRef/>
      </w:r>
      <w:r w:rsidRPr="00B806FD">
        <w:t xml:space="preserve"> </w:t>
      </w:r>
      <w:r w:rsidR="00A14541" w:rsidRPr="00B806FD">
        <w:tab/>
      </w:r>
      <w:ins w:id="663" w:author="Jonathan Cervas" w:date="2023-06-29T13:51:00Z">
        <w:r w:rsidR="00511739">
          <w:rPr>
            <w:i/>
            <w:iCs/>
          </w:rPr>
          <w:t xml:space="preserve">Id. </w:t>
        </w:r>
        <w:r w:rsidR="00511739">
          <w:t>at</w:t>
        </w:r>
      </w:ins>
      <w:ins w:id="664" w:author="Jonathan Cervas" w:date="2023-06-29T13:50:00Z">
        <w:r w:rsidR="00511739" w:rsidRPr="00511739">
          <w:rPr>
            <w:i/>
            <w:iCs/>
          </w:rPr>
          <w:t xml:space="preserve"> </w:t>
        </w:r>
        <w:r w:rsidR="00511739" w:rsidRPr="00511739">
          <w:rPr>
            <w:rPrChange w:id="665" w:author="Jonathan Cervas" w:date="2023-06-29T13:51:00Z">
              <w:rPr>
                <w:i/>
                <w:iCs/>
              </w:rPr>
            </w:rPrChange>
          </w:rPr>
          <w:t>888</w:t>
        </w:r>
        <w:r w:rsidR="00511739">
          <w:t xml:space="preserve"> (listing, “</w:t>
        </w:r>
        <w:r w:rsidR="00511739" w:rsidRPr="00511739">
          <w:rPr>
            <w:rPrChange w:id="666" w:author="Jonathan Cervas" w:date="2023-06-29T13:50:00Z">
              <w:rPr>
                <w:i/>
                <w:iCs/>
              </w:rPr>
            </w:rPrChange>
          </w:rPr>
          <w:t>(1) whether the Elections Clause bars state courts from reviewing reapportionment legislation for compliance with state law; (2) what standards this court should use when interpreting and applying the relevant provisions in the Kansas Constitution; (3) whether claims of partisan gerrymandering are justiciable; and (4) whether Ad Astra 2 discriminates against minority voters.</w:t>
        </w:r>
        <w:r w:rsidR="00511739">
          <w:t>”)</w:t>
        </w:r>
        <w:r w:rsidR="00511739" w:rsidRPr="00511739">
          <w:rPr>
            <w:rPrChange w:id="667" w:author="Jonathan Cervas" w:date="2023-06-29T13:50:00Z">
              <w:rPr>
                <w:i/>
                <w:iCs/>
              </w:rPr>
            </w:rPrChange>
          </w:rPr>
          <w:t xml:space="preserve"> </w:t>
        </w:r>
      </w:ins>
      <w:del w:id="668" w:author="Jonathan Cervas" w:date="2023-06-29T13:50:00Z">
        <w:r w:rsidRPr="00511739" w:rsidDel="00511739">
          <w:rPr>
            <w:rPrChange w:id="669" w:author="Jonathan Cervas" w:date="2023-06-29T13:50:00Z">
              <w:rPr>
                <w:i/>
                <w:iCs/>
              </w:rPr>
            </w:rPrChange>
          </w:rPr>
          <w:delText>Id.</w:delText>
        </w:r>
        <w:r w:rsidRPr="00511739" w:rsidDel="00511739">
          <w:delText xml:space="preserve"> at 177.</w:delText>
        </w:r>
      </w:del>
    </w:p>
  </w:footnote>
  <w:footnote w:id="286">
    <w:p w14:paraId="2FDED986" w14:textId="56E82F5B"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rPr>
          <w:i/>
          <w:iCs/>
        </w:rPr>
        <w:t>Id.</w:t>
      </w:r>
      <w:r w:rsidRPr="00B806FD">
        <w:t xml:space="preserve"> at </w:t>
      </w:r>
      <w:ins w:id="670" w:author="Jonathan Cervas" w:date="2023-06-29T13:52:00Z">
        <w:r w:rsidR="00511739" w:rsidRPr="00511739">
          <w:t>906</w:t>
        </w:r>
      </w:ins>
      <w:del w:id="671" w:author="Jonathan Cervas" w:date="2023-06-29T13:52:00Z">
        <w:r w:rsidRPr="00B806FD" w:rsidDel="00511739">
          <w:delText>187</w:delText>
        </w:r>
      </w:del>
      <w:r w:rsidRPr="00B806FD">
        <w:t>.</w:t>
      </w:r>
    </w:p>
  </w:footnote>
  <w:footnote w:id="287">
    <w:p w14:paraId="134BB523" w14:textId="27F071A4"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rPr>
          <w:i/>
          <w:iCs/>
        </w:rPr>
        <w:t>I</w:t>
      </w:r>
      <w:ins w:id="672" w:author="Jonathan Cervas" w:date="2023-06-29T13:52:00Z">
        <w:r w:rsidR="00511739">
          <w:rPr>
            <w:i/>
            <w:iCs/>
          </w:rPr>
          <w:t>bi</w:t>
        </w:r>
      </w:ins>
      <w:r w:rsidRPr="00B806FD">
        <w:rPr>
          <w:i/>
          <w:iCs/>
        </w:rPr>
        <w:t>d.</w:t>
      </w:r>
      <w:r w:rsidRPr="00B806FD" w:rsidDel="00E13F6C">
        <w:t xml:space="preserve"> </w:t>
      </w:r>
    </w:p>
  </w:footnote>
  <w:footnote w:id="288">
    <w:p w14:paraId="5A70AFD1" w14:textId="58F530DF"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rPr>
          <w:i/>
          <w:iCs/>
        </w:rPr>
        <w:t>Id.</w:t>
      </w:r>
      <w:r w:rsidRPr="00B806FD">
        <w:t xml:space="preserve"> at </w:t>
      </w:r>
      <w:ins w:id="673" w:author="Jonathan Cervas" w:date="2023-06-29T13:54:00Z">
        <w:r w:rsidR="00511739" w:rsidRPr="00511739">
          <w:t>917</w:t>
        </w:r>
      </w:ins>
      <w:del w:id="674" w:author="Jonathan Cervas" w:date="2023-06-29T13:54:00Z">
        <w:r w:rsidRPr="00B806FD" w:rsidDel="00511739">
          <w:delText>193–94</w:delText>
        </w:r>
      </w:del>
      <w:r w:rsidRPr="00B806FD">
        <w:t>.</w:t>
      </w:r>
    </w:p>
  </w:footnote>
  <w:footnote w:id="289">
    <w:p w14:paraId="3015D64B" w14:textId="5B70E79E" w:rsidR="00743C64" w:rsidRPr="00B806FD" w:rsidRDefault="00743C64" w:rsidP="00511739">
      <w:pPr>
        <w:pStyle w:val="FootnoteText"/>
      </w:pPr>
      <w:r w:rsidRPr="00B806FD">
        <w:rPr>
          <w:rStyle w:val="FootnoteReference"/>
        </w:rPr>
        <w:footnoteRef/>
      </w:r>
      <w:r w:rsidRPr="00B806FD">
        <w:t xml:space="preserve"> </w:t>
      </w:r>
      <w:r w:rsidR="00A14541" w:rsidRPr="00B806FD">
        <w:tab/>
      </w:r>
      <w:r w:rsidRPr="00B806FD">
        <w:rPr>
          <w:i/>
          <w:iCs/>
        </w:rPr>
        <w:t xml:space="preserve">See </w:t>
      </w:r>
      <w:ins w:id="678" w:author="Jonathan Cervas" w:date="2023-06-29T13:54:00Z">
        <w:r w:rsidR="00511739">
          <w:rPr>
            <w:i/>
            <w:iCs/>
          </w:rPr>
          <w:t>I</w:t>
        </w:r>
      </w:ins>
      <w:del w:id="679" w:author="Jonathan Cervas" w:date="2023-06-29T13:54:00Z">
        <w:r w:rsidRPr="00B806FD" w:rsidDel="00511739">
          <w:rPr>
            <w:i/>
            <w:iCs/>
          </w:rPr>
          <w:delText>i</w:delText>
        </w:r>
      </w:del>
      <w:r w:rsidRPr="00B806FD">
        <w:rPr>
          <w:i/>
          <w:iCs/>
        </w:rPr>
        <w:t>d.</w:t>
      </w:r>
      <w:r w:rsidRPr="00B806FD">
        <w:t xml:space="preserve"> </w:t>
      </w:r>
      <w:ins w:id="680" w:author="Jonathan Cervas" w:date="2023-06-29T14:03:00Z">
        <w:r w:rsidR="00DB01D0">
          <w:t>At 918. (stating “</w:t>
        </w:r>
        <w:r w:rsidR="00DB01D0" w:rsidRPr="00DB01D0">
          <w:t>In the future, should the people of Kansas choose to codify clear standards **194 limiting partisan gerrymandering, or should future plaintiffs be able to properly establish the elements legally required to show unlawful racial discrimination in the redistricting process, Kansas courthouse doors will be open. For now, the legal errors permeating the lower court's decision compel us to reverse its judgment.</w:t>
        </w:r>
        <w:r w:rsidR="00DB01D0">
          <w:t>”)</w:t>
        </w:r>
      </w:ins>
      <w:del w:id="681" w:author="Jonathan Cervas" w:date="2023-06-29T14:03:00Z">
        <w:r w:rsidRPr="00B806FD" w:rsidDel="00DB01D0">
          <w:delText xml:space="preserve">at </w:delText>
        </w:r>
      </w:del>
      <w:del w:id="682" w:author="Jonathan Cervas" w:date="2023-06-29T13:55:00Z">
        <w:r w:rsidRPr="00B806FD" w:rsidDel="00511739">
          <w:delText>183–87.</w:delText>
        </w:r>
      </w:del>
    </w:p>
  </w:footnote>
  <w:footnote w:id="290">
    <w:p w14:paraId="42C94F98" w14:textId="169BED62" w:rsidR="00D41874" w:rsidRPr="00B806FD" w:rsidRDefault="00D41874" w:rsidP="00B806FD">
      <w:pPr>
        <w:pStyle w:val="FootnoteText"/>
      </w:pPr>
      <w:r w:rsidRPr="00B806FD">
        <w:rPr>
          <w:rStyle w:val="FootnoteReference"/>
        </w:rPr>
        <w:footnoteRef/>
      </w:r>
      <w:r w:rsidRPr="00B806FD">
        <w:t xml:space="preserve"> </w:t>
      </w:r>
      <w:r w:rsidRPr="00B806FD">
        <w:tab/>
      </w:r>
      <w:r w:rsidRPr="00B806FD">
        <w:rPr>
          <w:i/>
          <w:iCs/>
        </w:rPr>
        <w:t xml:space="preserve">See </w:t>
      </w:r>
      <w:ins w:id="683" w:author="Jonathan Cervas" w:date="2023-06-28T17:24:00Z">
        <w:r w:rsidR="008032E2" w:rsidRPr="008032E2">
          <w:t xml:space="preserve">In re Cong. </w:t>
        </w:r>
        <w:proofErr w:type="spellStart"/>
        <w:r w:rsidR="008032E2" w:rsidRPr="008032E2">
          <w:t>Dists</w:t>
        </w:r>
        <w:proofErr w:type="spellEnd"/>
        <w:r w:rsidR="008032E2" w:rsidRPr="008032E2">
          <w:t>. by N.J. Redistricting Comm'n</w:t>
        </w:r>
        <w:r w:rsidR="008032E2" w:rsidRPr="008032E2" w:rsidDel="008032E2">
          <w:t xml:space="preserve"> </w:t>
        </w:r>
      </w:ins>
      <w:del w:id="684" w:author="Jonathan Cervas" w:date="2023-06-28T17:23:00Z">
        <w:r w:rsidRPr="00B806FD" w:rsidDel="008032E2">
          <w:rPr>
            <w:noProof/>
          </w:rPr>
          <w:delText xml:space="preserve">Steinhardt v. New Jersey Redistricting Comm'n, </w:delText>
        </w:r>
      </w:del>
      <w:r w:rsidRPr="00B806FD">
        <w:rPr>
          <w:noProof/>
        </w:rPr>
        <w:t>249 N.J. 561, 566-67</w:t>
      </w:r>
      <w:del w:id="685" w:author="Jonathan Cervas" w:date="2023-06-29T14:27:00Z">
        <w:r w:rsidRPr="00B806FD" w:rsidDel="00E93A20">
          <w:rPr>
            <w:noProof/>
          </w:rPr>
          <w:delText xml:space="preserve"> </w:delText>
        </w:r>
      </w:del>
      <w:r w:rsidRPr="00B806FD">
        <w:rPr>
          <w:noProof/>
        </w:rPr>
        <w:t>(2022).</w:t>
      </w:r>
    </w:p>
  </w:footnote>
  <w:footnote w:id="291">
    <w:p w14:paraId="3FFF5CC0" w14:textId="4ECB435E" w:rsidR="00D41874" w:rsidRPr="00B806FD" w:rsidRDefault="00D41874" w:rsidP="00B806FD">
      <w:pPr>
        <w:pStyle w:val="FootnoteText"/>
      </w:pPr>
      <w:r w:rsidRPr="00B806FD">
        <w:rPr>
          <w:rStyle w:val="FootnoteReference"/>
        </w:rPr>
        <w:footnoteRef/>
      </w:r>
      <w:r w:rsidRPr="00B806FD">
        <w:rPr>
          <w:i/>
          <w:iCs/>
        </w:rPr>
        <w:t xml:space="preserve"> </w:t>
      </w:r>
      <w:r w:rsidRPr="00B806FD">
        <w:rPr>
          <w:i/>
          <w:iCs/>
        </w:rPr>
        <w:tab/>
        <w:t xml:space="preserve">See </w:t>
      </w:r>
      <w:ins w:id="686" w:author="Jonathan Cervas" w:date="2023-06-29T14:27:00Z">
        <w:r w:rsidR="00E93A20">
          <w:rPr>
            <w:i/>
            <w:iCs/>
          </w:rPr>
          <w:t>I</w:t>
        </w:r>
      </w:ins>
      <w:del w:id="687" w:author="Jonathan Cervas" w:date="2023-06-29T14:27:00Z">
        <w:r w:rsidRPr="00B806FD" w:rsidDel="00E93A20">
          <w:rPr>
            <w:i/>
            <w:iCs/>
          </w:rPr>
          <w:delText>i</w:delText>
        </w:r>
      </w:del>
      <w:r w:rsidRPr="00B806FD">
        <w:rPr>
          <w:i/>
          <w:iCs/>
        </w:rPr>
        <w:t>d.</w:t>
      </w:r>
      <w:r w:rsidRPr="00B806FD">
        <w:t xml:space="preserve"> at 575.</w:t>
      </w:r>
    </w:p>
  </w:footnote>
  <w:footnote w:id="292">
    <w:p w14:paraId="4296061F" w14:textId="14170D6B" w:rsidR="00D41874" w:rsidRPr="00E93A20" w:rsidRDefault="00D41874" w:rsidP="00B806FD">
      <w:pPr>
        <w:pStyle w:val="FootnoteText"/>
      </w:pPr>
      <w:r w:rsidRPr="00B806FD">
        <w:rPr>
          <w:rStyle w:val="FootnoteReference"/>
        </w:rPr>
        <w:footnoteRef/>
      </w:r>
      <w:r w:rsidRPr="00B806FD">
        <w:t xml:space="preserve"> </w:t>
      </w:r>
      <w:r w:rsidRPr="00B806FD">
        <w:tab/>
      </w:r>
      <w:del w:id="688" w:author="Jonathan Cervas" w:date="2023-06-29T14:34:00Z">
        <w:r w:rsidRPr="00E93A20" w:rsidDel="00E93A20">
          <w:rPr>
            <w:i/>
            <w:iCs/>
            <w:rPrChange w:id="689" w:author="Jonathan Cervas" w:date="2023-06-29T14:34:00Z">
              <w:rPr/>
            </w:rPrChange>
          </w:rPr>
          <w:delText xml:space="preserve">This quote was said orally and reported in multiple news outlets.  Matt Friedman, </w:delText>
        </w:r>
        <w:r w:rsidRPr="00E93A20" w:rsidDel="00E93A20">
          <w:rPr>
            <w:i/>
            <w:iCs/>
          </w:rPr>
          <w:delText>New Jersey Supreme Court Asks Wallace to Elaborate on Redistricting Decision</w:delText>
        </w:r>
        <w:r w:rsidRPr="00E93A20" w:rsidDel="00E93A20">
          <w:rPr>
            <w:i/>
            <w:iCs/>
            <w:rPrChange w:id="690" w:author="Jonathan Cervas" w:date="2023-06-29T14:34:00Z">
              <w:rPr/>
            </w:rPrChange>
          </w:rPr>
          <w:delText xml:space="preserve">, </w:delText>
        </w:r>
        <w:r w:rsidRPr="00E93A20" w:rsidDel="00E93A20">
          <w:rPr>
            <w:i/>
            <w:iCs/>
            <w:smallCaps/>
            <w:rPrChange w:id="691" w:author="Jonathan Cervas" w:date="2023-06-29T14:34:00Z">
              <w:rPr>
                <w:smallCaps/>
              </w:rPr>
            </w:rPrChange>
          </w:rPr>
          <w:delText>Politico</w:delText>
        </w:r>
        <w:r w:rsidRPr="00E93A20" w:rsidDel="00E93A20">
          <w:rPr>
            <w:i/>
            <w:iCs/>
            <w:rPrChange w:id="692" w:author="Jonathan Cervas" w:date="2023-06-29T14:34:00Z">
              <w:rPr/>
            </w:rPrChange>
          </w:rPr>
          <w:delText xml:space="preserve"> (Jan. 4, 2022), https://www.politico.com/states/new-jersey/whiteboard/2022/01/04/new-jersey-supreme-court-asks-wallace-to-elaborate-on-redistricting-decision-1404229 [</w:delText>
        </w:r>
        <w:r w:rsidRPr="00E93A20" w:rsidDel="00E93A20">
          <w:rPr>
            <w:rStyle w:val="normaltextrun"/>
            <w:i/>
            <w:iCs/>
            <w:shd w:val="clear" w:color="auto" w:fill="E1E3E6"/>
            <w:rPrChange w:id="693" w:author="Jonathan Cervas" w:date="2023-06-29T14:34:00Z">
              <w:rPr>
                <w:rStyle w:val="normaltextrun"/>
                <w:shd w:val="clear" w:color="auto" w:fill="E1E3E6"/>
              </w:rPr>
            </w:rPrChange>
          </w:rPr>
          <w:delText>https://perma.cc/3ZPK-S8ZH]</w:delText>
        </w:r>
        <w:r w:rsidRPr="00E93A20" w:rsidDel="00E93A20">
          <w:rPr>
            <w:i/>
            <w:iCs/>
            <w:rPrChange w:id="694" w:author="Jonathan Cervas" w:date="2023-06-29T14:34:00Z">
              <w:rPr/>
            </w:rPrChange>
          </w:rPr>
          <w:delText>.</w:delText>
        </w:r>
      </w:del>
      <w:ins w:id="695" w:author="Jonathan Cervas" w:date="2023-06-29T14:34:00Z">
        <w:r w:rsidR="00E93A20">
          <w:rPr>
            <w:i/>
            <w:iCs/>
          </w:rPr>
          <w:t xml:space="preserve">Id. </w:t>
        </w:r>
        <w:r w:rsidR="00E93A20">
          <w:t xml:space="preserve">at </w:t>
        </w:r>
        <w:r w:rsidR="00E93A20" w:rsidRPr="00E93A20">
          <w:t>573</w:t>
        </w:r>
        <w:r w:rsidR="00E93A20">
          <w:t>.</w:t>
        </w:r>
      </w:ins>
    </w:p>
  </w:footnote>
  <w:footnote w:id="293">
    <w:p w14:paraId="10759AF9" w14:textId="507528B2" w:rsidR="00D41874" w:rsidRPr="00B806FD" w:rsidRDefault="00D41874" w:rsidP="008032E2">
      <w:pPr>
        <w:pStyle w:val="FootnoteText"/>
      </w:pPr>
      <w:r w:rsidRPr="00B806FD">
        <w:rPr>
          <w:rStyle w:val="FootnoteReference"/>
        </w:rPr>
        <w:footnoteRef/>
      </w:r>
      <w:r w:rsidRPr="00B806FD">
        <w:t xml:space="preserve"> </w:t>
      </w:r>
      <w:r w:rsidRPr="00B806FD">
        <w:tab/>
      </w:r>
      <w:ins w:id="696" w:author="Jonathan Cervas" w:date="2023-06-29T14:35:00Z">
        <w:r w:rsidR="00E93A20">
          <w:rPr>
            <w:i/>
            <w:iCs/>
          </w:rPr>
          <w:t>Id.</w:t>
        </w:r>
      </w:ins>
      <w:ins w:id="697" w:author="Jonathan Cervas" w:date="2023-06-28T17:22:00Z">
        <w:r w:rsidR="008032E2">
          <w:t xml:space="preserve"> </w:t>
        </w:r>
      </w:ins>
      <w:ins w:id="698" w:author="Jonathan Cervas" w:date="2023-06-29T14:30:00Z">
        <w:r w:rsidR="00E93A20">
          <w:t xml:space="preserve">at </w:t>
        </w:r>
      </w:ins>
      <w:ins w:id="699" w:author="Jonathan Cervas" w:date="2023-06-28T17:22:00Z">
        <w:r w:rsidR="008032E2">
          <w:t>568</w:t>
        </w:r>
      </w:ins>
      <w:ins w:id="700" w:author="Jonathan Cervas" w:date="2023-06-29T14:30:00Z">
        <w:r w:rsidR="00E93A20">
          <w:rPr>
            <w:noProof/>
          </w:rPr>
          <w:t>.</w:t>
        </w:r>
      </w:ins>
      <w:ins w:id="701" w:author="Jonathan Cervas" w:date="2023-06-28T17:22:00Z">
        <w:r w:rsidR="008032E2">
          <w:t xml:space="preserve"> (“</w:t>
        </w:r>
        <w:r w:rsidR="008032E2">
          <w:t>Plaintiffs ask the Court to vacate the Commission's decision and remand the matter to the Commission for further proceedings, with the Chair, Justice Wallace, recused.</w:t>
        </w:r>
        <w:r w:rsidR="008032E2">
          <w:t>”)</w:t>
        </w:r>
      </w:ins>
      <w:del w:id="702" w:author="Jonathan Cervas" w:date="2023-06-28T17:22:00Z">
        <w:r w:rsidRPr="00B806FD" w:rsidDel="008032E2">
          <w:delText>Steinhardt, 249 N.J. at 568.</w:delText>
        </w:r>
      </w:del>
    </w:p>
  </w:footnote>
  <w:footnote w:id="294">
    <w:p w14:paraId="0AC6EF6B" w14:textId="7E469C37" w:rsidR="00D41874" w:rsidRPr="00B806FD" w:rsidRDefault="00D41874" w:rsidP="00B806FD">
      <w:pPr>
        <w:pStyle w:val="FootnoteText"/>
      </w:pPr>
      <w:r w:rsidRPr="00B806FD">
        <w:rPr>
          <w:rStyle w:val="FootnoteReference"/>
        </w:rPr>
        <w:footnoteRef/>
      </w:r>
      <w:r w:rsidRPr="00B806FD">
        <w:t xml:space="preserve"> </w:t>
      </w:r>
      <w:r w:rsidRPr="00B806FD">
        <w:tab/>
      </w:r>
      <w:r w:rsidRPr="00B806FD">
        <w:rPr>
          <w:i/>
          <w:iCs/>
        </w:rPr>
        <w:t>I</w:t>
      </w:r>
      <w:ins w:id="703" w:author="Jonathan Cervas" w:date="2023-06-28T17:25:00Z">
        <w:r w:rsidR="00533AC7">
          <w:rPr>
            <w:i/>
            <w:iCs/>
          </w:rPr>
          <w:t>bi</w:t>
        </w:r>
      </w:ins>
      <w:r w:rsidRPr="00B806FD">
        <w:rPr>
          <w:i/>
          <w:iCs/>
        </w:rPr>
        <w:t>d</w:t>
      </w:r>
      <w:r w:rsidRPr="00B806FD">
        <w:t>.</w:t>
      </w:r>
    </w:p>
  </w:footnote>
  <w:footnote w:id="295">
    <w:p w14:paraId="0CDB8EC0" w14:textId="5A2434D7" w:rsidR="00D41874" w:rsidRPr="00B806FD" w:rsidRDefault="00D41874" w:rsidP="00B806FD">
      <w:pPr>
        <w:pStyle w:val="FootnoteText"/>
      </w:pPr>
      <w:r w:rsidRPr="00B806FD">
        <w:rPr>
          <w:rStyle w:val="FootnoteReference"/>
        </w:rPr>
        <w:footnoteRef/>
      </w:r>
      <w:r w:rsidRPr="00B806FD">
        <w:t xml:space="preserve"> </w:t>
      </w:r>
      <w:r w:rsidRPr="00B806FD">
        <w:tab/>
      </w:r>
      <w:r w:rsidRPr="00B806FD">
        <w:rPr>
          <w:i/>
          <w:iCs/>
        </w:rPr>
        <w:t xml:space="preserve">Id. </w:t>
      </w:r>
      <w:r w:rsidRPr="00B806FD">
        <w:t>at 569</w:t>
      </w:r>
      <w:ins w:id="705" w:author="Jonathan Cervas" w:date="2023-06-29T14:37:00Z">
        <w:r w:rsidR="00E93A20">
          <w:t xml:space="preserve">, citing </w:t>
        </w:r>
        <w:r w:rsidR="00E93A20" w:rsidRPr="00E93A20">
          <w:t xml:space="preserve">Am. </w:t>
        </w:r>
        <w:proofErr w:type="spellStart"/>
        <w:r w:rsidR="00E93A20" w:rsidRPr="00E93A20">
          <w:t>Compl</w:t>
        </w:r>
        <w:proofErr w:type="spellEnd"/>
        <w:r w:rsidR="00E93A20" w:rsidRPr="00E93A20">
          <w:t>. ¶¶ 7, 8, 101</w:t>
        </w:r>
      </w:ins>
      <w:r w:rsidRPr="00B806FD">
        <w:t>.</w:t>
      </w:r>
    </w:p>
  </w:footnote>
  <w:footnote w:id="296">
    <w:p w14:paraId="5E001C09" w14:textId="1A09FA4A" w:rsidR="00D41874" w:rsidRPr="00B806FD" w:rsidRDefault="00D41874" w:rsidP="00B806FD">
      <w:pPr>
        <w:pStyle w:val="FootnoteText"/>
      </w:pPr>
      <w:r w:rsidRPr="00B806FD">
        <w:rPr>
          <w:rStyle w:val="FootnoteReference"/>
        </w:rPr>
        <w:footnoteRef/>
      </w:r>
      <w:r w:rsidRPr="00B806FD">
        <w:t xml:space="preserve"> </w:t>
      </w:r>
      <w:r w:rsidRPr="00B806FD">
        <w:tab/>
      </w:r>
      <w:r w:rsidRPr="00B806FD">
        <w:rPr>
          <w:i/>
          <w:iCs/>
        </w:rPr>
        <w:t xml:space="preserve">Supra </w:t>
      </w:r>
      <w:proofErr w:type="spellStart"/>
      <w:r w:rsidRPr="00B806FD">
        <w:t>tbl</w:t>
      </w:r>
      <w:proofErr w:type="spellEnd"/>
      <w:r w:rsidRPr="00B806FD">
        <w:t>. 1.</w:t>
      </w:r>
    </w:p>
  </w:footnote>
  <w:footnote w:id="297">
    <w:p w14:paraId="45407FA1" w14:textId="50BC6B92" w:rsidR="00D41874" w:rsidRPr="00B806FD" w:rsidRDefault="00D41874" w:rsidP="00B806FD">
      <w:pPr>
        <w:pStyle w:val="FootnoteText"/>
      </w:pPr>
      <w:r w:rsidRPr="00B806FD">
        <w:rPr>
          <w:rStyle w:val="FootnoteReference"/>
        </w:rPr>
        <w:footnoteRef/>
      </w:r>
      <w:r w:rsidRPr="00B806FD">
        <w:t xml:space="preserve"> </w:t>
      </w:r>
      <w:r w:rsidRPr="00B806FD">
        <w:tab/>
      </w:r>
      <w:ins w:id="706" w:author="Jonathan Cervas" w:date="2023-06-29T14:39:00Z">
        <w:r w:rsidR="000413A5" w:rsidRPr="000413A5">
          <w:rPr>
            <w:i/>
            <w:iCs/>
            <w:rPrChange w:id="707" w:author="Jonathan Cervas" w:date="2023-06-29T14:39:00Z">
              <w:rPr/>
            </w:rPrChange>
          </w:rPr>
          <w:t xml:space="preserve">In re Cong. </w:t>
        </w:r>
        <w:proofErr w:type="spellStart"/>
        <w:r w:rsidR="000413A5" w:rsidRPr="000413A5">
          <w:rPr>
            <w:i/>
            <w:iCs/>
            <w:rPrChange w:id="708" w:author="Jonathan Cervas" w:date="2023-06-29T14:39:00Z">
              <w:rPr/>
            </w:rPrChange>
          </w:rPr>
          <w:t>Dists</w:t>
        </w:r>
        <w:proofErr w:type="spellEnd"/>
        <w:r w:rsidR="000413A5" w:rsidRPr="000413A5">
          <w:rPr>
            <w:i/>
            <w:iCs/>
            <w:rPrChange w:id="709" w:author="Jonathan Cervas" w:date="2023-06-29T14:39:00Z">
              <w:rPr/>
            </w:rPrChange>
          </w:rPr>
          <w:t>. by N.J. Redistricting Comm'n</w:t>
        </w:r>
      </w:ins>
      <w:del w:id="710" w:author="Jonathan Cervas" w:date="2023-06-29T14:39:00Z">
        <w:r w:rsidRPr="00B806FD" w:rsidDel="000413A5">
          <w:rPr>
            <w:i/>
            <w:iCs/>
          </w:rPr>
          <w:delText>Steinhardt</w:delText>
        </w:r>
      </w:del>
      <w:r w:rsidRPr="00B806FD">
        <w:t>,</w:t>
      </w:r>
      <w:ins w:id="711" w:author="Jonathan Cervas" w:date="2023-06-29T14:38:00Z">
        <w:r w:rsidR="000413A5">
          <w:t xml:space="preserve"> </w:t>
        </w:r>
      </w:ins>
      <w:r w:rsidRPr="00B806FD">
        <w:t>249 N.J. at 577.</w:t>
      </w:r>
    </w:p>
  </w:footnote>
  <w:footnote w:id="298">
    <w:p w14:paraId="566D0EB7" w14:textId="5380A04C" w:rsidR="00D41874" w:rsidRPr="00B806FD" w:rsidRDefault="00D41874" w:rsidP="00B806FD">
      <w:pPr>
        <w:pStyle w:val="FootnoteText"/>
      </w:pPr>
      <w:r w:rsidRPr="00B806FD">
        <w:rPr>
          <w:rStyle w:val="FootnoteReference"/>
        </w:rPr>
        <w:footnoteRef/>
      </w:r>
      <w:r w:rsidRPr="00B806FD">
        <w:t xml:space="preserve"> </w:t>
      </w:r>
      <w:r w:rsidRPr="00B806FD">
        <w:tab/>
        <w:t>N.J. Const. art. II, § 2, ¶¶ 7, 9.</w:t>
      </w:r>
    </w:p>
  </w:footnote>
  <w:footnote w:id="299">
    <w:p w14:paraId="30DA6A68" w14:textId="073D8903" w:rsidR="00D41874" w:rsidRPr="00B806FD" w:rsidRDefault="00D41874" w:rsidP="00B806FD">
      <w:pPr>
        <w:pStyle w:val="FootnoteText"/>
      </w:pPr>
      <w:r w:rsidRPr="00B806FD">
        <w:rPr>
          <w:rStyle w:val="FootnoteReference"/>
        </w:rPr>
        <w:footnoteRef/>
      </w:r>
      <w:r w:rsidRPr="00B806FD">
        <w:t xml:space="preserve"> </w:t>
      </w:r>
      <w:r w:rsidRPr="00B806FD">
        <w:tab/>
      </w:r>
      <w:ins w:id="712" w:author="Jonathan Cervas" w:date="2023-06-29T14:39:00Z">
        <w:r w:rsidR="002F712B" w:rsidRPr="00FC1D58">
          <w:rPr>
            <w:i/>
            <w:iCs/>
          </w:rPr>
          <w:t xml:space="preserve">In re Cong. </w:t>
        </w:r>
        <w:proofErr w:type="spellStart"/>
        <w:r w:rsidR="002F712B" w:rsidRPr="00FC1D58">
          <w:rPr>
            <w:i/>
            <w:iCs/>
          </w:rPr>
          <w:t>Dists</w:t>
        </w:r>
        <w:proofErr w:type="spellEnd"/>
        <w:r w:rsidR="002F712B" w:rsidRPr="00FC1D58">
          <w:rPr>
            <w:i/>
            <w:iCs/>
          </w:rPr>
          <w:t>. by N.J. Redistricting Comm'n</w:t>
        </w:r>
      </w:ins>
      <w:del w:id="713" w:author="Jonathan Cervas" w:date="2023-06-29T14:39:00Z">
        <w:r w:rsidRPr="00B806FD" w:rsidDel="002F712B">
          <w:rPr>
            <w:i/>
            <w:iCs/>
          </w:rPr>
          <w:delText>Steinhardt</w:delText>
        </w:r>
      </w:del>
      <w:r w:rsidRPr="00B806FD">
        <w:t>, 249 N.J.</w:t>
      </w:r>
      <w:ins w:id="714" w:author="Jonathan Cervas" w:date="2023-06-29T14:39:00Z">
        <w:r w:rsidR="002F712B">
          <w:t xml:space="preserve"> </w:t>
        </w:r>
      </w:ins>
      <w:r w:rsidRPr="00B806FD">
        <w:t>at 580.</w:t>
      </w:r>
    </w:p>
  </w:footnote>
  <w:footnote w:id="300">
    <w:p w14:paraId="4630EF26" w14:textId="529E0AFA" w:rsidR="00D41874" w:rsidRPr="00B806FD" w:rsidRDefault="00D41874" w:rsidP="00B806FD">
      <w:pPr>
        <w:pStyle w:val="FootnoteText"/>
      </w:pPr>
      <w:r w:rsidRPr="00B806FD">
        <w:rPr>
          <w:rStyle w:val="FootnoteReference"/>
        </w:rPr>
        <w:footnoteRef/>
      </w:r>
      <w:r w:rsidRPr="00B806FD">
        <w:t xml:space="preserve"> </w:t>
      </w:r>
      <w:r w:rsidRPr="00B806FD">
        <w:tab/>
      </w:r>
      <w:r w:rsidRPr="00B806FD">
        <w:rPr>
          <w:i/>
          <w:iCs/>
        </w:rPr>
        <w:t>I</w:t>
      </w:r>
      <w:ins w:id="715" w:author="Jonathan Cervas" w:date="2023-06-28T17:25:00Z">
        <w:r w:rsidR="00533AC7">
          <w:rPr>
            <w:i/>
            <w:iCs/>
          </w:rPr>
          <w:t>bi</w:t>
        </w:r>
      </w:ins>
      <w:r w:rsidRPr="00B806FD">
        <w:rPr>
          <w:i/>
          <w:iCs/>
        </w:rPr>
        <w:t>d.</w:t>
      </w:r>
    </w:p>
  </w:footnote>
  <w:footnote w:id="301">
    <w:p w14:paraId="5E5356B3" w14:textId="4DE741E9" w:rsidR="00D41874" w:rsidRPr="00B806FD" w:rsidRDefault="00D41874" w:rsidP="00B806FD">
      <w:pPr>
        <w:pStyle w:val="FootnoteText"/>
      </w:pPr>
      <w:r w:rsidRPr="00B806FD">
        <w:rPr>
          <w:rStyle w:val="FootnoteReference"/>
        </w:rPr>
        <w:footnoteRef/>
      </w:r>
      <w:r w:rsidRPr="00B806FD">
        <w:t xml:space="preserve"> </w:t>
      </w:r>
      <w:r w:rsidRPr="00B806FD">
        <w:tab/>
        <w:t xml:space="preserve">View Adopted 2022 Map, </w:t>
      </w:r>
      <w:r w:rsidRPr="00B806FD">
        <w:rPr>
          <w:smallCaps/>
        </w:rPr>
        <w:t>New Jersey Congressional Redistricting Commission</w:t>
      </w:r>
      <w:r w:rsidRPr="00B806FD">
        <w:t>, https://www.njredistrictingcommission.org/adoption2022map.asp [https://perma.cc/A8LN-PHUN] (last visited Jan. 7, 2023).</w:t>
      </w:r>
    </w:p>
  </w:footnote>
  <w:footnote w:id="302">
    <w:p w14:paraId="3E31FF52" w14:textId="516C6481" w:rsidR="00D41874" w:rsidRPr="00B806FD" w:rsidRDefault="00D41874" w:rsidP="00B806FD">
      <w:pPr>
        <w:pStyle w:val="FootnoteText"/>
      </w:pPr>
      <w:r w:rsidRPr="00B806FD">
        <w:rPr>
          <w:rStyle w:val="FootnoteReference"/>
        </w:rPr>
        <w:footnoteRef/>
      </w:r>
      <w:r w:rsidRPr="00B806FD">
        <w:t xml:space="preserve"> </w:t>
      </w:r>
      <w:r w:rsidRPr="00B806FD">
        <w:tab/>
      </w:r>
      <w:ins w:id="716" w:author="Jonathan Cervas" w:date="2023-06-29T14:45:00Z">
        <w:r w:rsidR="002F712B" w:rsidRPr="00FC1D58">
          <w:rPr>
            <w:i/>
            <w:iCs/>
          </w:rPr>
          <w:t xml:space="preserve">In re Cong. </w:t>
        </w:r>
        <w:proofErr w:type="spellStart"/>
        <w:r w:rsidR="002F712B" w:rsidRPr="00FC1D58">
          <w:rPr>
            <w:i/>
            <w:iCs/>
          </w:rPr>
          <w:t>Dists</w:t>
        </w:r>
        <w:proofErr w:type="spellEnd"/>
        <w:r w:rsidR="002F712B" w:rsidRPr="00FC1D58">
          <w:rPr>
            <w:i/>
            <w:iCs/>
          </w:rPr>
          <w:t>. by N.J. Redistricting</w:t>
        </w:r>
      </w:ins>
      <w:del w:id="717" w:author="Jonathan Cervas" w:date="2023-06-29T14:45:00Z">
        <w:r w:rsidRPr="00B806FD" w:rsidDel="002F712B">
          <w:rPr>
            <w:i/>
            <w:iCs/>
          </w:rPr>
          <w:delText>Steinhardt</w:delText>
        </w:r>
      </w:del>
      <w:r w:rsidRPr="00B806FD">
        <w:t>, 249 N.J. at 580.</w:t>
      </w:r>
    </w:p>
  </w:footnote>
  <w:footnote w:id="303">
    <w:p w14:paraId="03FAD68E" w14:textId="04F5A905" w:rsidR="007F2ABF" w:rsidRDefault="007F2ABF">
      <w:pPr>
        <w:pStyle w:val="FootnoteText"/>
      </w:pPr>
      <w:ins w:id="721" w:author="Jonathan Cervas" w:date="2023-06-29T14:50:00Z">
        <w:r>
          <w:rPr>
            <w:rStyle w:val="FootnoteReference"/>
          </w:rPr>
          <w:footnoteRef/>
        </w:r>
        <w:r>
          <w:t xml:space="preserve"> </w:t>
        </w:r>
      </w:ins>
      <w:ins w:id="722" w:author="Jonathan Cervas" w:date="2023-06-29T14:51:00Z">
        <w:r>
          <w:tab/>
        </w:r>
        <w:r w:rsidRPr="007F2ABF">
          <w:rPr>
            <w:i/>
            <w:iCs/>
            <w:rPrChange w:id="723" w:author="Jonathan Cervas" w:date="2023-06-29T14:51:00Z">
              <w:rPr/>
            </w:rPrChange>
          </w:rPr>
          <w:t>Id</w:t>
        </w:r>
        <w:r>
          <w:t>. at</w:t>
        </w:r>
      </w:ins>
      <w:ins w:id="724" w:author="Jonathan Cervas" w:date="2023-06-29T14:50:00Z">
        <w:r w:rsidRPr="007F2ABF">
          <w:t xml:space="preserve"> 576</w:t>
        </w:r>
      </w:ins>
      <w:ins w:id="725" w:author="Jonathan Cervas" w:date="2023-06-29T14:51:00Z">
        <w:r>
          <w:t xml:space="preserve">. </w:t>
        </w:r>
      </w:ins>
      <w:proofErr w:type="gramStart"/>
      <w:ins w:id="726" w:author="Jonathan Cervas" w:date="2023-06-29T14:50:00Z">
        <w:r>
          <w:t>(</w:t>
        </w:r>
        <w:proofErr w:type="gramEnd"/>
        <w:r>
          <w:t>“[Plaintiffs']</w:t>
        </w:r>
        <w:r w:rsidRPr="007F2ABF">
          <w:t xml:space="preserve"> argument</w:t>
        </w:r>
        <w:r>
          <w:t xml:space="preserve"> []</w:t>
        </w:r>
        <w:r w:rsidRPr="007F2ABF">
          <w:t xml:space="preserve"> does not purport to establish that the map is unlawful. Plaintiffs’ claim therefore cannot prevail.</w:t>
        </w:r>
        <w:r>
          <w:t>”)</w:t>
        </w:r>
      </w:ins>
    </w:p>
  </w:footnote>
  <w:footnote w:id="304">
    <w:p w14:paraId="544A1795" w14:textId="54FC1122" w:rsidR="005D32B0" w:rsidRPr="005D32B0" w:rsidRDefault="005D32B0">
      <w:pPr>
        <w:pStyle w:val="FootnoteText"/>
        <w:rPr>
          <w:i/>
          <w:iCs/>
          <w:rPrChange w:id="730" w:author="Jonathan Cervas" w:date="2023-06-29T14:54:00Z">
            <w:rPr/>
          </w:rPrChange>
        </w:rPr>
      </w:pPr>
      <w:ins w:id="731" w:author="Jonathan Cervas" w:date="2023-06-29T14:54:00Z">
        <w:r>
          <w:rPr>
            <w:rStyle w:val="FootnoteReference"/>
          </w:rPr>
          <w:footnoteRef/>
        </w:r>
        <w:r>
          <w:t xml:space="preserve"> </w:t>
        </w:r>
        <w:r>
          <w:rPr>
            <w:i/>
            <w:iCs/>
          </w:rPr>
          <w:tab/>
          <w:t xml:space="preserve">See </w:t>
        </w:r>
        <w:r>
          <w:t xml:space="preserve">Sam Wang, </w:t>
        </w:r>
        <w:r>
          <w:rPr>
            <w:i/>
            <w:iCs/>
          </w:rPr>
          <w:t>The Great Gerrymander of 2012</w:t>
        </w:r>
        <w:r>
          <w:t xml:space="preserve">, </w:t>
        </w:r>
        <w:r>
          <w:rPr>
            <w:smallCaps/>
          </w:rPr>
          <w:t>The New York Times</w:t>
        </w:r>
        <w:r>
          <w:t xml:space="preserve">, Feb. 2, 2013, </w:t>
        </w:r>
        <w:r>
          <w:fldChar w:fldCharType="begin"/>
        </w:r>
        <w:r>
          <w:instrText>HYPERLINK "https://www.nytimes.com/2013/02/03/opinion/sunday/the-great-gerrymander-of-2012.html"</w:instrText>
        </w:r>
        <w:r>
          <w:fldChar w:fldCharType="separate"/>
        </w:r>
        <w:r>
          <w:rPr>
            <w:rStyle w:val="Hyperlink"/>
          </w:rPr>
          <w:t>https://www.nytimes.com/2013/02/03/opinion/sunday/the-great-gerrymander-of-2012.html</w:t>
        </w:r>
        <w:r>
          <w:fldChar w:fldCharType="end"/>
        </w:r>
        <w:r>
          <w:t xml:space="preserve"> (last visited Jun 29, 2023)</w:t>
        </w:r>
        <w:r>
          <w:t>.</w:t>
        </w:r>
      </w:ins>
    </w:p>
  </w:footnote>
  <w:footnote w:id="305">
    <w:p w14:paraId="0296FB11" w14:textId="0A170217" w:rsidR="00052E1C" w:rsidRPr="00B806FD" w:rsidRDefault="00052E1C" w:rsidP="00B806FD">
      <w:pPr>
        <w:pStyle w:val="FootnoteText"/>
      </w:pPr>
      <w:r w:rsidRPr="00B806FD">
        <w:rPr>
          <w:rStyle w:val="FootnoteReference"/>
        </w:rPr>
        <w:footnoteRef/>
      </w:r>
      <w:r w:rsidRPr="00B806FD">
        <w:t xml:space="preserve"> </w:t>
      </w:r>
      <w:r w:rsidRPr="00B806FD">
        <w:tab/>
        <w:t>Gill v. Whitford, 138 S. Ct. 1916, 1923 (2018).</w:t>
      </w:r>
    </w:p>
  </w:footnote>
  <w:footnote w:id="306">
    <w:p w14:paraId="752A6941" w14:textId="30283F86" w:rsidR="00052E1C" w:rsidRPr="00B806FD" w:rsidRDefault="00052E1C"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t>Wis. Const. art. IV, § 3.</w:t>
      </w:r>
    </w:p>
  </w:footnote>
  <w:footnote w:id="307">
    <w:p w14:paraId="7714D7A7" w14:textId="2E3A504A" w:rsidR="00052E1C" w:rsidRPr="00B806FD" w:rsidRDefault="00052E1C" w:rsidP="00B806FD">
      <w:pPr>
        <w:pStyle w:val="FootnoteText"/>
      </w:pPr>
      <w:r w:rsidRPr="00B806FD">
        <w:rPr>
          <w:rStyle w:val="FootnoteReference"/>
        </w:rPr>
        <w:footnoteRef/>
      </w:r>
      <w:r w:rsidRPr="00B806FD">
        <w:t xml:space="preserve"> </w:t>
      </w:r>
      <w:r w:rsidRPr="00B806FD">
        <w:tab/>
      </w:r>
      <w:r w:rsidRPr="00B806FD">
        <w:rPr>
          <w:i/>
          <w:iCs/>
        </w:rPr>
        <w:t>Party Control of Wisconsin State Government</w:t>
      </w:r>
      <w:r w:rsidRPr="00B806FD">
        <w:t xml:space="preserve">, </w:t>
      </w:r>
      <w:r w:rsidRPr="00B806FD">
        <w:rPr>
          <w:smallCaps/>
        </w:rPr>
        <w:t>Ballotpedia</w:t>
      </w:r>
      <w:r w:rsidRPr="00B806FD">
        <w:t>, https://ballotpedia.org/Party_control_of_Wisconsin_state_government [https://perma.cc/7FD7-L5Y3] (last visited Dec. 24, 2022).</w:t>
      </w:r>
    </w:p>
  </w:footnote>
  <w:footnote w:id="308">
    <w:p w14:paraId="75A207F1" w14:textId="48FF9BE8" w:rsidR="00052E1C" w:rsidRPr="00B806FD" w:rsidRDefault="00052E1C" w:rsidP="00B806FD">
      <w:pPr>
        <w:pStyle w:val="FootnoteText"/>
      </w:pPr>
      <w:r w:rsidRPr="00B806FD">
        <w:rPr>
          <w:rStyle w:val="FootnoteReference"/>
        </w:rPr>
        <w:footnoteRef/>
      </w:r>
      <w:r w:rsidRPr="00B806FD">
        <w:t xml:space="preserve"> </w:t>
      </w:r>
      <w:r w:rsidRPr="00B806FD">
        <w:tab/>
      </w:r>
      <w:r w:rsidRPr="00B806FD">
        <w:rPr>
          <w:noProof/>
        </w:rPr>
        <w:t>Johnson v. Wisconsin Elections Comm'n, 400 Wis. 2d 626, 633 (2022).</w:t>
      </w:r>
      <w:ins w:id="733" w:author="Jonathan Cervas" w:date="2023-06-29T15:03:00Z">
        <w:r w:rsidR="00AF1D04">
          <w:rPr>
            <w:noProof/>
          </w:rPr>
          <w:t xml:space="preserve"> (</w:t>
        </w:r>
        <w:r w:rsidR="00AF1D04" w:rsidRPr="00AF1D04">
          <w:rPr>
            <w:noProof/>
          </w:rPr>
          <w:t>"We have given the political branches a fair opportunity to carry out their constitutional responsibilities.")</w:t>
        </w:r>
      </w:ins>
    </w:p>
  </w:footnote>
  <w:footnote w:id="309">
    <w:p w14:paraId="6417A681" w14:textId="0EE5076A" w:rsidR="00052E1C" w:rsidRPr="00AF1D04" w:rsidRDefault="00052E1C" w:rsidP="00B806FD">
      <w:pPr>
        <w:pStyle w:val="FootnoteText"/>
      </w:pPr>
      <w:r w:rsidRPr="00B806FD">
        <w:rPr>
          <w:rStyle w:val="FootnoteReference"/>
        </w:rPr>
        <w:footnoteRef/>
      </w:r>
      <w:r w:rsidRPr="00B806FD">
        <w:t xml:space="preserve"> </w:t>
      </w:r>
      <w:r w:rsidRPr="00B806FD">
        <w:tab/>
      </w:r>
      <w:r w:rsidRPr="00B806FD">
        <w:rPr>
          <w:i/>
          <w:iCs/>
        </w:rPr>
        <w:t>I</w:t>
      </w:r>
      <w:ins w:id="734" w:author="Jonathan Cervas" w:date="2023-06-29T15:04:00Z">
        <w:r w:rsidR="00AF1D04">
          <w:rPr>
            <w:i/>
            <w:iCs/>
          </w:rPr>
          <w:t>bi</w:t>
        </w:r>
      </w:ins>
      <w:r w:rsidRPr="00B806FD">
        <w:rPr>
          <w:i/>
          <w:iCs/>
        </w:rPr>
        <w:t>d</w:t>
      </w:r>
      <w:r w:rsidRPr="00AF1D04">
        <w:rPr>
          <w:rPrChange w:id="735" w:author="Jonathan Cervas" w:date="2023-06-29T15:04:00Z">
            <w:rPr>
              <w:i/>
              <w:iCs/>
            </w:rPr>
          </w:rPrChange>
        </w:rPr>
        <w:t>.</w:t>
      </w:r>
      <w:ins w:id="736" w:author="Jonathan Cervas" w:date="2023-06-29T15:04:00Z">
        <w:r w:rsidR="00AF1D04" w:rsidRPr="00AF1D04">
          <w:rPr>
            <w:rPrChange w:id="737" w:author="Jonathan Cervas" w:date="2023-06-29T15:04:00Z">
              <w:rPr>
                <w:i/>
                <w:iCs/>
              </w:rPr>
            </w:rPrChange>
          </w:rPr>
          <w:t xml:space="preserve"> </w:t>
        </w:r>
        <w:r w:rsidR="00AF1D04" w:rsidRPr="00AF1D04">
          <w:rPr>
            <w:rPrChange w:id="738" w:author="Jonathan Cervas" w:date="2023-06-29T15:04:00Z">
              <w:rPr>
                <w:i/>
                <w:iCs/>
              </w:rPr>
            </w:rPrChange>
          </w:rPr>
          <w:t>("We are therefore left with the unwelcome task of filling the gap.")</w:t>
        </w:r>
      </w:ins>
    </w:p>
  </w:footnote>
  <w:footnote w:id="310">
    <w:p w14:paraId="7A5B89BD" w14:textId="0F412935" w:rsidR="00052E1C" w:rsidRPr="00B806FD" w:rsidRDefault="00052E1C" w:rsidP="00B806FD">
      <w:pPr>
        <w:pStyle w:val="FootnoteText"/>
      </w:pPr>
      <w:r w:rsidRPr="00B806FD">
        <w:rPr>
          <w:rStyle w:val="FootnoteReference"/>
        </w:rPr>
        <w:footnoteRef/>
      </w:r>
      <w:r w:rsidRPr="00B806FD">
        <w:t xml:space="preserve"> </w:t>
      </w:r>
      <w:r w:rsidRPr="00B806FD">
        <w:tab/>
      </w:r>
      <w:ins w:id="739" w:author="Jonathan Cervas" w:date="2023-06-29T15:05:00Z">
        <w:r w:rsidR="00AF1D04" w:rsidRPr="00AF1D04">
          <w:rPr>
            <w:i/>
            <w:iCs/>
          </w:rPr>
          <w:t>Id</w:t>
        </w:r>
        <w:r w:rsidR="00AF1D04">
          <w:t xml:space="preserve">. at </w:t>
        </w:r>
        <w:r w:rsidR="00AF1D04" w:rsidRPr="00AF1D04">
          <w:t>634</w:t>
        </w:r>
        <w:r w:rsidR="00AF1D04">
          <w:t>.</w:t>
        </w:r>
        <w:r w:rsidR="00AF1D04" w:rsidRPr="00AF1D04">
          <w:t xml:space="preserve"> </w:t>
        </w:r>
      </w:ins>
      <w:r w:rsidRPr="00AF1D04">
        <w:t>We</w:t>
      </w:r>
      <w:r w:rsidRPr="00B806FD">
        <w:t xml:space="preserve"> should note that we are highly skeptical of this approach, and new research from computational social science shows that the least change approach is fraught with the danger of simply perpetuating an existing gerrymander.  </w:t>
      </w:r>
      <w:proofErr w:type="spellStart"/>
      <w:r w:rsidRPr="00B806FD">
        <w:t>Amariah</w:t>
      </w:r>
      <w:proofErr w:type="spellEnd"/>
      <w:r w:rsidRPr="00B806FD">
        <w:t xml:space="preserve"> Becker &amp; Dara Gold, </w:t>
      </w:r>
      <w:r w:rsidRPr="00B806FD">
        <w:rPr>
          <w:i/>
          <w:iCs/>
        </w:rPr>
        <w:t>The Gameability of Redistricting Criteria</w:t>
      </w:r>
      <w:r w:rsidRPr="00B806FD">
        <w:t xml:space="preserve">, 5 </w:t>
      </w:r>
      <w:r w:rsidRPr="00B806FD">
        <w:rPr>
          <w:smallCaps/>
        </w:rPr>
        <w:t>J. Comput. Soc. Sci.</w:t>
      </w:r>
      <w:r w:rsidRPr="00B806FD">
        <w:t xml:space="preserve"> 1735, (2022).</w:t>
      </w:r>
    </w:p>
  </w:footnote>
  <w:footnote w:id="311">
    <w:p w14:paraId="24C00090" w14:textId="2E448EA1" w:rsidR="00052E1C" w:rsidRPr="00B806FD" w:rsidRDefault="00052E1C" w:rsidP="00B806FD">
      <w:pPr>
        <w:pStyle w:val="FootnoteText"/>
      </w:pPr>
      <w:r w:rsidRPr="00B806FD">
        <w:rPr>
          <w:rStyle w:val="FootnoteReference"/>
        </w:rPr>
        <w:footnoteRef/>
      </w:r>
      <w:r w:rsidRPr="00B806FD">
        <w:t xml:space="preserve"> </w:t>
      </w:r>
      <w:r w:rsidRPr="00B806FD">
        <w:tab/>
      </w:r>
      <w:r w:rsidRPr="00B806FD">
        <w:rPr>
          <w:i/>
          <w:iCs/>
        </w:rPr>
        <w:t>Johnson</w:t>
      </w:r>
      <w:r w:rsidRPr="00B806FD">
        <w:t>, 400 Wis. 2d at 635.</w:t>
      </w:r>
    </w:p>
  </w:footnote>
  <w:footnote w:id="312">
    <w:p w14:paraId="74E2532D" w14:textId="02F115F0" w:rsidR="00052E1C" w:rsidRPr="00B806FD" w:rsidRDefault="00052E1C"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637.</w:t>
      </w:r>
    </w:p>
  </w:footnote>
  <w:footnote w:id="313">
    <w:p w14:paraId="299DCE66" w14:textId="753F10F9" w:rsidR="00052E1C" w:rsidRPr="00B806FD" w:rsidRDefault="00052E1C"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659.</w:t>
      </w:r>
    </w:p>
  </w:footnote>
  <w:footnote w:id="314">
    <w:p w14:paraId="2603EC02" w14:textId="158AB5EB" w:rsidR="00052E1C" w:rsidRPr="00B806FD" w:rsidRDefault="00052E1C"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650-51, 659.</w:t>
      </w:r>
    </w:p>
  </w:footnote>
  <w:footnote w:id="315">
    <w:p w14:paraId="7F81D11B" w14:textId="6A7FAD83" w:rsidR="00052E1C" w:rsidRPr="00B806FD" w:rsidRDefault="00052E1C"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WIZM staff, </w:t>
      </w:r>
      <w:r w:rsidRPr="00B806FD">
        <w:rPr>
          <w:i/>
          <w:iCs/>
        </w:rPr>
        <w:t>supra</w:t>
      </w:r>
      <w:r w:rsidRPr="00B806FD">
        <w:t xml:space="preserve"> note </w:t>
      </w:r>
      <w:ins w:id="741" w:author="Jonathan Cervas" w:date="2023-06-29T15:08:00Z">
        <w:r w:rsidR="00573C01">
          <w:fldChar w:fldCharType="begin"/>
        </w:r>
        <w:r w:rsidR="00573C01">
          <w:instrText xml:space="preserve"> NOTEREF _Ref138943706 \h </w:instrText>
        </w:r>
      </w:ins>
      <w:r w:rsidR="00573C01">
        <w:fldChar w:fldCharType="separate"/>
      </w:r>
      <w:ins w:id="742" w:author="Jonathan Cervas" w:date="2023-06-29T15:08:00Z">
        <w:r w:rsidR="00573C01">
          <w:t>171</w:t>
        </w:r>
        <w:r w:rsidR="00573C01">
          <w:fldChar w:fldCharType="end"/>
        </w:r>
      </w:ins>
      <w:del w:id="743" w:author="Jonathan Cervas" w:date="2023-06-29T15:08:00Z">
        <w:r w:rsidRPr="00B806FD" w:rsidDel="00573C01">
          <w:delText>169</w:delText>
        </w:r>
      </w:del>
      <w:r w:rsidRPr="00B806FD">
        <w:t>.</w:t>
      </w:r>
    </w:p>
  </w:footnote>
  <w:footnote w:id="316">
    <w:p w14:paraId="3A2BF96F" w14:textId="5126956A" w:rsidR="000714C5" w:rsidRPr="00B806FD" w:rsidRDefault="000714C5" w:rsidP="00B806FD">
      <w:pPr>
        <w:pStyle w:val="FootnoteText"/>
      </w:pPr>
      <w:r w:rsidRPr="00B806FD">
        <w:rPr>
          <w:rStyle w:val="FootnoteReference"/>
        </w:rPr>
        <w:footnoteRef/>
      </w:r>
      <w:r w:rsidRPr="00B806FD">
        <w:t xml:space="preserve"> </w:t>
      </w:r>
      <w:r w:rsidRPr="00B806FD">
        <w:tab/>
        <w:t xml:space="preserve">Daniel Breen, </w:t>
      </w:r>
      <w:r w:rsidRPr="00B806FD">
        <w:rPr>
          <w:i/>
          <w:iCs/>
        </w:rPr>
        <w:t xml:space="preserve">In Post-Trump GOP Split, Gov. Asa Hutchinson Often </w:t>
      </w:r>
      <w:proofErr w:type="gramStart"/>
      <w:r w:rsidRPr="00B806FD">
        <w:rPr>
          <w:i/>
          <w:iCs/>
        </w:rPr>
        <w:t>At</w:t>
      </w:r>
      <w:proofErr w:type="gramEnd"/>
      <w:r w:rsidRPr="00B806FD">
        <w:rPr>
          <w:i/>
          <w:iCs/>
        </w:rPr>
        <w:t xml:space="preserve"> Odds With His Party</w:t>
      </w:r>
      <w:r w:rsidRPr="00B806FD">
        <w:t xml:space="preserve">, </w:t>
      </w:r>
      <w:r w:rsidRPr="00B806FD">
        <w:rPr>
          <w:smallCaps/>
        </w:rPr>
        <w:t>NPR</w:t>
      </w:r>
      <w:r w:rsidRPr="00B806FD">
        <w:t xml:space="preserve"> (Mar. 7, 2021), https://www.npr.org/2021/05/07/994812107/in-post-trump-gop-split-gov-asa-hutchinson-often-at-odds-with-his-party [https://perma.cc/LP4F-ZZWA].</w:t>
      </w:r>
    </w:p>
  </w:footnote>
  <w:footnote w:id="317">
    <w:p w14:paraId="440CEBEB" w14:textId="27EB536B" w:rsidR="000714C5" w:rsidRPr="00B806FD" w:rsidRDefault="000714C5" w:rsidP="00B806FD">
      <w:pPr>
        <w:pStyle w:val="FootnoteText"/>
      </w:pPr>
      <w:r w:rsidRPr="00B806FD">
        <w:rPr>
          <w:rStyle w:val="FootnoteReference"/>
        </w:rPr>
        <w:footnoteRef/>
      </w:r>
      <w:r w:rsidRPr="00B806FD">
        <w:t xml:space="preserve"> </w:t>
      </w:r>
      <w:r w:rsidRPr="00B806FD">
        <w:tab/>
        <w:t>Compl</w:t>
      </w:r>
      <w:ins w:id="744" w:author="Jonathan Cervas" w:date="2023-06-29T15:14:00Z">
        <w:r w:rsidR="00226CAE">
          <w:t>aint</w:t>
        </w:r>
      </w:ins>
      <w:del w:id="745" w:author="Jonathan Cervas" w:date="2023-06-29T15:14:00Z">
        <w:r w:rsidRPr="00B806FD" w:rsidDel="00226CAE">
          <w:delText>.</w:delText>
        </w:r>
      </w:del>
      <w:r w:rsidRPr="00B806FD">
        <w:t xml:space="preserve"> at 2, </w:t>
      </w:r>
      <w:r w:rsidRPr="00B806FD">
        <w:rPr>
          <w:noProof/>
        </w:rPr>
        <w:t>Suttlar v. Thurston, No. 60CV-22-1849 (Ark. Cir. Ct. Pulaski Cty 2022).</w:t>
      </w:r>
    </w:p>
  </w:footnote>
  <w:footnote w:id="318">
    <w:p w14:paraId="3EC372FC" w14:textId="7FF91C84" w:rsidR="000714C5" w:rsidRPr="00B806FD" w:rsidRDefault="000714C5" w:rsidP="00B806FD">
      <w:pPr>
        <w:pStyle w:val="FootnoteText"/>
      </w:pPr>
      <w:r w:rsidRPr="00B806FD">
        <w:rPr>
          <w:rStyle w:val="FootnoteReference"/>
        </w:rPr>
        <w:footnoteRef/>
      </w:r>
      <w:r w:rsidRPr="00B806FD">
        <w:t xml:space="preserve"> </w:t>
      </w:r>
      <w:r w:rsidRPr="00B806FD">
        <w:tab/>
      </w:r>
      <w:r w:rsidRPr="00B806FD">
        <w:rPr>
          <w:i/>
          <w:iCs/>
        </w:rPr>
        <w:t>Governor Hutchinson Allows Vaccine Mandate, Redistricting Bills to Become Law Without His Signature</w:t>
      </w:r>
      <w:r w:rsidRPr="00B806FD">
        <w:t xml:space="preserve">, </w:t>
      </w:r>
      <w:r w:rsidRPr="00B806FD">
        <w:rPr>
          <w:smallCaps/>
        </w:rPr>
        <w:t xml:space="preserve">The Official State Website of the State of Arkansas: Governor's Office </w:t>
      </w:r>
      <w:r w:rsidRPr="00B806FD">
        <w:t>(Oct. 13, 2021), https://directory.arkansas.gov/agency/governors-office/news/governor-hutchinson-allows-vaccine-mandate-redistricting-bills-to-become-law-without-his-signature/ [https://perma.cc/Q7S7-FR2M].</w:t>
      </w:r>
    </w:p>
  </w:footnote>
  <w:footnote w:id="319">
    <w:p w14:paraId="6B1EF480" w14:textId="1B28E080" w:rsidR="000714C5" w:rsidRPr="00B806FD" w:rsidRDefault="000714C5" w:rsidP="00B806FD">
      <w:pPr>
        <w:pStyle w:val="FootnoteText"/>
      </w:pPr>
      <w:r w:rsidRPr="00B806FD">
        <w:rPr>
          <w:rStyle w:val="FootnoteReference"/>
        </w:rPr>
        <w:footnoteRef/>
      </w:r>
      <w:r w:rsidRPr="00B806FD">
        <w:t xml:space="preserve"> </w:t>
      </w:r>
      <w:r w:rsidRPr="00B806FD">
        <w:tab/>
      </w:r>
      <w:r w:rsidRPr="00B806FD">
        <w:rPr>
          <w:i/>
          <w:iCs/>
        </w:rPr>
        <w:t>I</w:t>
      </w:r>
      <w:ins w:id="746" w:author="Jonathan Cervas" w:date="2023-06-29T15:15:00Z">
        <w:r w:rsidR="00226CAE">
          <w:rPr>
            <w:i/>
            <w:iCs/>
          </w:rPr>
          <w:t>bi</w:t>
        </w:r>
      </w:ins>
      <w:r w:rsidRPr="00B806FD">
        <w:rPr>
          <w:i/>
          <w:iCs/>
        </w:rPr>
        <w:t>d.</w:t>
      </w:r>
    </w:p>
  </w:footnote>
  <w:footnote w:id="320">
    <w:p w14:paraId="1D96D33B" w14:textId="6BEAF044" w:rsidR="000714C5" w:rsidRPr="00B806FD" w:rsidRDefault="000714C5" w:rsidP="00B806FD">
      <w:pPr>
        <w:pStyle w:val="FootnoteText"/>
      </w:pPr>
      <w:r w:rsidRPr="00B806FD">
        <w:rPr>
          <w:rStyle w:val="FootnoteReference"/>
        </w:rPr>
        <w:footnoteRef/>
      </w:r>
      <w:r w:rsidRPr="00B806FD">
        <w:t xml:space="preserve"> </w:t>
      </w:r>
      <w:r w:rsidRPr="00B806FD">
        <w:tab/>
        <w:t>Compl</w:t>
      </w:r>
      <w:ins w:id="747" w:author="Jonathan Cervas" w:date="2023-06-29T15:16:00Z">
        <w:r w:rsidR="00226CAE">
          <w:t>aint</w:t>
        </w:r>
      </w:ins>
      <w:del w:id="748" w:author="Jonathan Cervas" w:date="2023-06-29T15:16:00Z">
        <w:r w:rsidRPr="00B806FD" w:rsidDel="00226CAE">
          <w:delText>.</w:delText>
        </w:r>
      </w:del>
      <w:r w:rsidRPr="00B806FD">
        <w:t xml:space="preserve"> at 3, </w:t>
      </w:r>
      <w:proofErr w:type="spellStart"/>
      <w:r w:rsidRPr="00B806FD">
        <w:rPr>
          <w:i/>
          <w:iCs/>
        </w:rPr>
        <w:t>Suttlar</w:t>
      </w:r>
      <w:proofErr w:type="spellEnd"/>
      <w:r w:rsidRPr="00B806FD">
        <w:t>, No. 60CV-22-1849.</w:t>
      </w:r>
    </w:p>
  </w:footnote>
  <w:footnote w:id="321">
    <w:p w14:paraId="3E32344F" w14:textId="41F02FBC" w:rsidR="000714C5" w:rsidRPr="00B806FD" w:rsidRDefault="000714C5"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4.</w:t>
      </w:r>
    </w:p>
  </w:footnote>
  <w:footnote w:id="322">
    <w:p w14:paraId="270D852E" w14:textId="4D3303F7" w:rsidR="000714C5" w:rsidRPr="00B806FD" w:rsidRDefault="000714C5" w:rsidP="00B806FD">
      <w:pPr>
        <w:pStyle w:val="FootnoteText"/>
      </w:pPr>
      <w:r w:rsidRPr="00B806FD">
        <w:rPr>
          <w:rStyle w:val="FootnoteReference"/>
        </w:rPr>
        <w:footnoteRef/>
      </w:r>
      <w:r w:rsidRPr="00B806FD">
        <w:t xml:space="preserve"> </w:t>
      </w:r>
      <w:r w:rsidRPr="00B806FD">
        <w:tab/>
      </w:r>
      <w:r w:rsidRPr="00B806FD">
        <w:rPr>
          <w:i/>
          <w:iCs/>
        </w:rPr>
        <w:t>I</w:t>
      </w:r>
      <w:ins w:id="749" w:author="Jonathan Cervas" w:date="2023-06-29T15:16:00Z">
        <w:r w:rsidR="00226CAE">
          <w:rPr>
            <w:i/>
            <w:iCs/>
          </w:rPr>
          <w:t>bi</w:t>
        </w:r>
      </w:ins>
      <w:r w:rsidRPr="00B806FD">
        <w:rPr>
          <w:i/>
          <w:iCs/>
        </w:rPr>
        <w:t>d.</w:t>
      </w:r>
    </w:p>
  </w:footnote>
  <w:footnote w:id="323">
    <w:p w14:paraId="3C6F5276" w14:textId="11909060" w:rsidR="00E9463D" w:rsidRPr="00B806FD" w:rsidRDefault="00E9463D" w:rsidP="00B806FD">
      <w:pPr>
        <w:pStyle w:val="FootnoteText"/>
      </w:pPr>
      <w:r w:rsidRPr="00B806FD">
        <w:rPr>
          <w:rStyle w:val="FootnoteReference"/>
        </w:rPr>
        <w:footnoteRef/>
      </w:r>
      <w:r w:rsidRPr="00B806FD">
        <w:t xml:space="preserve"> </w:t>
      </w:r>
      <w:r w:rsidRPr="00B806FD">
        <w:tab/>
        <w:t>Compl</w:t>
      </w:r>
      <w:ins w:id="750" w:author="Jonathan Cervas" w:date="2023-06-29T15:16:00Z">
        <w:r w:rsidR="00226CAE">
          <w:t>aint</w:t>
        </w:r>
      </w:ins>
      <w:del w:id="751" w:author="Jonathan Cervas" w:date="2023-06-29T15:16:00Z">
        <w:r w:rsidRPr="00B806FD" w:rsidDel="00226CAE">
          <w:delText>.</w:delText>
        </w:r>
      </w:del>
      <w:r w:rsidRPr="00B806FD">
        <w:t xml:space="preserve"> at 3, Black Voters Matter Capacity Building Inst., Inc. v. Lee, No. 2022-CA-000666 (Fla. Cir. Ct. 2022).</w:t>
      </w:r>
    </w:p>
  </w:footnote>
  <w:footnote w:id="324">
    <w:p w14:paraId="15BB3C15" w14:textId="1F1875C0" w:rsidR="00E9463D" w:rsidRPr="00B806FD" w:rsidRDefault="00E9463D" w:rsidP="00B806FD">
      <w:pPr>
        <w:pStyle w:val="FootnoteText"/>
      </w:pPr>
      <w:r w:rsidRPr="00B806FD">
        <w:rPr>
          <w:rStyle w:val="FootnoteReference"/>
        </w:rPr>
        <w:footnoteRef/>
      </w:r>
      <w:r w:rsidRPr="00B806FD">
        <w:t xml:space="preserve"> </w:t>
      </w:r>
      <w:r w:rsidRPr="00B806FD">
        <w:tab/>
      </w:r>
      <w:r w:rsidRPr="00B806FD">
        <w:rPr>
          <w:i/>
          <w:iCs/>
        </w:rPr>
        <w:t>I</w:t>
      </w:r>
      <w:ins w:id="752" w:author="Jonathan Cervas" w:date="2023-06-29T15:16:00Z">
        <w:r w:rsidR="00226CAE">
          <w:rPr>
            <w:i/>
            <w:iCs/>
          </w:rPr>
          <w:t>bi</w:t>
        </w:r>
      </w:ins>
      <w:r w:rsidRPr="00B806FD">
        <w:rPr>
          <w:i/>
          <w:iCs/>
        </w:rPr>
        <w:t>d.</w:t>
      </w:r>
    </w:p>
  </w:footnote>
  <w:footnote w:id="325">
    <w:p w14:paraId="4AFCA27B" w14:textId="5576628E" w:rsidR="00E9463D" w:rsidRPr="00B806FD" w:rsidRDefault="00E946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22.</w:t>
      </w:r>
    </w:p>
  </w:footnote>
  <w:footnote w:id="326">
    <w:p w14:paraId="58F23301" w14:textId="21257E93" w:rsidR="00E9463D" w:rsidRPr="00B806FD" w:rsidRDefault="00E946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23.</w:t>
      </w:r>
    </w:p>
  </w:footnote>
  <w:footnote w:id="327">
    <w:p w14:paraId="5E9BA3E6" w14:textId="73094532" w:rsidR="00E9463D" w:rsidRPr="00B806FD" w:rsidRDefault="00E946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3. </w:t>
      </w:r>
    </w:p>
  </w:footnote>
  <w:footnote w:id="328">
    <w:p w14:paraId="13EB9609" w14:textId="2645436D" w:rsidR="00E9463D" w:rsidRPr="00B806FD" w:rsidRDefault="00E9463D"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4.</w:t>
      </w:r>
    </w:p>
  </w:footnote>
  <w:footnote w:id="329">
    <w:p w14:paraId="4FE784D3" w14:textId="0446EE82" w:rsidR="00E9463D" w:rsidRPr="00B806FD" w:rsidRDefault="00E9463D" w:rsidP="00B806FD">
      <w:pPr>
        <w:pStyle w:val="FootnoteText"/>
      </w:pPr>
      <w:r w:rsidRPr="00B806FD">
        <w:rPr>
          <w:rStyle w:val="FootnoteReference"/>
        </w:rPr>
        <w:footnoteRef/>
      </w:r>
      <w:r w:rsidRPr="00B806FD">
        <w:t xml:space="preserve"> </w:t>
      </w:r>
      <w:r w:rsidRPr="00B806FD">
        <w:tab/>
      </w:r>
      <w:r w:rsidRPr="00B806FD">
        <w:rPr>
          <w:i/>
          <w:iCs/>
        </w:rPr>
        <w:t>I</w:t>
      </w:r>
      <w:ins w:id="753" w:author="Jonathan Cervas" w:date="2023-06-29T15:19:00Z">
        <w:r w:rsidR="00226CAE">
          <w:rPr>
            <w:i/>
            <w:iCs/>
          </w:rPr>
          <w:t>bi</w:t>
        </w:r>
      </w:ins>
      <w:r w:rsidRPr="00B806FD">
        <w:rPr>
          <w:i/>
          <w:iCs/>
        </w:rPr>
        <w:t>d.</w:t>
      </w:r>
      <w:r w:rsidRPr="00B806FD" w:rsidDel="00744EE7">
        <w:t xml:space="preserve"> </w:t>
      </w:r>
    </w:p>
  </w:footnote>
  <w:footnote w:id="330">
    <w:p w14:paraId="7FDF7D46" w14:textId="45B2DDE0" w:rsidR="00E9463D" w:rsidRPr="00B806FD" w:rsidRDefault="00E9463D" w:rsidP="00B806FD">
      <w:pPr>
        <w:pStyle w:val="FootnoteText"/>
      </w:pPr>
      <w:r w:rsidRPr="00B806FD">
        <w:rPr>
          <w:rStyle w:val="FootnoteReference"/>
        </w:rPr>
        <w:footnoteRef/>
      </w:r>
      <w:r w:rsidRPr="00B806FD">
        <w:t xml:space="preserve"> </w:t>
      </w:r>
      <w:r w:rsidRPr="00B806FD">
        <w:tab/>
        <w:t>Fl. Const. art. III, § 20.</w:t>
      </w:r>
    </w:p>
  </w:footnote>
  <w:footnote w:id="331">
    <w:p w14:paraId="3BD5D27A" w14:textId="20D1251B" w:rsidR="00E9463D" w:rsidRPr="00B806FD" w:rsidRDefault="00E9463D" w:rsidP="00B806FD">
      <w:pPr>
        <w:pStyle w:val="FootnoteText"/>
      </w:pPr>
      <w:r w:rsidRPr="00B806FD">
        <w:rPr>
          <w:rStyle w:val="FootnoteReference"/>
        </w:rPr>
        <w:footnoteRef/>
      </w:r>
      <w:r w:rsidRPr="00B806FD">
        <w:t xml:space="preserve"> </w:t>
      </w:r>
      <w:r w:rsidRPr="00B806FD">
        <w:tab/>
        <w:t>Compl</w:t>
      </w:r>
      <w:ins w:id="754" w:author="Jonathan Cervas" w:date="2023-06-29T15:20:00Z">
        <w:r w:rsidR="00BC0E36">
          <w:t>aint</w:t>
        </w:r>
      </w:ins>
      <w:del w:id="755" w:author="Jonathan Cervas" w:date="2023-06-29T15:20:00Z">
        <w:r w:rsidRPr="00B806FD" w:rsidDel="00BC0E36">
          <w:delText>.</w:delText>
        </w:r>
      </w:del>
      <w:r w:rsidRPr="00B806FD">
        <w:t xml:space="preserve"> at 25-32, Black Voters Matter Capacity Building Inst., Inc. v. Lee, No. 2022-CA-000666 (Fla. Cir. Ct. 2022).</w:t>
      </w:r>
    </w:p>
  </w:footnote>
  <w:footnote w:id="332">
    <w:p w14:paraId="14F86977" w14:textId="7D910ABB" w:rsidR="00E9463D" w:rsidRPr="00B806FD" w:rsidRDefault="00E9463D" w:rsidP="00B806FD">
      <w:pPr>
        <w:pStyle w:val="FootnoteText"/>
      </w:pPr>
      <w:r w:rsidRPr="00B806FD">
        <w:rPr>
          <w:rStyle w:val="FootnoteReference"/>
        </w:rPr>
        <w:footnoteRef/>
      </w:r>
      <w:r w:rsidRPr="00B806FD">
        <w:t xml:space="preserve"> </w:t>
      </w:r>
      <w:r w:rsidRPr="00B806FD">
        <w:tab/>
      </w:r>
      <w:r w:rsidRPr="00B806FD">
        <w:rPr>
          <w:i/>
          <w:iCs/>
        </w:rPr>
        <w:t xml:space="preserve">See </w:t>
      </w:r>
      <w:ins w:id="756" w:author="Jonathan Cervas" w:date="2023-06-29T15:19:00Z">
        <w:r w:rsidR="00226CAE">
          <w:rPr>
            <w:i/>
            <w:iCs/>
          </w:rPr>
          <w:t>Ib</w:t>
        </w:r>
      </w:ins>
      <w:r w:rsidRPr="00B806FD">
        <w:rPr>
          <w:i/>
          <w:iCs/>
        </w:rPr>
        <w:t>id.</w:t>
      </w:r>
    </w:p>
  </w:footnote>
  <w:footnote w:id="333">
    <w:p w14:paraId="52754D96" w14:textId="190FCF28" w:rsidR="005A65E3" w:rsidRPr="00B806FD" w:rsidRDefault="005A65E3" w:rsidP="00B806FD">
      <w:pPr>
        <w:pStyle w:val="FootnoteText"/>
      </w:pPr>
      <w:r w:rsidRPr="00B806FD">
        <w:rPr>
          <w:rStyle w:val="FootnoteReference"/>
        </w:rPr>
        <w:footnoteRef/>
      </w:r>
      <w:r w:rsidRPr="00B806FD">
        <w:t xml:space="preserve"> </w:t>
      </w:r>
      <w:r w:rsidRPr="00B806FD">
        <w:tab/>
      </w:r>
      <w:r w:rsidRPr="00B806FD">
        <w:rPr>
          <w:i/>
          <w:iCs/>
        </w:rPr>
        <w:t>Party Control of Kentucky State Government</w:t>
      </w:r>
      <w:r w:rsidRPr="00B806FD">
        <w:t xml:space="preserve">, </w:t>
      </w:r>
      <w:r w:rsidRPr="00B806FD">
        <w:rPr>
          <w:smallCaps/>
        </w:rPr>
        <w:t>Ballotpedia</w:t>
      </w:r>
      <w:r w:rsidRPr="00B806FD">
        <w:t>, https://ballotpedia.org/Party_control_of_Kentucky_state_government [https://perma.cc/RK7E-76AD] (last visited Dec. 24, 2022).</w:t>
      </w:r>
    </w:p>
  </w:footnote>
  <w:footnote w:id="334">
    <w:p w14:paraId="792E57AB" w14:textId="06254B84" w:rsidR="005A65E3" w:rsidRPr="00B806FD" w:rsidRDefault="005A65E3" w:rsidP="00B806FD">
      <w:pPr>
        <w:pStyle w:val="FootnoteText"/>
      </w:pPr>
      <w:r w:rsidRPr="00B806FD">
        <w:rPr>
          <w:rStyle w:val="FootnoteReference"/>
        </w:rPr>
        <w:footnoteRef/>
      </w:r>
      <w:r w:rsidRPr="00B806FD">
        <w:t xml:space="preserve"> </w:t>
      </w:r>
      <w:r w:rsidRPr="00B806FD">
        <w:tab/>
        <w:t>Compl</w:t>
      </w:r>
      <w:ins w:id="757" w:author="Jonathan Cervas" w:date="2023-06-29T15:21:00Z">
        <w:r w:rsidR="00BC0E36">
          <w:t>aint</w:t>
        </w:r>
      </w:ins>
      <w:del w:id="758" w:author="Jonathan Cervas" w:date="2023-06-29T15:21:00Z">
        <w:r w:rsidRPr="00B806FD" w:rsidDel="00BC0E36">
          <w:delText>.</w:delText>
        </w:r>
      </w:del>
      <w:r w:rsidRPr="00B806FD">
        <w:t xml:space="preserve"> at 2-3, Graham v. Adams, No. 22-CI-00047 (Ky. Cir. Ct. 2022).</w:t>
      </w:r>
    </w:p>
  </w:footnote>
  <w:footnote w:id="335">
    <w:p w14:paraId="01E635B5" w14:textId="416AEB0E" w:rsidR="005A65E3" w:rsidRPr="00B806FD" w:rsidRDefault="005A65E3" w:rsidP="00B806FD">
      <w:pPr>
        <w:pStyle w:val="FootnoteText"/>
      </w:pPr>
      <w:r w:rsidRPr="00B806FD">
        <w:rPr>
          <w:rStyle w:val="FootnoteReference"/>
        </w:rPr>
        <w:footnoteRef/>
      </w:r>
      <w:r w:rsidRPr="00B806FD">
        <w:t xml:space="preserve"> </w:t>
      </w:r>
      <w:r w:rsidRPr="00B806FD">
        <w:tab/>
      </w:r>
      <w:del w:id="760" w:author="Jonathan Cervas" w:date="2023-06-29T15:21:00Z">
        <w:r w:rsidRPr="00B806FD" w:rsidDel="00BC0E36">
          <w:rPr>
            <w:i/>
            <w:iCs/>
          </w:rPr>
          <w:delText xml:space="preserve">See </w:delText>
        </w:r>
      </w:del>
      <w:ins w:id="761" w:author="Jonathan Cervas" w:date="2023-06-29T15:21:00Z">
        <w:r w:rsidR="00BC0E36">
          <w:rPr>
            <w:i/>
            <w:iCs/>
          </w:rPr>
          <w:t>I</w:t>
        </w:r>
      </w:ins>
      <w:del w:id="762" w:author="Jonathan Cervas" w:date="2023-06-29T15:21:00Z">
        <w:r w:rsidRPr="00B806FD" w:rsidDel="00BC0E36">
          <w:rPr>
            <w:i/>
            <w:iCs/>
          </w:rPr>
          <w:delText>i</w:delText>
        </w:r>
      </w:del>
      <w:r w:rsidRPr="00B806FD">
        <w:rPr>
          <w:i/>
          <w:iCs/>
        </w:rPr>
        <w:t>d.</w:t>
      </w:r>
      <w:r w:rsidRPr="00B806FD">
        <w:t xml:space="preserve"> at 2.</w:t>
      </w:r>
      <w:r w:rsidRPr="00B806FD">
        <w:rPr>
          <w:i/>
          <w:iCs/>
        </w:rPr>
        <w:t xml:space="preserve"> </w:t>
      </w:r>
    </w:p>
  </w:footnote>
  <w:footnote w:id="336">
    <w:p w14:paraId="77A71A85" w14:textId="6172604C" w:rsidR="005A65E3" w:rsidRPr="00B806FD" w:rsidRDefault="005A65E3" w:rsidP="00B806FD">
      <w:pPr>
        <w:pStyle w:val="FootnoteText"/>
      </w:pPr>
      <w:r w:rsidRPr="00B806FD">
        <w:rPr>
          <w:rStyle w:val="FootnoteReference"/>
        </w:rPr>
        <w:footnoteRef/>
      </w:r>
      <w:r w:rsidRPr="00B806FD">
        <w:t xml:space="preserve"> </w:t>
      </w:r>
      <w:r w:rsidRPr="00B806FD">
        <w:tab/>
      </w:r>
      <w:del w:id="763" w:author="Jonathan Cervas" w:date="2023-06-29T15:22:00Z">
        <w:r w:rsidRPr="00B806FD" w:rsidDel="00BC0E36">
          <w:rPr>
            <w:i/>
            <w:iCs/>
          </w:rPr>
          <w:delText xml:space="preserve">See </w:delText>
        </w:r>
      </w:del>
      <w:ins w:id="764" w:author="Jonathan Cervas" w:date="2023-06-29T15:21:00Z">
        <w:r w:rsidR="00BC0E36">
          <w:rPr>
            <w:i/>
            <w:iCs/>
          </w:rPr>
          <w:t>I</w:t>
        </w:r>
      </w:ins>
      <w:del w:id="765" w:author="Jonathan Cervas" w:date="2023-06-29T15:21:00Z">
        <w:r w:rsidRPr="00B806FD" w:rsidDel="00BC0E36">
          <w:rPr>
            <w:i/>
            <w:iCs/>
          </w:rPr>
          <w:delText>i</w:delText>
        </w:r>
      </w:del>
      <w:r w:rsidRPr="00B806FD">
        <w:rPr>
          <w:i/>
          <w:iCs/>
        </w:rPr>
        <w:t>d.</w:t>
      </w:r>
      <w:r w:rsidRPr="00B806FD">
        <w:t xml:space="preserve"> at 50.</w:t>
      </w:r>
    </w:p>
  </w:footnote>
  <w:footnote w:id="337">
    <w:p w14:paraId="60B1623E" w14:textId="0E8098B9" w:rsidR="005A65E3" w:rsidRPr="00B806FD" w:rsidRDefault="005A65E3" w:rsidP="00B806FD">
      <w:pPr>
        <w:pStyle w:val="FootnoteText"/>
      </w:pPr>
      <w:r w:rsidRPr="00B806FD">
        <w:rPr>
          <w:rStyle w:val="FootnoteReference"/>
        </w:rPr>
        <w:footnoteRef/>
      </w:r>
      <w:r w:rsidRPr="00B806FD">
        <w:t xml:space="preserve"> </w:t>
      </w:r>
      <w:r w:rsidRPr="00B806FD">
        <w:tab/>
      </w:r>
      <w:del w:id="766" w:author="Jonathan Cervas" w:date="2023-06-29T15:22:00Z">
        <w:r w:rsidRPr="00B806FD" w:rsidDel="00BC0E36">
          <w:rPr>
            <w:i/>
            <w:iCs/>
          </w:rPr>
          <w:delText xml:space="preserve">See </w:delText>
        </w:r>
      </w:del>
      <w:ins w:id="767" w:author="Jonathan Cervas" w:date="2023-06-29T15:21:00Z">
        <w:r w:rsidR="00BC0E36">
          <w:rPr>
            <w:i/>
            <w:iCs/>
          </w:rPr>
          <w:t>I</w:t>
        </w:r>
      </w:ins>
      <w:del w:id="768" w:author="Jonathan Cervas" w:date="2023-06-29T15:21:00Z">
        <w:r w:rsidRPr="00B806FD" w:rsidDel="00BC0E36">
          <w:rPr>
            <w:i/>
            <w:iCs/>
          </w:rPr>
          <w:delText>i</w:delText>
        </w:r>
      </w:del>
      <w:r w:rsidRPr="00B806FD">
        <w:rPr>
          <w:i/>
          <w:iCs/>
        </w:rPr>
        <w:t xml:space="preserve">d. </w:t>
      </w:r>
      <w:r w:rsidRPr="00B806FD">
        <w:t>at 2.</w:t>
      </w:r>
    </w:p>
  </w:footnote>
  <w:footnote w:id="338">
    <w:p w14:paraId="1012D418" w14:textId="28E8EA3F" w:rsidR="005A65E3" w:rsidRPr="00B806FD" w:rsidRDefault="005A65E3"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69-71.</w:t>
      </w:r>
    </w:p>
  </w:footnote>
  <w:footnote w:id="339">
    <w:p w14:paraId="3D5F61F4" w14:textId="6CEBDD3D" w:rsidR="005A65E3" w:rsidRPr="00B806FD" w:rsidRDefault="005A65E3" w:rsidP="00B806FD">
      <w:pPr>
        <w:pStyle w:val="FootnoteText"/>
      </w:pPr>
      <w:r w:rsidRPr="00B806FD">
        <w:rPr>
          <w:rStyle w:val="FootnoteReference"/>
        </w:rPr>
        <w:footnoteRef/>
      </w:r>
      <w:r w:rsidRPr="00B806FD">
        <w:t xml:space="preserve"> </w:t>
      </w:r>
      <w:r w:rsidRPr="00B806FD">
        <w:tab/>
      </w:r>
      <w:r w:rsidRPr="00B806FD">
        <w:rPr>
          <w:i/>
          <w:iCs/>
        </w:rPr>
        <w:t>I</w:t>
      </w:r>
      <w:ins w:id="769" w:author="Jonathan Cervas" w:date="2023-06-29T15:23:00Z">
        <w:r w:rsidR="00BC0E36">
          <w:rPr>
            <w:i/>
            <w:iCs/>
          </w:rPr>
          <w:t>bi</w:t>
        </w:r>
      </w:ins>
      <w:r w:rsidRPr="00B806FD">
        <w:rPr>
          <w:i/>
          <w:iCs/>
        </w:rPr>
        <w:t>d.</w:t>
      </w:r>
    </w:p>
  </w:footnote>
  <w:footnote w:id="340">
    <w:p w14:paraId="0F3DA130" w14:textId="57B56776" w:rsidR="005A65E3" w:rsidRPr="00B806FD" w:rsidRDefault="005A65E3"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51 (citing to Harper v. Hall, 868 S.E.2d 499, 533 (N.C. 2022)).</w:t>
      </w:r>
    </w:p>
  </w:footnote>
  <w:footnote w:id="341">
    <w:p w14:paraId="4A5D7638" w14:textId="64DE4AB5" w:rsidR="005A65E3" w:rsidRPr="00B806FD" w:rsidRDefault="005A65E3"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with internal citations to </w:t>
      </w:r>
      <w:r w:rsidRPr="00153E10">
        <w:rPr>
          <w:i/>
          <w:iCs/>
          <w:rPrChange w:id="771" w:author="Jonathan Cervas" w:date="2023-06-29T17:02:00Z">
            <w:rPr/>
          </w:rPrChange>
        </w:rPr>
        <w:t>Harper</w:t>
      </w:r>
      <w:ins w:id="772" w:author="Jonathan Cervas" w:date="2023-06-29T17:03:00Z">
        <w:r w:rsidR="00153E10">
          <w:rPr>
            <w:i/>
            <w:iCs/>
          </w:rPr>
          <w:t xml:space="preserve"> </w:t>
        </w:r>
        <w:r w:rsidR="00153E10" w:rsidRPr="00B806FD">
          <w:t xml:space="preserve">868 S.E.2d </w:t>
        </w:r>
      </w:ins>
      <w:del w:id="773" w:author="Jonathan Cervas" w:date="2023-06-29T17:02:00Z">
        <w:r w:rsidRPr="00B806FD" w:rsidDel="00153E10">
          <w:delText xml:space="preserve"> v. Hall, 868 S.E.2d 499, 533 (N.C. 2022)</w:delText>
        </w:r>
      </w:del>
      <w:r w:rsidRPr="00B806FD">
        <w:t>.</w:t>
      </w:r>
    </w:p>
  </w:footnote>
  <w:footnote w:id="342">
    <w:p w14:paraId="7E8D1CA1" w14:textId="35944D6A" w:rsidR="005A65E3" w:rsidRPr="00B806FD" w:rsidRDefault="005A65E3" w:rsidP="00B806FD">
      <w:pPr>
        <w:pStyle w:val="FootnoteText"/>
      </w:pPr>
      <w:r w:rsidRPr="00B806FD">
        <w:rPr>
          <w:rStyle w:val="FootnoteReference"/>
        </w:rPr>
        <w:footnoteRef/>
      </w:r>
      <w:r w:rsidRPr="00B806FD">
        <w:t xml:space="preserve"> </w:t>
      </w:r>
      <w:r w:rsidR="007E5D63" w:rsidRPr="00B806FD">
        <w:tab/>
      </w:r>
      <w:r w:rsidRPr="00B806FD">
        <w:rPr>
          <w:i/>
          <w:iCs/>
        </w:rPr>
        <w:t>Id.</w:t>
      </w:r>
      <w:r w:rsidRPr="00B806FD">
        <w:t xml:space="preserve"> at 52.</w:t>
      </w:r>
    </w:p>
  </w:footnote>
  <w:footnote w:id="343">
    <w:p w14:paraId="069047F9" w14:textId="68EBBD98" w:rsidR="005A65E3" w:rsidRPr="00B806FD" w:rsidRDefault="005A65E3" w:rsidP="00B806FD">
      <w:pPr>
        <w:pStyle w:val="FootnoteText"/>
      </w:pPr>
      <w:r w:rsidRPr="00B806FD">
        <w:rPr>
          <w:rStyle w:val="FootnoteReference"/>
        </w:rPr>
        <w:footnoteRef/>
      </w:r>
      <w:r w:rsidRPr="00B806FD">
        <w:t xml:space="preserve"> </w:t>
      </w:r>
      <w:r w:rsidR="007E5D63" w:rsidRPr="00B806FD">
        <w:tab/>
      </w:r>
      <w:r w:rsidRPr="00B806FD">
        <w:rPr>
          <w:i/>
          <w:iCs/>
        </w:rPr>
        <w:t>Id.</w:t>
      </w:r>
      <w:r w:rsidRPr="00B806FD">
        <w:t xml:space="preserve"> at 56.</w:t>
      </w:r>
    </w:p>
  </w:footnote>
  <w:footnote w:id="344">
    <w:p w14:paraId="6825DC1E" w14:textId="7F71257F" w:rsidR="005A65E3" w:rsidRPr="00B806FD" w:rsidRDefault="005A65E3" w:rsidP="00B806FD">
      <w:pPr>
        <w:pStyle w:val="FootnoteText"/>
      </w:pPr>
      <w:r w:rsidRPr="00B806FD">
        <w:rPr>
          <w:rStyle w:val="FootnoteReference"/>
        </w:rPr>
        <w:footnoteRef/>
      </w:r>
      <w:r w:rsidRPr="00B806FD">
        <w:t xml:space="preserve"> </w:t>
      </w:r>
      <w:r w:rsidR="007E5D63" w:rsidRPr="00B806FD">
        <w:tab/>
      </w:r>
      <w:r w:rsidRPr="00B806FD">
        <w:rPr>
          <w:i/>
          <w:iCs/>
        </w:rPr>
        <w:t>Id.</w:t>
      </w:r>
      <w:r w:rsidRPr="00B806FD">
        <w:t xml:space="preserve"> at 71.</w:t>
      </w:r>
    </w:p>
  </w:footnote>
  <w:footnote w:id="345">
    <w:p w14:paraId="3D12954D" w14:textId="5C305FA4" w:rsidR="007E5D63" w:rsidRPr="00B806FD" w:rsidRDefault="007E5D63" w:rsidP="00B806FD">
      <w:pPr>
        <w:pStyle w:val="FootnoteText"/>
      </w:pPr>
      <w:r w:rsidRPr="00B806FD">
        <w:rPr>
          <w:rStyle w:val="FootnoteReference"/>
        </w:rPr>
        <w:footnoteRef/>
      </w:r>
      <w:r w:rsidRPr="00B806FD">
        <w:t xml:space="preserve"> </w:t>
      </w:r>
      <w:r w:rsidRPr="00B806FD">
        <w:tab/>
      </w:r>
      <w:r w:rsidRPr="00B806FD">
        <w:rPr>
          <w:i/>
          <w:iCs/>
        </w:rPr>
        <w:t>Party Control of New Mexico State Government</w:t>
      </w:r>
      <w:r w:rsidRPr="00B806FD">
        <w:t xml:space="preserve">, </w:t>
      </w:r>
      <w:r w:rsidRPr="00B806FD">
        <w:rPr>
          <w:smallCaps/>
        </w:rPr>
        <w:t>Ballotpedia</w:t>
      </w:r>
      <w:r w:rsidRPr="00B806FD">
        <w:t>, https://ballotpedia.org/Party_control_of_New_Mexico_state_government [https://perma.cc/FVJ5-7326] (last visited Dec. 24, 2022).</w:t>
      </w:r>
    </w:p>
  </w:footnote>
  <w:footnote w:id="346">
    <w:p w14:paraId="604549E8" w14:textId="075E5501" w:rsidR="004957BF" w:rsidRDefault="004957BF">
      <w:pPr>
        <w:pStyle w:val="FootnoteText"/>
      </w:pPr>
      <w:ins w:id="775" w:author="Jonathan Cervas" w:date="2023-06-29T15:33:00Z">
        <w:r>
          <w:rPr>
            <w:rStyle w:val="FootnoteReference"/>
          </w:rPr>
          <w:footnoteRef/>
        </w:r>
        <w:r>
          <w:t xml:space="preserve"> </w:t>
        </w:r>
        <w:r>
          <w:tab/>
        </w:r>
      </w:ins>
      <w:moveToRangeStart w:id="776" w:author="Jonathan Cervas" w:date="2023-06-29T15:33:00Z" w:name="move138945211"/>
      <w:moveTo w:id="777" w:author="Jonathan Cervas" w:date="2023-06-29T15:33:00Z">
        <w:r>
          <w:rPr>
            <w:noProof/>
          </w:rPr>
          <w:t>Republican Party of New Mexico v. Oliver, No. D-506-CV-202200041 at *12-14 (N.M. D. Ct. Jan. 21, 2022).</w:t>
        </w:r>
        <w:r>
          <w:t xml:space="preserve">  </w:t>
        </w:r>
      </w:moveTo>
      <w:moveToRangeEnd w:id="776"/>
    </w:p>
  </w:footnote>
  <w:footnote w:id="347">
    <w:p w14:paraId="662CE9EF" w14:textId="2ABFF2A7" w:rsidR="007E5D63" w:rsidRPr="00B806FD" w:rsidRDefault="007E5D63"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*15.</w:t>
      </w:r>
    </w:p>
  </w:footnote>
  <w:footnote w:id="348">
    <w:p w14:paraId="64176311" w14:textId="1E30D54A" w:rsidR="007E5D63" w:rsidRPr="00B806FD" w:rsidRDefault="007E5D63"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*16.</w:t>
      </w:r>
    </w:p>
  </w:footnote>
  <w:footnote w:id="349">
    <w:p w14:paraId="70407CEE" w14:textId="14704423" w:rsidR="007E5D63" w:rsidRPr="00B806FD" w:rsidRDefault="007E5D63" w:rsidP="00B806FD">
      <w:pPr>
        <w:pStyle w:val="FootnoteText"/>
      </w:pPr>
      <w:r w:rsidRPr="00B806FD">
        <w:rPr>
          <w:rStyle w:val="FootnoteReference"/>
        </w:rPr>
        <w:footnoteRef/>
      </w:r>
      <w:r w:rsidRPr="00B806FD">
        <w:t xml:space="preserve"> </w:t>
      </w:r>
      <w:r w:rsidRPr="00B806FD">
        <w:tab/>
      </w:r>
      <w:r w:rsidRPr="00B806FD">
        <w:rPr>
          <w:i/>
          <w:iCs/>
        </w:rPr>
        <w:t>I</w:t>
      </w:r>
      <w:ins w:id="780" w:author="Jonathan Cervas" w:date="2023-06-29T15:36:00Z">
        <w:r w:rsidR="001861EF">
          <w:rPr>
            <w:i/>
            <w:iCs/>
          </w:rPr>
          <w:t>bi</w:t>
        </w:r>
      </w:ins>
      <w:r w:rsidRPr="00B806FD">
        <w:rPr>
          <w:i/>
          <w:iCs/>
        </w:rPr>
        <w:t>d.</w:t>
      </w:r>
    </w:p>
  </w:footnote>
  <w:footnote w:id="350">
    <w:p w14:paraId="7505BD07" w14:textId="3E925FD5" w:rsidR="007E5D63" w:rsidRPr="00B806FD" w:rsidRDefault="007E5D63" w:rsidP="00B806FD">
      <w:pPr>
        <w:pStyle w:val="FootnoteText"/>
      </w:pPr>
      <w:r w:rsidRPr="00B806FD">
        <w:rPr>
          <w:rStyle w:val="FootnoteReference"/>
        </w:rPr>
        <w:footnoteRef/>
      </w:r>
      <w:r w:rsidRPr="00B806FD">
        <w:t xml:space="preserve"> </w:t>
      </w:r>
      <w:r w:rsidRPr="00B806FD">
        <w:tab/>
      </w:r>
      <w:r w:rsidRPr="00B806FD">
        <w:rPr>
          <w:i/>
          <w:iCs/>
        </w:rPr>
        <w:t>I</w:t>
      </w:r>
      <w:ins w:id="781" w:author="Jonathan Cervas" w:date="2023-06-29T15:36:00Z">
        <w:r w:rsidR="001861EF">
          <w:rPr>
            <w:i/>
            <w:iCs/>
          </w:rPr>
          <w:t>bi</w:t>
        </w:r>
      </w:ins>
      <w:r w:rsidRPr="00B806FD">
        <w:rPr>
          <w:i/>
          <w:iCs/>
        </w:rPr>
        <w:t>d.</w:t>
      </w:r>
    </w:p>
  </w:footnote>
  <w:footnote w:id="351">
    <w:p w14:paraId="7831BE6F" w14:textId="2A92FB08" w:rsidR="007E5D63" w:rsidRPr="00B806FD" w:rsidRDefault="007E5D63" w:rsidP="00B806FD">
      <w:pPr>
        <w:pStyle w:val="FootnoteText"/>
      </w:pPr>
      <w:r w:rsidRPr="00B806FD">
        <w:rPr>
          <w:rStyle w:val="FootnoteReference"/>
        </w:rPr>
        <w:footnoteRef/>
      </w:r>
      <w:r w:rsidRPr="00B806FD">
        <w:t xml:space="preserve"> </w:t>
      </w:r>
      <w:r w:rsidRPr="00B806FD">
        <w:tab/>
      </w:r>
      <w:r w:rsidRPr="00B806FD">
        <w:rPr>
          <w:i/>
          <w:iCs/>
        </w:rPr>
        <w:t>Gov. Lujan Grisham Signs New Congressional Map Approved by N.M. Legislature</w:t>
      </w:r>
      <w:r w:rsidRPr="00B806FD">
        <w:t xml:space="preserve">, </w:t>
      </w:r>
      <w:r w:rsidRPr="00B806FD">
        <w:rPr>
          <w:smallCaps/>
        </w:rPr>
        <w:t>Office of the Governor - Michelle Lujan Grisham</w:t>
      </w:r>
      <w:r w:rsidRPr="00B806FD">
        <w:t xml:space="preserve"> (Dec. 17, 2021), https://www.governor.state.nm.us/2021/12/17/gov-lujan-grisham-signs-new-congressional-map-approved-by-n-m-legislature/ [https://perma.cc/6LF3-723K] (last visited Dec. 23, 2022).</w:t>
      </w:r>
    </w:p>
  </w:footnote>
  <w:footnote w:id="352">
    <w:p w14:paraId="2763A322" w14:textId="71D11194" w:rsidR="007E5D63" w:rsidRPr="00B806FD" w:rsidRDefault="007E5D63" w:rsidP="00B806FD">
      <w:pPr>
        <w:pStyle w:val="FootnoteText"/>
      </w:pPr>
      <w:r w:rsidRPr="00B806FD">
        <w:rPr>
          <w:rStyle w:val="FootnoteReference"/>
        </w:rPr>
        <w:footnoteRef/>
      </w:r>
      <w:r w:rsidRPr="00B806FD">
        <w:t xml:space="preserve"> </w:t>
      </w:r>
      <w:r w:rsidRPr="00B806FD">
        <w:tab/>
      </w:r>
      <w:r w:rsidRPr="001A2A76">
        <w:rPr>
          <w:i/>
          <w:iCs/>
          <w:rPrChange w:id="782" w:author="Jonathan Cervas" w:date="2023-06-29T17:03:00Z">
            <w:rPr/>
          </w:rPrChange>
        </w:rPr>
        <w:t>Republican Party of New Mexico</w:t>
      </w:r>
      <w:del w:id="783" w:author="Jonathan Cervas" w:date="2023-06-29T17:03:00Z">
        <w:r w:rsidRPr="00B806FD" w:rsidDel="001A2A76">
          <w:delText xml:space="preserve"> v. Oliver</w:delText>
        </w:r>
      </w:del>
      <w:r w:rsidRPr="00B806FD">
        <w:t>, No. D-506-CV-202200041 at *6</w:t>
      </w:r>
      <w:del w:id="784" w:author="Jonathan Cervas" w:date="2023-06-29T17:03:00Z">
        <w:r w:rsidRPr="00B806FD" w:rsidDel="001A2A76">
          <w:delText xml:space="preserve"> (N.M. D. Ct. Jan. 21, 2022)</w:delText>
        </w:r>
      </w:del>
      <w:r w:rsidRPr="00B806FD">
        <w:t>.</w:t>
      </w:r>
    </w:p>
  </w:footnote>
  <w:footnote w:id="353">
    <w:p w14:paraId="34761E1A" w14:textId="793C6C91" w:rsidR="007E5D63" w:rsidRPr="00B806FD" w:rsidRDefault="007E5D63" w:rsidP="00B806FD">
      <w:pPr>
        <w:pStyle w:val="FootnoteText"/>
      </w:pPr>
      <w:r w:rsidRPr="00B806FD">
        <w:rPr>
          <w:rStyle w:val="FootnoteReference"/>
        </w:rPr>
        <w:footnoteRef/>
      </w:r>
      <w:r w:rsidRPr="00B806FD">
        <w:t xml:space="preserve"> </w:t>
      </w:r>
      <w:r w:rsidRPr="00B806FD">
        <w:tab/>
      </w:r>
      <w:r w:rsidRPr="00B806FD">
        <w:rPr>
          <w:i/>
          <w:iCs/>
        </w:rPr>
        <w:t>I</w:t>
      </w:r>
      <w:ins w:id="785" w:author="Jonathan Cervas" w:date="2023-06-29T15:41:00Z">
        <w:r w:rsidR="001861EF">
          <w:rPr>
            <w:i/>
            <w:iCs/>
          </w:rPr>
          <w:t>bi</w:t>
        </w:r>
      </w:ins>
      <w:r w:rsidRPr="00B806FD">
        <w:rPr>
          <w:i/>
          <w:iCs/>
        </w:rPr>
        <w:t>d</w:t>
      </w:r>
      <w:r w:rsidRPr="00B806FD">
        <w:t>.</w:t>
      </w:r>
    </w:p>
  </w:footnote>
  <w:footnote w:id="354">
    <w:p w14:paraId="326DA19D" w14:textId="08DCAFF3" w:rsidR="007E5D63" w:rsidRPr="00B806FD" w:rsidRDefault="007E5D63" w:rsidP="00B806FD">
      <w:pPr>
        <w:pStyle w:val="FootnoteText"/>
      </w:pPr>
      <w:r w:rsidRPr="00B806FD">
        <w:rPr>
          <w:rStyle w:val="FootnoteReference"/>
        </w:rPr>
        <w:footnoteRef/>
      </w:r>
      <w:r w:rsidRPr="00B806FD">
        <w:t xml:space="preserve"> </w:t>
      </w:r>
      <w:r w:rsidRPr="00B806FD">
        <w:tab/>
        <w:t xml:space="preserve">N.M. Const. art. II, § 18; </w:t>
      </w:r>
      <w:r w:rsidRPr="00B806FD">
        <w:rPr>
          <w:i/>
          <w:iCs/>
        </w:rPr>
        <w:t>Republican Party of New Mexico</w:t>
      </w:r>
      <w:r w:rsidRPr="00B806FD">
        <w:t>, No. D-506-CV-202200041 at *6.</w:t>
      </w:r>
    </w:p>
  </w:footnote>
  <w:footnote w:id="355">
    <w:p w14:paraId="32DDD988" w14:textId="088CD1E3" w:rsidR="007E5D63" w:rsidRPr="00B806FD" w:rsidRDefault="007E5D63" w:rsidP="00B806FD">
      <w:pPr>
        <w:pStyle w:val="FootnoteText"/>
      </w:pPr>
      <w:r w:rsidRPr="00B806FD">
        <w:rPr>
          <w:rStyle w:val="FootnoteReference"/>
        </w:rPr>
        <w:footnoteRef/>
      </w:r>
      <w:r w:rsidRPr="00B806FD">
        <w:t xml:space="preserve"> </w:t>
      </w:r>
      <w:r w:rsidRPr="00B806FD">
        <w:tab/>
      </w:r>
      <w:r w:rsidRPr="00B806FD">
        <w:rPr>
          <w:i/>
          <w:iCs/>
        </w:rPr>
        <w:t>Republican Party of New Mexico</w:t>
      </w:r>
      <w:r w:rsidRPr="00B806FD">
        <w:t>, No. D-506-CV-202200041 at *18.</w:t>
      </w:r>
    </w:p>
  </w:footnote>
  <w:footnote w:id="356">
    <w:p w14:paraId="03EEF38D" w14:textId="123E10EC" w:rsidR="007E5D63" w:rsidRPr="00B806FD" w:rsidRDefault="007E5D63" w:rsidP="00B806FD">
      <w:pPr>
        <w:pStyle w:val="FootnoteText"/>
      </w:pPr>
      <w:r w:rsidRPr="00B806FD">
        <w:rPr>
          <w:rStyle w:val="FootnoteReference"/>
        </w:rPr>
        <w:footnoteRef/>
      </w:r>
      <w:r w:rsidRPr="00B806FD">
        <w:rPr>
          <w:i/>
          <w:iCs/>
        </w:rPr>
        <w:t xml:space="preserve"> </w:t>
      </w:r>
      <w:r w:rsidRPr="00B806FD">
        <w:rPr>
          <w:i/>
          <w:iCs/>
        </w:rPr>
        <w:tab/>
        <w:t>Republican Party of New Mexico v. Oliver</w:t>
      </w:r>
      <w:r w:rsidRPr="00B806FD">
        <w:t xml:space="preserve">, </w:t>
      </w:r>
      <w:r w:rsidRPr="00B806FD">
        <w:rPr>
          <w:smallCaps/>
        </w:rPr>
        <w:t>All About Redistricting</w:t>
      </w:r>
      <w:r w:rsidRPr="00B806FD">
        <w:t xml:space="preserve">, </w:t>
      </w:r>
      <w:r w:rsidR="00000000">
        <w:fldChar w:fldCharType="begin"/>
      </w:r>
      <w:r w:rsidR="00000000">
        <w:instrText>HYPERLINK "https://redistricting.lls.edu/case/republican-party-of-nm-v-oliver/"</w:instrText>
      </w:r>
      <w:r w:rsidR="00000000">
        <w:fldChar w:fldCharType="separate"/>
      </w:r>
      <w:r w:rsidRPr="00B806FD">
        <w:rPr>
          <w:rStyle w:val="Hyperlink"/>
          <w:color w:val="auto"/>
          <w:u w:val="none"/>
        </w:rPr>
        <w:t>https://redistricting.lls.edu/case/republican-party-of-nm-v-oliver/</w:t>
      </w:r>
      <w:r w:rsidR="00000000">
        <w:rPr>
          <w:rStyle w:val="Hyperlink"/>
          <w:color w:val="auto"/>
          <w:u w:val="none"/>
        </w:rPr>
        <w:fldChar w:fldCharType="end"/>
      </w:r>
      <w:r w:rsidRPr="00B806FD">
        <w:t xml:space="preserve"> [https://perma.cc/E8FH-R9QA] (last visited Dec. 23, 2022).</w:t>
      </w:r>
    </w:p>
  </w:footnote>
  <w:footnote w:id="357">
    <w:p w14:paraId="4DCECE89" w14:textId="59BEA074" w:rsidR="00DC00AE" w:rsidRPr="00B806FD" w:rsidRDefault="00DC00AE" w:rsidP="00B806FD">
      <w:pPr>
        <w:pStyle w:val="FootnoteText"/>
      </w:pPr>
      <w:r w:rsidRPr="00B806FD">
        <w:rPr>
          <w:rStyle w:val="FootnoteReference"/>
        </w:rPr>
        <w:footnoteRef/>
      </w:r>
      <w:r w:rsidRPr="00B806FD">
        <w:t xml:space="preserve"> </w:t>
      </w:r>
      <w:r w:rsidRPr="00B806FD">
        <w:tab/>
      </w:r>
      <w:proofErr w:type="spellStart"/>
      <w:r w:rsidRPr="00B806FD">
        <w:t>DeArbea</w:t>
      </w:r>
      <w:proofErr w:type="spellEnd"/>
      <w:r w:rsidRPr="00B806FD">
        <w:t xml:space="preserve"> Walker, </w:t>
      </w:r>
      <w:r w:rsidRPr="00B806FD">
        <w:rPr>
          <w:i/>
          <w:iCs/>
        </w:rPr>
        <w:t>Utah Voters Want Independent Redistricting.  GOP Lawmakers are Fighting It.</w:t>
      </w:r>
      <w:r w:rsidRPr="00B806FD">
        <w:t xml:space="preserve">, </w:t>
      </w:r>
      <w:r w:rsidRPr="00B806FD">
        <w:rPr>
          <w:smallCaps/>
        </w:rPr>
        <w:t>Center for Public Integrity</w:t>
      </w:r>
      <w:r w:rsidRPr="00B806FD">
        <w:t xml:space="preserve"> (Oct. 6, 2022), http://publicintegrity.org/politics/elections/who-counts/utah-voters-want-independent-redistricting-gop-lawmakers-are-fighting-it/ [https://perma.cc/XF3F-FQR2].</w:t>
      </w:r>
    </w:p>
  </w:footnote>
  <w:footnote w:id="358">
    <w:p w14:paraId="11D6385C" w14:textId="63550802" w:rsidR="00DC00AE" w:rsidRPr="00B806FD" w:rsidRDefault="00DC00AE" w:rsidP="00B806FD">
      <w:pPr>
        <w:pStyle w:val="FootnoteText"/>
      </w:pPr>
      <w:r w:rsidRPr="00B806FD">
        <w:rPr>
          <w:rStyle w:val="FootnoteReference"/>
        </w:rPr>
        <w:footnoteRef/>
      </w:r>
      <w:r w:rsidRPr="00B806FD">
        <w:t xml:space="preserve"> </w:t>
      </w:r>
      <w:r w:rsidRPr="00B806FD">
        <w:tab/>
        <w:t>“The committee or the Legislature may, but is not required to, vote on or adopt a map submitted to the committee or the Legislature by the commission.”  Utah Code § 20A-20-303(5).</w:t>
      </w:r>
    </w:p>
  </w:footnote>
  <w:footnote w:id="359">
    <w:p w14:paraId="623CEC0C" w14:textId="409DD9B1" w:rsidR="00DC00AE" w:rsidRPr="00B806FD" w:rsidRDefault="00DC00AE" w:rsidP="00B806FD">
      <w:pPr>
        <w:pStyle w:val="FootnoteText"/>
      </w:pPr>
      <w:r w:rsidRPr="00B806FD">
        <w:rPr>
          <w:rStyle w:val="FootnoteReference"/>
        </w:rPr>
        <w:footnoteRef/>
      </w:r>
      <w:r w:rsidRPr="00B806FD">
        <w:t xml:space="preserve"> </w:t>
      </w:r>
      <w:r w:rsidRPr="00B806FD">
        <w:tab/>
        <w:t xml:space="preserve">Walker, </w:t>
      </w:r>
      <w:r w:rsidRPr="00B806FD">
        <w:rPr>
          <w:i/>
          <w:iCs/>
        </w:rPr>
        <w:t>supra</w:t>
      </w:r>
      <w:r w:rsidRPr="00B806FD">
        <w:t xml:space="preserve"> note </w:t>
      </w:r>
      <w:ins w:id="787" w:author="Jonathan Cervas" w:date="2023-06-29T15:41:00Z">
        <w:r w:rsidR="001861EF">
          <w:fldChar w:fldCharType="begin"/>
        </w:r>
        <w:r w:rsidR="001861EF">
          <w:instrText xml:space="preserve"> NOTEREF _Ref138945734 \h </w:instrText>
        </w:r>
      </w:ins>
      <w:r w:rsidR="001861EF">
        <w:fldChar w:fldCharType="separate"/>
      </w:r>
      <w:ins w:id="788" w:author="Jonathan Cervas" w:date="2023-06-29T15:41:00Z">
        <w:r w:rsidR="001861EF">
          <w:t>355</w:t>
        </w:r>
        <w:r w:rsidR="001861EF">
          <w:fldChar w:fldCharType="end"/>
        </w:r>
      </w:ins>
      <w:del w:id="789" w:author="Jonathan Cervas" w:date="2023-06-29T15:41:00Z">
        <w:r w:rsidRPr="00B806FD" w:rsidDel="001861EF">
          <w:delText>351</w:delText>
        </w:r>
      </w:del>
      <w:r w:rsidRPr="00B806FD">
        <w:t>.</w:t>
      </w:r>
    </w:p>
  </w:footnote>
  <w:footnote w:id="360">
    <w:p w14:paraId="56388544" w14:textId="5B049DB1" w:rsidR="00DC00AE" w:rsidRPr="00B806FD" w:rsidRDefault="00DC00AE" w:rsidP="00B806FD">
      <w:pPr>
        <w:pStyle w:val="FootnoteText"/>
      </w:pPr>
      <w:r w:rsidRPr="00B806FD">
        <w:rPr>
          <w:rStyle w:val="FootnoteReference"/>
        </w:rPr>
        <w:footnoteRef/>
      </w:r>
      <w:r w:rsidRPr="00B806FD">
        <w:t xml:space="preserve"> </w:t>
      </w:r>
      <w:r w:rsidRPr="00B806FD">
        <w:tab/>
        <w:t>League of Women Voters of Utah v. Utah State Legislature, No. 220901712 at *1-2 (Utah D. Ct. Mar. 17, 2022).</w:t>
      </w:r>
    </w:p>
  </w:footnote>
  <w:footnote w:id="361">
    <w:p w14:paraId="515D53AD" w14:textId="05A8A918" w:rsidR="00DC00AE" w:rsidRPr="00B806FD" w:rsidRDefault="00DC00AE" w:rsidP="00B806FD">
      <w:pPr>
        <w:pStyle w:val="FootnoteText"/>
      </w:pPr>
      <w:r w:rsidRPr="00B806FD">
        <w:rPr>
          <w:rStyle w:val="FootnoteReference"/>
        </w:rPr>
        <w:footnoteRef/>
      </w:r>
      <w:r w:rsidRPr="00B806FD">
        <w:t xml:space="preserve"> </w:t>
      </w:r>
      <w:r w:rsidRPr="00B806FD">
        <w:tab/>
        <w:t>Utah Const. art. I, §§ 1, 2, 15, 17, 24; Utah Const. art. IV, § 2.</w:t>
      </w:r>
    </w:p>
  </w:footnote>
  <w:footnote w:id="362">
    <w:p w14:paraId="045FE2C0" w14:textId="326BA668" w:rsidR="00DC00AE" w:rsidRPr="00B806FD" w:rsidRDefault="00DC00AE" w:rsidP="00B806FD">
      <w:pPr>
        <w:pStyle w:val="FootnoteText"/>
      </w:pPr>
      <w:r w:rsidRPr="00B806FD">
        <w:rPr>
          <w:rStyle w:val="FootnoteReference"/>
        </w:rPr>
        <w:footnoteRef/>
      </w:r>
      <w:r w:rsidRPr="00B806FD">
        <w:t xml:space="preserve"> </w:t>
      </w:r>
      <w:r w:rsidRPr="00B806FD">
        <w:tab/>
      </w:r>
      <w:r w:rsidRPr="00B806FD">
        <w:rPr>
          <w:i/>
          <w:iCs/>
        </w:rPr>
        <w:t>League of Women Voters of Utah</w:t>
      </w:r>
      <w:r w:rsidRPr="00B806FD">
        <w:t>, No. 220901712 at *80.</w:t>
      </w:r>
    </w:p>
  </w:footnote>
  <w:footnote w:id="363">
    <w:p w14:paraId="3F1B6A21" w14:textId="1D7F9300" w:rsidR="00C11C4C" w:rsidRPr="00B806FD" w:rsidRDefault="00C11C4C" w:rsidP="00B806FD">
      <w:pPr>
        <w:pStyle w:val="FootnoteText"/>
      </w:pPr>
      <w:r w:rsidRPr="00B806FD">
        <w:rPr>
          <w:rStyle w:val="FootnoteReference"/>
        </w:rPr>
        <w:footnoteRef/>
      </w:r>
      <w:r w:rsidRPr="00B806FD">
        <w:t xml:space="preserve"> </w:t>
      </w:r>
      <w:r w:rsidR="00AB2444" w:rsidRPr="00B806FD">
        <w:tab/>
      </w:r>
      <w:r w:rsidRPr="00B806FD">
        <w:rPr>
          <w:i/>
          <w:iCs/>
        </w:rPr>
        <w:t>Party Control of Connecticut State Government</w:t>
      </w:r>
      <w:r w:rsidRPr="00B806FD">
        <w:t xml:space="preserve">, </w:t>
      </w:r>
      <w:r w:rsidRPr="00B806FD">
        <w:rPr>
          <w:smallCaps/>
        </w:rPr>
        <w:t>Ballotpedia</w:t>
      </w:r>
      <w:r w:rsidRPr="00B806FD">
        <w:t>, https://ballotpedia.org/Party_control_of_Connecticut_state_government [</w:t>
      </w:r>
      <w:proofErr w:type="gramStart"/>
      <w:r w:rsidRPr="00B806FD">
        <w:t>https://perma.cc/J4ST-9ESY]  (</w:t>
      </w:r>
      <w:proofErr w:type="gramEnd"/>
      <w:r w:rsidRPr="00B806FD">
        <w:t>last visited Dec. 24, 2022).</w:t>
      </w:r>
    </w:p>
  </w:footnote>
  <w:footnote w:id="364">
    <w:p w14:paraId="19C3485C" w14:textId="1D62507E" w:rsidR="00C11C4C" w:rsidRPr="00B806FD" w:rsidRDefault="00C11C4C" w:rsidP="00B806FD">
      <w:pPr>
        <w:pStyle w:val="FootnoteText"/>
      </w:pPr>
      <w:r w:rsidRPr="00B806FD">
        <w:rPr>
          <w:rStyle w:val="FootnoteReference"/>
        </w:rPr>
        <w:footnoteRef/>
      </w:r>
      <w:r w:rsidRPr="00B806FD">
        <w:t xml:space="preserve"> </w:t>
      </w:r>
      <w:r w:rsidR="004764FC" w:rsidRPr="00B806FD">
        <w:tab/>
      </w:r>
      <w:r w:rsidRPr="00B806FD">
        <w:t xml:space="preserve">Levitt, </w:t>
      </w:r>
      <w:r w:rsidRPr="00B806FD">
        <w:rPr>
          <w:i/>
          <w:iCs/>
        </w:rPr>
        <w:t>supra</w:t>
      </w:r>
      <w:r w:rsidRPr="00B806FD">
        <w:t xml:space="preserve"> note</w:t>
      </w:r>
      <w:del w:id="790" w:author="Jonathan Cervas" w:date="2023-06-29T15:43:00Z">
        <w:r w:rsidRPr="00B806FD" w:rsidDel="001861EF">
          <w:delText xml:space="preserve"> </w:delText>
        </w:r>
      </w:del>
      <w:ins w:id="791" w:author="Jonathan Cervas" w:date="2023-06-29T15:43:00Z">
        <w:r w:rsidR="001861EF">
          <w:fldChar w:fldCharType="begin"/>
        </w:r>
        <w:r w:rsidR="001861EF">
          <w:instrText xml:space="preserve"> NOTEREF _Ref138175261 \h </w:instrText>
        </w:r>
      </w:ins>
      <w:r w:rsidR="001861EF">
        <w:fldChar w:fldCharType="separate"/>
      </w:r>
      <w:ins w:id="792" w:author="Jonathan Cervas" w:date="2023-06-29T15:43:00Z">
        <w:r w:rsidR="001861EF">
          <w:t>3</w:t>
        </w:r>
        <w:r w:rsidR="001861EF">
          <w:fldChar w:fldCharType="end"/>
        </w:r>
      </w:ins>
      <w:del w:id="793" w:author="Jonathan Cervas" w:date="2023-06-29T15:43:00Z">
        <w:r w:rsidRPr="00B806FD" w:rsidDel="001861EF">
          <w:delText>134</w:delText>
        </w:r>
      </w:del>
      <w:r w:rsidRPr="00B806FD">
        <w:t>.</w:t>
      </w:r>
    </w:p>
  </w:footnote>
  <w:footnote w:id="365">
    <w:p w14:paraId="73BBB920" w14:textId="3F893AE6" w:rsidR="00C11C4C" w:rsidRPr="00B806FD" w:rsidRDefault="00C11C4C" w:rsidP="00B806FD">
      <w:pPr>
        <w:pStyle w:val="FootnoteText"/>
      </w:pPr>
      <w:r w:rsidRPr="00B806FD">
        <w:rPr>
          <w:rStyle w:val="FootnoteReference"/>
        </w:rPr>
        <w:footnoteRef/>
      </w:r>
      <w:r w:rsidRPr="00B806FD">
        <w:t xml:space="preserve"> </w:t>
      </w:r>
      <w:r w:rsidR="004764FC" w:rsidRPr="00B806FD">
        <w:tab/>
      </w:r>
      <w:r w:rsidRPr="00B806FD">
        <w:t>While the Census Bureau provided redistricting data in an older format in mid-August, there were questions about whether that data would change when the full dataset was delivered on September 16.  The data was identical.</w:t>
      </w:r>
    </w:p>
  </w:footnote>
  <w:footnote w:id="366">
    <w:p w14:paraId="03B9FA50" w14:textId="0EA56592" w:rsidR="00C11C4C" w:rsidRPr="00B806FD" w:rsidRDefault="00C11C4C" w:rsidP="00B806FD">
      <w:pPr>
        <w:pStyle w:val="FootnoteText"/>
      </w:pPr>
      <w:r w:rsidRPr="00B806FD">
        <w:rPr>
          <w:rStyle w:val="FootnoteReference"/>
        </w:rPr>
        <w:footnoteRef/>
      </w:r>
      <w:r w:rsidRPr="00B806FD">
        <w:t xml:space="preserve"> </w:t>
      </w:r>
      <w:r w:rsidR="004764FC" w:rsidRPr="00B806FD">
        <w:tab/>
      </w:r>
      <w:r w:rsidRPr="00B806FD">
        <w:t xml:space="preserve">Order at 1, In re Petition of Reapportionment Commission ex rel., No. SC 20661 (Feb. 10, 2022) (stating how “the Court hereby adopts as the established plan of congressional districting the plan depicted and described in exhibits 1 and 4 of the Report and Plan of the Special Master, Nathaniel </w:t>
      </w:r>
      <w:proofErr w:type="spellStart"/>
      <w:r w:rsidRPr="00B806FD">
        <w:t>Persily</w:t>
      </w:r>
      <w:proofErr w:type="spellEnd"/>
      <w:r w:rsidRPr="00B806FD">
        <w:t>, dated January 18, 2022.”).</w:t>
      </w:r>
    </w:p>
  </w:footnote>
  <w:footnote w:id="367">
    <w:p w14:paraId="10C481F1" w14:textId="71D5F1E6" w:rsidR="00C11C4C" w:rsidRPr="00B806FD" w:rsidRDefault="00C11C4C" w:rsidP="00B806FD">
      <w:pPr>
        <w:pStyle w:val="FootnoteText"/>
      </w:pPr>
      <w:r w:rsidRPr="00B806FD">
        <w:rPr>
          <w:rStyle w:val="FootnoteReference"/>
        </w:rPr>
        <w:footnoteRef/>
      </w:r>
      <w:r w:rsidRPr="00B806FD">
        <w:t xml:space="preserve"> </w:t>
      </w:r>
      <w:r w:rsidR="004764FC" w:rsidRPr="00B806FD">
        <w:tab/>
      </w:r>
      <w:r w:rsidRPr="00B806FD">
        <w:rPr>
          <w:i/>
          <w:iCs/>
        </w:rPr>
        <w:t>I</w:t>
      </w:r>
      <w:ins w:id="794" w:author="Jonathan Cervas" w:date="2023-06-29T15:44:00Z">
        <w:r w:rsidR="001861EF">
          <w:rPr>
            <w:i/>
            <w:iCs/>
          </w:rPr>
          <w:t>bi</w:t>
        </w:r>
      </w:ins>
      <w:r w:rsidRPr="00B806FD">
        <w:rPr>
          <w:i/>
          <w:iCs/>
        </w:rPr>
        <w:t>d.</w:t>
      </w:r>
    </w:p>
  </w:footnote>
  <w:footnote w:id="368">
    <w:p w14:paraId="2A935978" w14:textId="635B2327" w:rsidR="00AB2444" w:rsidRPr="00B806FD" w:rsidRDefault="00AB2444" w:rsidP="00B806FD">
      <w:pPr>
        <w:pStyle w:val="FootnoteText"/>
      </w:pPr>
      <w:r w:rsidRPr="00B806FD">
        <w:rPr>
          <w:rStyle w:val="FootnoteReference"/>
        </w:rPr>
        <w:footnoteRef/>
      </w:r>
      <w:r w:rsidRPr="00B806FD">
        <w:t xml:space="preserve"> </w:t>
      </w:r>
      <w:r w:rsidRPr="00B806FD">
        <w:tab/>
      </w:r>
      <w:r w:rsidRPr="00B806FD">
        <w:rPr>
          <w:i/>
          <w:iCs/>
        </w:rPr>
        <w:t>Party Control of Minnesota State Government</w:t>
      </w:r>
      <w:r w:rsidRPr="00B806FD">
        <w:t xml:space="preserve">, </w:t>
      </w:r>
      <w:r w:rsidRPr="00B806FD">
        <w:rPr>
          <w:smallCaps/>
        </w:rPr>
        <w:t>Ballotpedia</w:t>
      </w:r>
      <w:r w:rsidRPr="00B806FD">
        <w:t>, https://ballotpedia.org/Party_control_of_Minnesota_state_government [https://perma.cc/9HW4-JNGL] (last visited Dec. 24, 2022).</w:t>
      </w:r>
    </w:p>
  </w:footnote>
  <w:footnote w:id="369">
    <w:p w14:paraId="71DC1B4B" w14:textId="1230F831" w:rsidR="00AB2444" w:rsidRPr="00B806FD" w:rsidRDefault="00AB2444" w:rsidP="00B806FD">
      <w:pPr>
        <w:pStyle w:val="FootnoteText"/>
      </w:pPr>
      <w:r w:rsidRPr="00B806FD">
        <w:rPr>
          <w:rStyle w:val="FootnoteReference"/>
        </w:rPr>
        <w:footnoteRef/>
      </w:r>
      <w:r w:rsidRPr="00B806FD">
        <w:t xml:space="preserve"> </w:t>
      </w:r>
      <w:r w:rsidRPr="00B806FD">
        <w:tab/>
      </w:r>
      <w:r w:rsidRPr="00B806FD">
        <w:rPr>
          <w:i/>
          <w:iCs/>
        </w:rPr>
        <w:t>Id.</w:t>
      </w:r>
    </w:p>
  </w:footnote>
  <w:footnote w:id="370">
    <w:p w14:paraId="2410101F" w14:textId="589F5B31" w:rsidR="00AB2444" w:rsidRPr="00B806FD" w:rsidRDefault="00AB2444" w:rsidP="00B806FD">
      <w:pPr>
        <w:pStyle w:val="FootnoteText"/>
      </w:pPr>
      <w:r w:rsidRPr="00B806FD">
        <w:rPr>
          <w:rStyle w:val="FootnoteReference"/>
        </w:rPr>
        <w:footnoteRef/>
      </w:r>
      <w:r w:rsidRPr="00B806FD">
        <w:t xml:space="preserve"> </w:t>
      </w:r>
      <w:r w:rsidR="006C56F7" w:rsidRPr="00B806FD">
        <w:tab/>
      </w:r>
      <w:r w:rsidRPr="00B806FD">
        <w:t xml:space="preserve">Minnesota has a long history of court-drawn maps.  Alexis C </w:t>
      </w:r>
      <w:proofErr w:type="spellStart"/>
      <w:r w:rsidRPr="00B806FD">
        <w:t>Stangl</w:t>
      </w:r>
      <w:proofErr w:type="spellEnd"/>
      <w:r w:rsidRPr="00B806FD">
        <w:t xml:space="preserve"> &amp; Matt Gehring, </w:t>
      </w:r>
      <w:r w:rsidRPr="00B806FD">
        <w:rPr>
          <w:i/>
          <w:iCs/>
        </w:rPr>
        <w:t>History of Minnesota Congressional Redistricting</w:t>
      </w:r>
      <w:r w:rsidRPr="00B806FD">
        <w:t xml:space="preserve">, </w:t>
      </w:r>
      <w:r w:rsidRPr="00B806FD">
        <w:rPr>
          <w:smallCaps/>
        </w:rPr>
        <w:t xml:space="preserve">Minnesota Legislature: Legislative Coordinating Comm'n </w:t>
      </w:r>
      <w:r w:rsidRPr="00B806FD">
        <w:t>(Nov. 2018), https://www.gis.lcc.mn.gov/html/history_of_congressional_redistricting.pdf. [https://perma.cc/D33K-G6PB] (stating that “[s]</w:t>
      </w:r>
      <w:proofErr w:type="spellStart"/>
      <w:r w:rsidRPr="00B806FD">
        <w:t>ince</w:t>
      </w:r>
      <w:proofErr w:type="spellEnd"/>
      <w:r w:rsidRPr="00B806FD">
        <w:t xml:space="preserve"> the 1980 census, the courts have drawn the congressional districts in absence of enacted redistricting plans.”).</w:t>
      </w:r>
    </w:p>
  </w:footnote>
  <w:footnote w:id="371">
    <w:p w14:paraId="1747431D" w14:textId="4F19292D" w:rsidR="00AB2444" w:rsidRPr="00B806FD" w:rsidRDefault="00AB2444" w:rsidP="00B806FD">
      <w:pPr>
        <w:pStyle w:val="FootnoteText"/>
      </w:pPr>
      <w:r w:rsidRPr="00B806FD">
        <w:rPr>
          <w:rStyle w:val="FootnoteReference"/>
        </w:rPr>
        <w:footnoteRef/>
      </w:r>
      <w:r w:rsidRPr="00B806FD">
        <w:t xml:space="preserve"> </w:t>
      </w:r>
      <w:r w:rsidR="006C56F7" w:rsidRPr="00B806FD">
        <w:tab/>
      </w:r>
      <w:r w:rsidRPr="00B806FD">
        <w:t>The “</w:t>
      </w:r>
      <w:proofErr w:type="spellStart"/>
      <w:r w:rsidRPr="00B806FD">
        <w:rPr>
          <w:i/>
          <w:iCs/>
        </w:rPr>
        <w:t>Wattson</w:t>
      </w:r>
      <w:proofErr w:type="spellEnd"/>
      <w:r w:rsidRPr="00B806FD">
        <w:t xml:space="preserve">” redistricting panel consisted of five judges.  Final Order Adopting </w:t>
      </w:r>
      <w:proofErr w:type="gramStart"/>
      <w:r w:rsidRPr="00B806FD">
        <w:t>A</w:t>
      </w:r>
      <w:proofErr w:type="gramEnd"/>
      <w:r w:rsidRPr="00B806FD">
        <w:t xml:space="preserve"> Congressional Redistricting Plan, </w:t>
      </w:r>
      <w:proofErr w:type="spellStart"/>
      <w:r w:rsidRPr="00B806FD">
        <w:t>Wattson</w:t>
      </w:r>
      <w:proofErr w:type="spellEnd"/>
      <w:r w:rsidRPr="00B806FD">
        <w:t xml:space="preserve"> v. Anderson, Nos. A21-0243, A21-0546 at 20 (Minn. Feb. 15, 2022).</w:t>
      </w:r>
      <w:hyperlink w:history="1"/>
    </w:p>
  </w:footnote>
  <w:footnote w:id="372">
    <w:p w14:paraId="23E67ED0" w14:textId="2E9427BD" w:rsidR="00AB2444" w:rsidRPr="00B806FD" w:rsidRDefault="00AB2444" w:rsidP="00B806FD">
      <w:pPr>
        <w:pStyle w:val="FootnoteText"/>
        <w:rPr>
          <w:i/>
          <w:iCs/>
        </w:rPr>
      </w:pPr>
      <w:r w:rsidRPr="00B806FD">
        <w:rPr>
          <w:rStyle w:val="FootnoteReference"/>
        </w:rPr>
        <w:footnoteRef/>
      </w:r>
      <w:r w:rsidRPr="00B806FD">
        <w:t xml:space="preserve"> </w:t>
      </w:r>
      <w:r w:rsidR="006C56F7" w:rsidRPr="00B806FD">
        <w:tab/>
      </w:r>
      <w:r w:rsidRPr="00B806FD">
        <w:rPr>
          <w:i/>
          <w:iCs/>
        </w:rPr>
        <w:t>I</w:t>
      </w:r>
      <w:ins w:id="795" w:author="Jonathan Cervas" w:date="2023-06-29T15:44:00Z">
        <w:r w:rsidR="001861EF">
          <w:rPr>
            <w:i/>
            <w:iCs/>
          </w:rPr>
          <w:t>bi</w:t>
        </w:r>
      </w:ins>
      <w:r w:rsidRPr="00B806FD">
        <w:rPr>
          <w:i/>
          <w:iCs/>
        </w:rPr>
        <w:t>d.</w:t>
      </w:r>
    </w:p>
  </w:footnote>
  <w:footnote w:id="373">
    <w:p w14:paraId="23C43077" w14:textId="16D5A686" w:rsidR="006C56F7" w:rsidRPr="00B806FD" w:rsidRDefault="006C56F7" w:rsidP="00B806FD">
      <w:pPr>
        <w:pStyle w:val="FootnoteText"/>
      </w:pPr>
      <w:r w:rsidRPr="00B806FD">
        <w:rPr>
          <w:rStyle w:val="FootnoteReference"/>
        </w:rPr>
        <w:footnoteRef/>
      </w:r>
      <w:r w:rsidRPr="00B806FD">
        <w:t xml:space="preserve"> </w:t>
      </w:r>
      <w:r w:rsidRPr="00B806FD">
        <w:tab/>
      </w:r>
      <w:r w:rsidRPr="00B806FD">
        <w:rPr>
          <w:i/>
          <w:iCs/>
        </w:rPr>
        <w:t>Party Control of New Hampshire State Government</w:t>
      </w:r>
      <w:r w:rsidRPr="00B806FD">
        <w:t xml:space="preserve">, </w:t>
      </w:r>
      <w:r w:rsidRPr="00B806FD">
        <w:rPr>
          <w:smallCaps/>
        </w:rPr>
        <w:t>Ballotpedia</w:t>
      </w:r>
      <w:r w:rsidRPr="00B806FD">
        <w:t>, https://ballotpedia.org/Party_control_of_New_Hampshire_state_government [https://perma.cc/QM54-4UJY] (last visited Dec. 24, 2022).</w:t>
      </w:r>
    </w:p>
  </w:footnote>
  <w:footnote w:id="374">
    <w:p w14:paraId="38840BAA" w14:textId="605C1C78" w:rsidR="006C56F7" w:rsidRPr="00B806FD" w:rsidRDefault="006C56F7" w:rsidP="00B806FD">
      <w:pPr>
        <w:pStyle w:val="FootnoteText"/>
      </w:pPr>
      <w:r w:rsidRPr="00B806FD">
        <w:rPr>
          <w:rStyle w:val="FootnoteReference"/>
        </w:rPr>
        <w:footnoteRef/>
      </w:r>
      <w:r w:rsidRPr="00B806FD">
        <w:t xml:space="preserve"> </w:t>
      </w:r>
      <w:r w:rsidRPr="00B806FD">
        <w:tab/>
        <w:t xml:space="preserve">David Weigel, </w:t>
      </w:r>
      <w:r w:rsidRPr="00B806FD">
        <w:rPr>
          <w:i/>
          <w:iCs/>
        </w:rPr>
        <w:t>Primary Season Concludes with Bitterly Contested GOP Races in N.H.</w:t>
      </w:r>
      <w:r w:rsidRPr="00B806FD">
        <w:t xml:space="preserve">, </w:t>
      </w:r>
      <w:r w:rsidRPr="00B806FD">
        <w:rPr>
          <w:smallCaps/>
        </w:rPr>
        <w:t>Wash. Post</w:t>
      </w:r>
      <w:r w:rsidRPr="00B806FD">
        <w:t xml:space="preserve"> (Sep. 12, 2022), https://www.washingtonpost.com/politics/2022/09/11/new-hampshire-bolduc-morse-senate-house/ https://perma.cc/QGU8-3RWS] (last visited Dec. 24, 2022).</w:t>
      </w:r>
    </w:p>
  </w:footnote>
  <w:footnote w:id="375">
    <w:p w14:paraId="3CC048B5" w14:textId="2BA967D8" w:rsidR="006C56F7" w:rsidRPr="00B806FD" w:rsidRDefault="006C56F7" w:rsidP="00B806FD">
      <w:pPr>
        <w:pStyle w:val="FootnoteText"/>
      </w:pPr>
      <w:r w:rsidRPr="00B806FD">
        <w:rPr>
          <w:rStyle w:val="FootnoteReference"/>
        </w:rPr>
        <w:footnoteRef/>
      </w:r>
      <w:r w:rsidRPr="00B806FD">
        <w:t xml:space="preserve"> </w:t>
      </w:r>
      <w:r w:rsidRPr="00B806FD">
        <w:tab/>
        <w:t xml:space="preserve">Amanda </w:t>
      </w:r>
      <w:proofErr w:type="spellStart"/>
      <w:r w:rsidRPr="00B806FD">
        <w:t>Gokee</w:t>
      </w:r>
      <w:proofErr w:type="spellEnd"/>
      <w:r w:rsidRPr="00B806FD">
        <w:t xml:space="preserve">, </w:t>
      </w:r>
      <w:r w:rsidRPr="00B806FD">
        <w:rPr>
          <w:i/>
          <w:iCs/>
        </w:rPr>
        <w:t>New Hampshire Supreme Court Rules Current Congressional Districts Unconstitutional</w:t>
      </w:r>
      <w:r w:rsidRPr="00B806FD">
        <w:t xml:space="preserve">, </w:t>
      </w:r>
      <w:r w:rsidRPr="00B806FD">
        <w:rPr>
          <w:smallCaps/>
        </w:rPr>
        <w:t>New Hampshire Bulletin</w:t>
      </w:r>
      <w:r w:rsidRPr="00B806FD">
        <w:t xml:space="preserve"> (May 12, 2022), https://newhampshirebulletin.com/briefs/new-hampshire-supreme-court-rules-current-congressional-districts-unconstitutional/ [https://perma.cc/X69D-9ZKU] (last visited Dec. 24, 2022).</w:t>
      </w:r>
    </w:p>
  </w:footnote>
  <w:footnote w:id="376">
    <w:p w14:paraId="37B21A53" w14:textId="256F70E4" w:rsidR="006C56F7" w:rsidRPr="00B806FD" w:rsidRDefault="006C56F7" w:rsidP="00B806FD">
      <w:pPr>
        <w:pStyle w:val="FootnoteText"/>
      </w:pPr>
      <w:r w:rsidRPr="00B806FD">
        <w:rPr>
          <w:rStyle w:val="FootnoteReference"/>
        </w:rPr>
        <w:footnoteRef/>
      </w:r>
      <w:r w:rsidRPr="00B806FD">
        <w:t xml:space="preserve"> </w:t>
      </w:r>
      <w:r w:rsidRPr="00B806FD">
        <w:tab/>
        <w:t xml:space="preserve">Todd Bookman, </w:t>
      </w:r>
      <w:r w:rsidRPr="00B806FD">
        <w:rPr>
          <w:i/>
          <w:iCs/>
        </w:rPr>
        <w:t>Competitive Congressional Districts are on the Decline. New Hampshire Bucks the Trend</w:t>
      </w:r>
      <w:r w:rsidRPr="00B806FD">
        <w:t xml:space="preserve">, </w:t>
      </w:r>
      <w:r w:rsidRPr="00B806FD">
        <w:rPr>
          <w:smallCaps/>
        </w:rPr>
        <w:t>NPR</w:t>
      </w:r>
      <w:r w:rsidRPr="00B806FD">
        <w:t xml:space="preserve"> (Jun. 10, 2022), https://www.npr.org/2022/06/10/1104025539/new-hampshire-redistricting-competitive-districts-sununu [https://perma.cc/YLG2-CPLT] (last visited Dec. 24, 2022).</w:t>
      </w:r>
    </w:p>
  </w:footnote>
  <w:footnote w:id="377">
    <w:p w14:paraId="46A8C26F" w14:textId="007C6DFA" w:rsidR="006C56F7" w:rsidRPr="00B806FD" w:rsidRDefault="006C56F7" w:rsidP="00B806FD">
      <w:pPr>
        <w:pStyle w:val="FootnoteText"/>
      </w:pPr>
      <w:r w:rsidRPr="00B806FD">
        <w:rPr>
          <w:rStyle w:val="FootnoteReference"/>
        </w:rPr>
        <w:footnoteRef/>
      </w:r>
      <w:r w:rsidRPr="00B806FD">
        <w:t xml:space="preserve"> </w:t>
      </w:r>
      <w:r w:rsidRPr="00B806FD">
        <w:tab/>
      </w:r>
      <w:r w:rsidRPr="00B806FD">
        <w:rPr>
          <w:i/>
          <w:iCs/>
        </w:rPr>
        <w:t>Id.</w:t>
      </w:r>
    </w:p>
  </w:footnote>
  <w:footnote w:id="378">
    <w:p w14:paraId="533805D3" w14:textId="4093B2AA" w:rsidR="006C56F7" w:rsidRPr="00B806FD" w:rsidRDefault="006C56F7" w:rsidP="00B806FD">
      <w:pPr>
        <w:pStyle w:val="FootnoteText"/>
      </w:pPr>
      <w:r w:rsidRPr="00B806FD">
        <w:rPr>
          <w:rStyle w:val="FootnoteReference"/>
        </w:rPr>
        <w:footnoteRef/>
      </w:r>
      <w:r w:rsidRPr="00B806FD">
        <w:t xml:space="preserve"> </w:t>
      </w:r>
      <w:r w:rsidRPr="00B806FD">
        <w:tab/>
      </w:r>
      <w:proofErr w:type="spellStart"/>
      <w:r w:rsidRPr="00B806FD">
        <w:t>Norelli</w:t>
      </w:r>
      <w:proofErr w:type="spellEnd"/>
      <w:r w:rsidRPr="00B806FD">
        <w:t xml:space="preserve"> v. Secretary of State, 2022 WL 1747769 (N.H. May 31, 2022) (stating that the “court hereby adopts as the congressional district plan for New Hampshire the plan recommended by the special master . . . ”).</w:t>
      </w:r>
    </w:p>
  </w:footnote>
  <w:footnote w:id="379">
    <w:p w14:paraId="27443FE7" w14:textId="49D3DC78" w:rsidR="006C56F7" w:rsidRPr="00B806FD" w:rsidRDefault="006C56F7" w:rsidP="00B806FD">
      <w:pPr>
        <w:pStyle w:val="FootnoteText"/>
      </w:pPr>
      <w:r w:rsidRPr="00B806FD">
        <w:rPr>
          <w:rStyle w:val="FootnoteReference"/>
        </w:rPr>
        <w:footnoteRef/>
      </w:r>
      <w:r w:rsidRPr="00B806FD">
        <w:t xml:space="preserve"> </w:t>
      </w:r>
      <w:r w:rsidRPr="00B806FD">
        <w:tab/>
        <w:t xml:space="preserve">Morrissey, </w:t>
      </w:r>
      <w:r w:rsidRPr="00B806FD">
        <w:rPr>
          <w:i/>
          <w:iCs/>
        </w:rPr>
        <w:t>supra</w:t>
      </w:r>
      <w:r w:rsidRPr="00B806FD">
        <w:t xml:space="preserve"> note </w:t>
      </w:r>
      <w:ins w:id="796" w:author="Jonathan Cervas" w:date="2023-06-29T15:47:00Z">
        <w:r w:rsidR="006C5DE6">
          <w:fldChar w:fldCharType="begin"/>
        </w:r>
        <w:r w:rsidR="006C5DE6">
          <w:instrText xml:space="preserve"> NOTEREF _Ref123764448 \h </w:instrText>
        </w:r>
      </w:ins>
      <w:r w:rsidR="006C5DE6">
        <w:fldChar w:fldCharType="separate"/>
      </w:r>
      <w:ins w:id="797" w:author="Jonathan Cervas" w:date="2023-06-29T15:47:00Z">
        <w:r w:rsidR="006C5DE6">
          <w:t>169</w:t>
        </w:r>
        <w:r w:rsidR="006C5DE6">
          <w:fldChar w:fldCharType="end"/>
        </w:r>
      </w:ins>
      <w:del w:id="798" w:author="Jonathan Cervas" w:date="2023-06-29T15:47:00Z">
        <w:r w:rsidRPr="00B806FD" w:rsidDel="006C5DE6">
          <w:delText>166</w:delText>
        </w:r>
      </w:del>
      <w:r w:rsidRPr="00B806FD">
        <w:t xml:space="preserve">.  As identified in the section above, there are still states where resolution of lawsuits </w:t>
      </w:r>
      <w:del w:id="799" w:author="Jonathan Cervas" w:date="2023-06-29T15:47:00Z">
        <w:r w:rsidRPr="00B806FD" w:rsidDel="006C5DE6">
          <w:delText>were</w:delText>
        </w:r>
      </w:del>
      <w:ins w:id="800" w:author="Jonathan Cervas" w:date="2023-06-29T15:47:00Z">
        <w:r w:rsidR="006C5DE6" w:rsidRPr="00B806FD">
          <w:t>was</w:t>
        </w:r>
      </w:ins>
      <w:r w:rsidRPr="00B806FD">
        <w:t xml:space="preserve"> postponed until after the November 2022 elections.</w:t>
      </w:r>
    </w:p>
  </w:footnote>
  <w:footnote w:id="380">
    <w:p w14:paraId="755BECF8" w14:textId="5785B724" w:rsidR="00E74CC8" w:rsidRPr="00B806FD" w:rsidRDefault="00E74CC8" w:rsidP="00B806FD">
      <w:pPr>
        <w:pStyle w:val="FootnoteText"/>
      </w:pPr>
      <w:r w:rsidRPr="00B806FD">
        <w:rPr>
          <w:rStyle w:val="FootnoteReference"/>
        </w:rPr>
        <w:footnoteRef/>
      </w:r>
      <w:r w:rsidRPr="00B806FD">
        <w:t xml:space="preserve"> </w:t>
      </w:r>
      <w:r w:rsidRPr="00B806FD">
        <w:tab/>
        <w:t xml:space="preserve">Cervas and Grofman, </w:t>
      </w:r>
      <w:r w:rsidRPr="00B806FD">
        <w:rPr>
          <w:i/>
          <w:iCs/>
        </w:rPr>
        <w:t>supra</w:t>
      </w:r>
      <w:r w:rsidRPr="00B806FD">
        <w:t xml:space="preserve"> note </w:t>
      </w:r>
      <w:ins w:id="801" w:author="Jonathan Cervas" w:date="2023-06-29T15:47:00Z">
        <w:r w:rsidR="006C5DE6">
          <w:fldChar w:fldCharType="begin"/>
        </w:r>
        <w:r w:rsidR="006C5DE6">
          <w:instrText xml:space="preserve"> NOTEREF _Ref138174896 \h </w:instrText>
        </w:r>
      </w:ins>
      <w:r w:rsidR="006C5DE6">
        <w:fldChar w:fldCharType="separate"/>
      </w:r>
      <w:ins w:id="802" w:author="Jonathan Cervas" w:date="2023-06-29T15:47:00Z">
        <w:r w:rsidR="006C5DE6">
          <w:t>57</w:t>
        </w:r>
        <w:r w:rsidR="006C5DE6">
          <w:fldChar w:fldCharType="end"/>
        </w:r>
      </w:ins>
      <w:del w:id="803" w:author="Jonathan Cervas" w:date="2023-06-29T15:47:00Z">
        <w:r w:rsidRPr="00B806FD" w:rsidDel="006C5DE6">
          <w:delText>57</w:delText>
        </w:r>
      </w:del>
      <w:r w:rsidRPr="00B806FD">
        <w:t xml:space="preserve">, at 1; </w:t>
      </w:r>
      <w:r w:rsidRPr="00B806FD">
        <w:rPr>
          <w:smallCaps/>
        </w:rPr>
        <w:t>McGann et al.</w:t>
      </w:r>
      <w:r w:rsidRPr="00B806FD">
        <w:t xml:space="preserve">, </w:t>
      </w:r>
      <w:r w:rsidRPr="00B806FD">
        <w:rPr>
          <w:i/>
          <w:iCs/>
        </w:rPr>
        <w:t>supra</w:t>
      </w:r>
      <w:r w:rsidRPr="00B806FD">
        <w:t xml:space="preserve"> note 29; Samuel S.-H. Wang, Brian A. Remlinger &amp; Ben Williams, </w:t>
      </w:r>
      <w:r w:rsidRPr="00B806FD">
        <w:rPr>
          <w:i/>
          <w:iCs/>
        </w:rPr>
        <w:t>An Antidote for Gobbledygook: Organizing the Judge’s Partisan Gerrymandering Toolkit into Tests of Opportunity and Outcome</w:t>
      </w:r>
      <w:r w:rsidRPr="00B806FD">
        <w:t xml:space="preserve">, 17 </w:t>
      </w:r>
      <w:r w:rsidRPr="00B806FD">
        <w:rPr>
          <w:smallCaps/>
        </w:rPr>
        <w:t xml:space="preserve">Election Law J. Rules Pol. </w:t>
      </w:r>
      <w:proofErr w:type="spellStart"/>
      <w:r w:rsidRPr="00B806FD">
        <w:rPr>
          <w:smallCaps/>
        </w:rPr>
        <w:t>Pol'y</w:t>
      </w:r>
      <w:proofErr w:type="spellEnd"/>
      <w:r w:rsidRPr="00B806FD">
        <w:t xml:space="preserve"> 302 (2018).</w:t>
      </w:r>
    </w:p>
  </w:footnote>
  <w:footnote w:id="381">
    <w:p w14:paraId="629ECD6B" w14:textId="3E383729" w:rsidR="00E74CC8" w:rsidRPr="00B806FD" w:rsidRDefault="00E74CC8" w:rsidP="00B806FD">
      <w:pPr>
        <w:pStyle w:val="FootnoteText"/>
      </w:pPr>
      <w:r w:rsidRPr="00B806FD">
        <w:rPr>
          <w:rStyle w:val="FootnoteReference"/>
        </w:rPr>
        <w:footnoteRef/>
      </w:r>
      <w:r w:rsidRPr="00B806FD">
        <w:t xml:space="preserve"> </w:t>
      </w:r>
      <w:r w:rsidRPr="00B806FD">
        <w:tab/>
        <w:t xml:space="preserve">Cervas and Grofman, </w:t>
      </w:r>
      <w:r w:rsidRPr="00B806FD">
        <w:rPr>
          <w:i/>
          <w:iCs/>
        </w:rPr>
        <w:t>supra</w:t>
      </w:r>
      <w:r w:rsidRPr="00B806FD">
        <w:t xml:space="preserve"> note </w:t>
      </w:r>
      <w:ins w:id="806" w:author="Jonathan Cervas" w:date="2023-06-29T15:49:00Z">
        <w:r w:rsidR="006C5DE6">
          <w:fldChar w:fldCharType="begin"/>
        </w:r>
        <w:r w:rsidR="006C5DE6">
          <w:instrText xml:space="preserve"> NOTEREF _Ref138174896 \h </w:instrText>
        </w:r>
      </w:ins>
      <w:r w:rsidR="006C5DE6">
        <w:fldChar w:fldCharType="separate"/>
      </w:r>
      <w:ins w:id="807" w:author="Jonathan Cervas" w:date="2023-06-29T15:49:00Z">
        <w:r w:rsidR="006C5DE6">
          <w:t>57</w:t>
        </w:r>
        <w:r w:rsidR="006C5DE6">
          <w:fldChar w:fldCharType="end"/>
        </w:r>
      </w:ins>
      <w:del w:id="808" w:author="Jonathan Cervas" w:date="2023-06-29T15:49:00Z">
        <w:r w:rsidRPr="00B806FD" w:rsidDel="006C5DE6">
          <w:delText>57</w:delText>
        </w:r>
      </w:del>
      <w:r w:rsidRPr="00B806FD">
        <w:t>.</w:t>
      </w:r>
    </w:p>
  </w:footnote>
  <w:footnote w:id="382">
    <w:p w14:paraId="013B6E4C" w14:textId="1D57B159" w:rsidR="00E74CC8" w:rsidRPr="00B806FD" w:rsidRDefault="00E74CC8" w:rsidP="00B806FD">
      <w:pPr>
        <w:pStyle w:val="FootnoteText"/>
      </w:pPr>
      <w:r w:rsidRPr="00B806FD">
        <w:rPr>
          <w:rStyle w:val="FootnoteReference"/>
        </w:rPr>
        <w:footnoteRef/>
      </w:r>
      <w:r w:rsidRPr="00B806FD">
        <w:t xml:space="preserve"> </w:t>
      </w:r>
      <w:r w:rsidRPr="00B806FD">
        <w:tab/>
        <w:t>League of Women Voters of Pa. v. Commonwealth, 178 A.3d 737, 825 (Pa. 2018).</w:t>
      </w:r>
      <w:ins w:id="809" w:author="Jonathan Cervas" w:date="2023-06-29T15:49:00Z">
        <w:r w:rsidR="006C5DE6">
          <w:t xml:space="preserve"> See also</w:t>
        </w:r>
      </w:ins>
      <w:ins w:id="810" w:author="Jonathan Cervas" w:date="2023-06-29T15:50:00Z">
        <w:r w:rsidR="006C5DE6">
          <w:t xml:space="preserve"> </w:t>
        </w:r>
        <w:r w:rsidR="006C5DE6">
          <w:rPr>
            <w:i/>
            <w:iCs/>
          </w:rPr>
          <w:t>supra</w:t>
        </w:r>
      </w:ins>
      <w:ins w:id="811" w:author="Jonathan Cervas" w:date="2023-06-29T15:49:00Z">
        <w:r w:rsidR="006C5DE6">
          <w:t xml:space="preserve"> note </w:t>
        </w:r>
      </w:ins>
      <w:ins w:id="812" w:author="Jonathan Cervas" w:date="2023-06-29T15:50:00Z">
        <w:r w:rsidR="006C5DE6">
          <w:fldChar w:fldCharType="begin"/>
        </w:r>
        <w:r w:rsidR="006C5DE6">
          <w:instrText xml:space="preserve"> NOTEREF _Ref138175061 \h </w:instrText>
        </w:r>
      </w:ins>
      <w:r w:rsidR="006C5DE6">
        <w:fldChar w:fldCharType="separate"/>
      </w:r>
      <w:ins w:id="813" w:author="Jonathan Cervas" w:date="2023-06-29T15:50:00Z">
        <w:r w:rsidR="006C5DE6">
          <w:t>15</w:t>
        </w:r>
        <w:r w:rsidR="006C5DE6">
          <w:fldChar w:fldCharType="end"/>
        </w:r>
        <w:r w:rsidR="006C5DE6">
          <w:t>.</w:t>
        </w:r>
      </w:ins>
    </w:p>
  </w:footnote>
  <w:footnote w:id="383">
    <w:p w14:paraId="600306B7" w14:textId="6ADA0DE0" w:rsidR="00E74CC8" w:rsidRPr="00B806FD" w:rsidRDefault="00E74CC8" w:rsidP="00B806FD">
      <w:pPr>
        <w:pStyle w:val="FootnoteText"/>
      </w:pPr>
      <w:r w:rsidRPr="00B806FD">
        <w:rPr>
          <w:rStyle w:val="FootnoteReference"/>
        </w:rPr>
        <w:footnoteRef/>
      </w:r>
      <w:r w:rsidRPr="00B806FD">
        <w:t xml:space="preserve"> </w:t>
      </w:r>
      <w:r w:rsidRPr="00B806FD">
        <w:tab/>
      </w:r>
      <w:ins w:id="814" w:author="Jonathan Cervas" w:date="2023-06-29T15:50:00Z">
        <w:r w:rsidR="00FF33E7" w:rsidRPr="00FF33E7">
          <w:rPr>
            <w:i/>
            <w:iCs/>
            <w:rPrChange w:id="815" w:author="Jonathan Cervas" w:date="2023-06-29T15:50:00Z">
              <w:rPr/>
            </w:rPrChange>
          </w:rPr>
          <w:t>League of Women Voters of Pa</w:t>
        </w:r>
        <w:r w:rsidR="00FF33E7" w:rsidRPr="00B806FD">
          <w:t>., 178 A.3d</w:t>
        </w:r>
      </w:ins>
      <w:del w:id="816" w:author="Jonathan Cervas" w:date="2023-06-29T15:50:00Z">
        <w:r w:rsidRPr="00B806FD" w:rsidDel="00FF33E7">
          <w:rPr>
            <w:i/>
            <w:iCs/>
          </w:rPr>
          <w:delText>Id</w:delText>
        </w:r>
      </w:del>
      <w:r w:rsidRPr="00B806FD">
        <w:rPr>
          <w:i/>
          <w:iCs/>
        </w:rPr>
        <w:t>.</w:t>
      </w:r>
      <w:r w:rsidRPr="00B806FD">
        <w:t xml:space="preserve"> at 740.</w:t>
      </w:r>
    </w:p>
  </w:footnote>
  <w:footnote w:id="384">
    <w:p w14:paraId="6F2581A8" w14:textId="6CA37409" w:rsidR="00E74CC8" w:rsidRPr="00B806FD" w:rsidRDefault="00E74CC8" w:rsidP="00B806FD">
      <w:pPr>
        <w:pStyle w:val="FootnoteText"/>
      </w:pPr>
      <w:r w:rsidRPr="00B806FD">
        <w:rPr>
          <w:rStyle w:val="FootnoteReference"/>
        </w:rPr>
        <w:footnoteRef/>
      </w:r>
      <w:r w:rsidRPr="00B806FD">
        <w:t xml:space="preserve"> </w:t>
      </w:r>
      <w:r w:rsidRPr="00B806FD">
        <w:tab/>
        <w:t>Pa. Const. art I, § 5 (stating that “[e]lections shall be free and equal; and no power, civil or military, shall at any time interfere to prevent the free exercise of the right of suffrage.”).</w:t>
      </w:r>
    </w:p>
  </w:footnote>
  <w:footnote w:id="385">
    <w:p w14:paraId="0CEBF3E9" w14:textId="5AB8C8F2" w:rsidR="00E74CC8" w:rsidRPr="00B806FD" w:rsidRDefault="00E74CC8" w:rsidP="00B806FD">
      <w:pPr>
        <w:pStyle w:val="FootnoteText"/>
      </w:pPr>
      <w:r w:rsidRPr="00B806FD">
        <w:rPr>
          <w:rStyle w:val="FootnoteReference"/>
        </w:rPr>
        <w:footnoteRef/>
      </w:r>
      <w:r w:rsidRPr="00B806FD">
        <w:t xml:space="preserve"> </w:t>
      </w:r>
      <w:r w:rsidRPr="00B806FD">
        <w:tab/>
      </w:r>
      <w:r w:rsidRPr="00B806FD">
        <w:rPr>
          <w:i/>
          <w:iCs/>
        </w:rPr>
        <w:t>League of Women Voters of Pa.</w:t>
      </w:r>
      <w:r w:rsidRPr="00B806FD">
        <w:t>, 178 A.3d at 814.</w:t>
      </w:r>
    </w:p>
  </w:footnote>
  <w:footnote w:id="386">
    <w:p w14:paraId="52F8D815" w14:textId="224C625D" w:rsidR="00E74CC8" w:rsidRPr="00B806FD" w:rsidRDefault="00E74CC8" w:rsidP="00B806FD">
      <w:pPr>
        <w:pStyle w:val="FootnoteText"/>
      </w:pPr>
      <w:r w:rsidRPr="00B806FD">
        <w:rPr>
          <w:rStyle w:val="FootnoteReference"/>
        </w:rPr>
        <w:footnoteRef/>
      </w:r>
      <w:r w:rsidRPr="00B806FD">
        <w:t xml:space="preserve"> </w:t>
      </w:r>
      <w:r w:rsidRPr="00B806FD">
        <w:tab/>
      </w:r>
      <w:r w:rsidRPr="00B806FD">
        <w:rPr>
          <w:i/>
          <w:iCs/>
        </w:rPr>
        <w:t>Democrats Have Won Nine of Pennsylvania’s 17 U.S. House Seats</w:t>
      </w:r>
      <w:r w:rsidRPr="00B806FD">
        <w:t xml:space="preserve">, </w:t>
      </w:r>
      <w:r w:rsidRPr="00B806FD">
        <w:rPr>
          <w:smallCaps/>
        </w:rPr>
        <w:t>Politico</w:t>
      </w:r>
      <w:r w:rsidRPr="00B806FD">
        <w:t xml:space="preserve"> (Dec. 23, 2022), https://www.politico.com/2022-election/results/pennsylvania/house/ [ https://perma.cc/VM7A-ZZXA].</w:t>
      </w:r>
    </w:p>
  </w:footnote>
  <w:footnote w:id="387">
    <w:p w14:paraId="2F867E70" w14:textId="20B3C76C" w:rsidR="00E74CC8" w:rsidRPr="00B806FD" w:rsidRDefault="00E74CC8" w:rsidP="00B806FD">
      <w:pPr>
        <w:pStyle w:val="FootnoteText"/>
      </w:pPr>
      <w:r w:rsidRPr="00B806FD">
        <w:rPr>
          <w:rStyle w:val="FootnoteReference"/>
        </w:rPr>
        <w:footnoteRef/>
      </w:r>
      <w:r w:rsidRPr="00B806FD">
        <w:t xml:space="preserve"> </w:t>
      </w:r>
      <w:r w:rsidRPr="00B806FD">
        <w:tab/>
      </w:r>
      <w:r w:rsidRPr="00B806FD">
        <w:rPr>
          <w:i/>
          <w:iCs/>
        </w:rPr>
        <w:t>Party Control of Pennsylvania State Government</w:t>
      </w:r>
      <w:r w:rsidRPr="00B806FD">
        <w:t xml:space="preserve">, </w:t>
      </w:r>
      <w:r w:rsidRPr="00B806FD">
        <w:rPr>
          <w:smallCaps/>
        </w:rPr>
        <w:t>Ballotpedia</w:t>
      </w:r>
      <w:r w:rsidRPr="00B806FD">
        <w:t>, https://ballotpedia.org/Party_control_of_Pennsylvania_state_government [https://perma.cc/VZ69-E3ZG] (last visited Dec. 28, 2022).</w:t>
      </w:r>
    </w:p>
  </w:footnote>
  <w:footnote w:id="388">
    <w:p w14:paraId="55AD5C3D" w14:textId="247AD719" w:rsidR="00E74CC8" w:rsidRPr="00B806FD" w:rsidRDefault="00E74CC8" w:rsidP="00B806FD">
      <w:pPr>
        <w:pStyle w:val="FootnoteText"/>
      </w:pPr>
      <w:r w:rsidRPr="00B806FD">
        <w:rPr>
          <w:rStyle w:val="FootnoteReference"/>
        </w:rPr>
        <w:footnoteRef/>
      </w:r>
      <w:r w:rsidRPr="00B806FD">
        <w:t xml:space="preserve"> </w:t>
      </w:r>
      <w:r w:rsidRPr="00B806FD">
        <w:tab/>
        <w:t xml:space="preserve">Carter v. Chapman, 270 A.3d 444, 450 (Pa. 2022) (per </w:t>
      </w:r>
      <w:proofErr w:type="spellStart"/>
      <w:r w:rsidRPr="00B806FD">
        <w:t>curiam</w:t>
      </w:r>
      <w:proofErr w:type="spellEnd"/>
      <w:r w:rsidRPr="00B806FD">
        <w:t>).</w:t>
      </w:r>
    </w:p>
  </w:footnote>
  <w:footnote w:id="389">
    <w:p w14:paraId="76B869EC" w14:textId="7AB3D97B" w:rsidR="00E74CC8" w:rsidRPr="00B806FD" w:rsidRDefault="00E74CC8"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450–51.</w:t>
      </w:r>
    </w:p>
  </w:footnote>
  <w:footnote w:id="390">
    <w:p w14:paraId="1BC473CE" w14:textId="27499553" w:rsidR="00E74CC8" w:rsidRPr="00B806FD" w:rsidRDefault="00E74CC8" w:rsidP="00B806FD">
      <w:pPr>
        <w:pStyle w:val="FootnoteText"/>
      </w:pPr>
      <w:r w:rsidRPr="00B806FD">
        <w:rPr>
          <w:rStyle w:val="FootnoteReference"/>
        </w:rPr>
        <w:footnoteRef/>
      </w:r>
      <w:r w:rsidRPr="00B806FD">
        <w:t xml:space="preserve"> </w:t>
      </w:r>
      <w:r w:rsidRPr="00B806FD">
        <w:tab/>
      </w:r>
      <w:r w:rsidRPr="00B806FD">
        <w:rPr>
          <w:i/>
          <w:iCs/>
        </w:rPr>
        <w:t>I</w:t>
      </w:r>
      <w:ins w:id="817" w:author="Jonathan Cervas" w:date="2023-06-29T15:52:00Z">
        <w:r w:rsidR="00402933">
          <w:rPr>
            <w:i/>
            <w:iCs/>
          </w:rPr>
          <w:t>bi</w:t>
        </w:r>
      </w:ins>
      <w:r w:rsidRPr="00B806FD">
        <w:rPr>
          <w:i/>
          <w:iCs/>
        </w:rPr>
        <w:t>d.</w:t>
      </w:r>
    </w:p>
  </w:footnote>
  <w:footnote w:id="391">
    <w:p w14:paraId="5A9B5D0F" w14:textId="18A95F6B" w:rsidR="00E74CC8" w:rsidRPr="00B806FD" w:rsidRDefault="00E74CC8"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at 470.</w:t>
      </w:r>
    </w:p>
  </w:footnote>
  <w:footnote w:id="392">
    <w:p w14:paraId="326974EA" w14:textId="4DC48F40" w:rsidR="00A833DF" w:rsidRPr="00B806FD" w:rsidRDefault="00A833DF" w:rsidP="00B806FD">
      <w:pPr>
        <w:pStyle w:val="FootnoteText"/>
        <w:rPr>
          <w:b/>
        </w:rPr>
      </w:pPr>
      <w:r w:rsidRPr="00B806FD">
        <w:rPr>
          <w:rStyle w:val="FootnoteReference"/>
        </w:rPr>
        <w:footnoteRef/>
      </w:r>
      <w:r w:rsidRPr="00B806FD">
        <w:t xml:space="preserve"> </w:t>
      </w:r>
      <w:r w:rsidRPr="00B806FD">
        <w:tab/>
      </w:r>
      <w:r w:rsidRPr="00B806FD">
        <w:rPr>
          <w:bCs/>
        </w:rPr>
        <w:t xml:space="preserve">Disclosure:  Bernard Grofman served as the special master in </w:t>
      </w:r>
      <w:proofErr w:type="spellStart"/>
      <w:r w:rsidRPr="00B806FD">
        <w:rPr>
          <w:bCs/>
        </w:rPr>
        <w:t>Personhuballah</w:t>
      </w:r>
      <w:proofErr w:type="spellEnd"/>
      <w:r w:rsidRPr="00B806FD">
        <w:rPr>
          <w:bCs/>
          <w:i/>
          <w:iCs/>
        </w:rPr>
        <w:t xml:space="preserve"> </w:t>
      </w:r>
      <w:r w:rsidRPr="00B806FD">
        <w:rPr>
          <w:bCs/>
        </w:rPr>
        <w:t>v. Alcorn, 155 F. Supp. 3d 552 (E.D. Va. 2016)</w:t>
      </w:r>
      <w:r w:rsidRPr="00B806FD">
        <w:rPr>
          <w:bCs/>
          <w:i/>
          <w:iCs/>
        </w:rPr>
        <w:t>.</w:t>
      </w:r>
    </w:p>
  </w:footnote>
  <w:footnote w:id="393">
    <w:p w14:paraId="12B70F4D" w14:textId="57EBE5DA" w:rsidR="00A833DF" w:rsidRPr="00B806FD" w:rsidRDefault="00A833DF" w:rsidP="00B806FD">
      <w:pPr>
        <w:pStyle w:val="FootnoteText"/>
      </w:pPr>
      <w:r w:rsidRPr="00B806FD">
        <w:rPr>
          <w:rStyle w:val="FootnoteReference"/>
        </w:rPr>
        <w:footnoteRef/>
      </w:r>
      <w:r w:rsidRPr="00B806FD">
        <w:t xml:space="preserve"> </w:t>
      </w:r>
      <w:r w:rsidRPr="00B806FD">
        <w:tab/>
      </w:r>
      <w:r w:rsidRPr="00B806FD">
        <w:rPr>
          <w:i/>
          <w:iCs/>
        </w:rPr>
        <w:t xml:space="preserve">See </w:t>
      </w:r>
      <w:ins w:id="818" w:author="Jonathan Cervas" w:date="2023-06-29T15:52:00Z">
        <w:r w:rsidR="00402933">
          <w:rPr>
            <w:i/>
            <w:iCs/>
          </w:rPr>
          <w:t>I</w:t>
        </w:r>
      </w:ins>
      <w:del w:id="819" w:author="Jonathan Cervas" w:date="2023-06-29T15:52:00Z">
        <w:r w:rsidRPr="00B806FD" w:rsidDel="00402933">
          <w:rPr>
            <w:i/>
            <w:iCs/>
          </w:rPr>
          <w:delText>i</w:delText>
        </w:r>
      </w:del>
      <w:r w:rsidRPr="00B806FD">
        <w:rPr>
          <w:i/>
          <w:iCs/>
        </w:rPr>
        <w:t>d.</w:t>
      </w:r>
      <w:r w:rsidRPr="00B806FD">
        <w:t xml:space="preserve">; Page v. Va. State Bd. of Elections, 2015 WL 3604029 (E.D. Va. 2015), (appeal dismissed for lack of standing sub nom. Wittman v. </w:t>
      </w:r>
      <w:proofErr w:type="spellStart"/>
      <w:r w:rsidRPr="00B806FD">
        <w:t>Personhuballah</w:t>
      </w:r>
      <w:proofErr w:type="spellEnd"/>
      <w:r w:rsidRPr="00B806FD">
        <w:t>, 136 S. Ct. 1732 (2016)).</w:t>
      </w:r>
    </w:p>
  </w:footnote>
  <w:footnote w:id="394">
    <w:p w14:paraId="13D2ABBB" w14:textId="2790B940" w:rsidR="00A833DF" w:rsidRPr="00B806FD" w:rsidRDefault="00A833DF" w:rsidP="00B806FD">
      <w:pPr>
        <w:pStyle w:val="FootnoteText"/>
        <w:rPr>
          <w:bCs/>
        </w:rPr>
      </w:pPr>
      <w:r w:rsidRPr="00B806FD">
        <w:rPr>
          <w:rStyle w:val="FootnoteReference"/>
        </w:rPr>
        <w:footnoteRef/>
      </w:r>
      <w:r w:rsidRPr="00B806FD">
        <w:t xml:space="preserve"> </w:t>
      </w:r>
      <w:r w:rsidRPr="00B806FD">
        <w:tab/>
      </w:r>
      <w:r w:rsidRPr="00B806FD">
        <w:rPr>
          <w:bCs/>
        </w:rPr>
        <w:t>That seat, VA-04,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Black majority district, VA-03, had been unpacked.  That district had two distinct pieces spanning a large distance, each of which had a large minority population, with the two pieces connected in part only by water.  When VA-03 was redrawn in a good government fashion, one of those pieces became the core of a district, the new VA-03, where the Black incumbent resided, the other became the core of a new VA-04, also redrawn to satisfy good government criteria more closely.</w:t>
      </w:r>
    </w:p>
  </w:footnote>
  <w:footnote w:id="395">
    <w:p w14:paraId="1412E59A" w14:textId="3291F7A5" w:rsidR="00A833DF" w:rsidRPr="00B806FD" w:rsidRDefault="00A833DF" w:rsidP="00B806FD">
      <w:pPr>
        <w:pStyle w:val="FootnoteText"/>
      </w:pPr>
      <w:r w:rsidRPr="00B806FD">
        <w:rPr>
          <w:rStyle w:val="FootnoteReference"/>
        </w:rPr>
        <w:footnoteRef/>
      </w:r>
      <w:r w:rsidRPr="00B806FD">
        <w:t xml:space="preserve"> </w:t>
      </w:r>
      <w:r w:rsidRPr="00B806FD">
        <w:tab/>
        <w:t xml:space="preserve">Graham </w:t>
      </w:r>
      <w:proofErr w:type="spellStart"/>
      <w:r w:rsidRPr="00B806FD">
        <w:t>Moomaw</w:t>
      </w:r>
      <w:proofErr w:type="spellEnd"/>
      <w:r w:rsidRPr="00B806FD">
        <w:t xml:space="preserve">, </w:t>
      </w:r>
      <w:r w:rsidRPr="00B806FD">
        <w:rPr>
          <w:i/>
          <w:iCs/>
        </w:rPr>
        <w:t>Va. Political Leaders Name 8 Legislators Who’ll Serve on New Redistricting Commission</w:t>
      </w:r>
      <w:r w:rsidRPr="00B806FD">
        <w:t xml:space="preserve">, </w:t>
      </w:r>
      <w:r w:rsidRPr="00B806FD">
        <w:rPr>
          <w:smallCaps/>
        </w:rPr>
        <w:t>Virginia Mercury</w:t>
      </w:r>
      <w:r w:rsidRPr="00B806FD">
        <w:t xml:space="preserve"> (Dec. 1, 2020), https://www.virginiamercury.com/2020/12/01/va-political-leaders-name-8-legislators-wholl-serve-on-new-redistricting-commission/ </w:t>
      </w:r>
      <w:r w:rsidRPr="00B806FD">
        <w:rPr>
          <w:rStyle w:val="Hyperlink"/>
          <w:color w:val="auto"/>
          <w:u w:val="none"/>
        </w:rPr>
        <w:t>[https://perma.cc/SKU8-89QY]</w:t>
      </w:r>
      <w:r w:rsidRPr="00B806FD">
        <w:t xml:space="preserve">; Meagan Flynn, </w:t>
      </w:r>
      <w:r w:rsidRPr="00B806FD">
        <w:rPr>
          <w:i/>
          <w:iCs/>
        </w:rPr>
        <w:t>Partisan Biases Laid Bare on Virginia Redistricting Commission as More Gridlock Stymies Congressional Map</w:t>
      </w:r>
      <w:r w:rsidRPr="00B806FD">
        <w:t xml:space="preserve">, </w:t>
      </w:r>
      <w:r w:rsidRPr="00B806FD">
        <w:rPr>
          <w:smallCaps/>
        </w:rPr>
        <w:t>Wash. Post</w:t>
      </w:r>
      <w:r w:rsidRPr="00B806FD">
        <w:t xml:space="preserve"> (Oct. 20, 2021), </w:t>
      </w:r>
      <w:hyperlink r:id="rId10" w:history="1">
        <w:r w:rsidRPr="00B806FD">
          <w:rPr>
            <w:rStyle w:val="Hyperlink"/>
            <w:color w:val="auto"/>
            <w:u w:val="none"/>
          </w:rPr>
          <w:t>https://www.washingtonpost.com/dc-md-va/2021/10/20/virginia-congressional-redistricting-gridlock/</w:t>
        </w:r>
      </w:hyperlink>
      <w:r w:rsidRPr="00B806FD">
        <w:t xml:space="preserve"> </w:t>
      </w:r>
      <w:r w:rsidRPr="00B806FD">
        <w:rPr>
          <w:rStyle w:val="Hyperlink"/>
          <w:color w:val="auto"/>
          <w:u w:val="none"/>
        </w:rPr>
        <w:t>[https://perma.cc/RR86-E783]</w:t>
      </w:r>
      <w:r w:rsidRPr="00B806FD">
        <w:t>.</w:t>
      </w:r>
    </w:p>
  </w:footnote>
  <w:footnote w:id="396">
    <w:p w14:paraId="33FEEF0E" w14:textId="33E0B84F" w:rsidR="00A833DF" w:rsidRPr="00B806FD" w:rsidRDefault="00A833DF" w:rsidP="00B806FD">
      <w:pPr>
        <w:pStyle w:val="FootnoteText"/>
        <w:rPr>
          <w:bCs/>
        </w:rPr>
      </w:pPr>
      <w:r w:rsidRPr="00B806FD">
        <w:rPr>
          <w:rStyle w:val="FootnoteReference"/>
        </w:rPr>
        <w:footnoteRef/>
      </w:r>
      <w:r w:rsidRPr="00B806FD">
        <w:rPr>
          <w:bCs/>
        </w:rPr>
        <w:t xml:space="preserve"> </w:t>
      </w:r>
      <w:r w:rsidRPr="00B806FD">
        <w:rPr>
          <w:bCs/>
        </w:rPr>
        <w:tab/>
        <w:t xml:space="preserve">Disclosure: </w:t>
      </w:r>
      <w:del w:id="820" w:author="Jonathan Cervas" w:date="2023-06-29T15:59:00Z">
        <w:r w:rsidRPr="00B806FD" w:rsidDel="005B4933">
          <w:rPr>
            <w:bCs/>
          </w:rPr>
          <w:delText xml:space="preserve"> </w:delText>
        </w:r>
      </w:del>
      <w:r w:rsidRPr="00B806FD">
        <w:rPr>
          <w:bCs/>
        </w:rPr>
        <w:t>Bernard Grofman served as one of the two special masters in Virginia.</w:t>
      </w:r>
    </w:p>
  </w:footnote>
  <w:footnote w:id="397">
    <w:p w14:paraId="5625C912" w14:textId="4F0B8072" w:rsidR="00A833DF" w:rsidRPr="00B806FD" w:rsidRDefault="00A833DF" w:rsidP="00B806FD">
      <w:pPr>
        <w:pStyle w:val="FootnoteText"/>
        <w:rPr>
          <w:b/>
        </w:rPr>
      </w:pPr>
      <w:r w:rsidRPr="00B806FD">
        <w:rPr>
          <w:rStyle w:val="FootnoteReference"/>
        </w:rPr>
        <w:footnoteRef/>
      </w:r>
      <w:r w:rsidRPr="00B806FD">
        <w:rPr>
          <w:bCs/>
        </w:rPr>
        <w:t xml:space="preserve"> </w:t>
      </w:r>
      <w:r w:rsidRPr="00B806FD">
        <w:rPr>
          <w:bCs/>
        </w:rPr>
        <w:tab/>
        <w:t xml:space="preserve">As in other states, such as New York, the </w:t>
      </w:r>
      <w:proofErr w:type="gramStart"/>
      <w:r w:rsidRPr="00B806FD">
        <w:rPr>
          <w:bCs/>
        </w:rPr>
        <w:t>court</w:t>
      </w:r>
      <w:proofErr w:type="gramEnd"/>
      <w:r w:rsidRPr="00B806FD">
        <w:rPr>
          <w:bCs/>
        </w:rPr>
        <w:t xml:space="preserve"> and special masters (a) directly solicited public input and (b) had a two-round process such that a preliminary map was unveiled and then revised based in part on the nature of the comments received, with special attention paid to issues involving communities of interest.</w:t>
      </w:r>
      <w:r w:rsidRPr="00B806FD">
        <w:rPr>
          <w:b/>
        </w:rPr>
        <w:t xml:space="preserve"> </w:t>
      </w:r>
    </w:p>
  </w:footnote>
  <w:footnote w:id="398">
    <w:p w14:paraId="38DE9149" w14:textId="28E87820" w:rsidR="00A92740" w:rsidRPr="00B806FD" w:rsidRDefault="00A92740" w:rsidP="00B806FD">
      <w:pPr>
        <w:pStyle w:val="FootnoteText"/>
      </w:pPr>
      <w:r w:rsidRPr="00B806FD">
        <w:rPr>
          <w:rStyle w:val="FootnoteReference"/>
        </w:rPr>
        <w:footnoteRef/>
      </w:r>
      <w:r w:rsidRPr="00B806FD">
        <w:t xml:space="preserve"> </w:t>
      </w:r>
      <w:r w:rsidRPr="00B806FD">
        <w:tab/>
      </w:r>
      <w:r w:rsidRPr="00B806FD">
        <w:rPr>
          <w:i/>
          <w:iCs/>
        </w:rPr>
        <w:t>Infra</w:t>
      </w:r>
      <w:r w:rsidRPr="00B806FD">
        <w:t xml:space="preserve"> </w:t>
      </w:r>
      <w:r w:rsidRPr="00B806FD">
        <w:fldChar w:fldCharType="begin"/>
      </w:r>
      <w:r w:rsidRPr="00B806FD">
        <w:instrText xml:space="preserve"> REF _Ref123138351 \h  \* MERGEFORMAT </w:instrText>
      </w:r>
      <w:r w:rsidRPr="00B806FD">
        <w:fldChar w:fldCharType="separate"/>
      </w:r>
      <w:proofErr w:type="spellStart"/>
      <w:r w:rsidRPr="00B806FD">
        <w:t>tbl</w:t>
      </w:r>
      <w:proofErr w:type="spellEnd"/>
      <w:r w:rsidRPr="00B806FD">
        <w:t xml:space="preserve">. </w:t>
      </w:r>
      <w:r w:rsidRPr="00B806FD">
        <w:rPr>
          <w:noProof/>
        </w:rPr>
        <w:t>6</w:t>
      </w:r>
      <w:r w:rsidRPr="00B806FD">
        <w:fldChar w:fldCharType="end"/>
      </w:r>
      <w:r w:rsidRPr="00B806FD">
        <w:t>.</w:t>
      </w:r>
    </w:p>
  </w:footnote>
  <w:footnote w:id="399">
    <w:p w14:paraId="4D78764F" w14:textId="1F80539D" w:rsidR="00A92740" w:rsidRPr="00B806FD" w:rsidRDefault="00A92740" w:rsidP="00B806FD">
      <w:pPr>
        <w:pStyle w:val="Heading3"/>
        <w:numPr>
          <w:ilvl w:val="0"/>
          <w:numId w:val="0"/>
        </w:numPr>
        <w:shd w:val="clear" w:color="auto" w:fill="FFFFFF"/>
        <w:spacing w:before="0" w:after="45"/>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t xml:space="preserve">Spencer, </w:t>
      </w:r>
      <w:r w:rsidRPr="00B806FD">
        <w:rPr>
          <w:i/>
          <w:iCs/>
          <w:sz w:val="18"/>
          <w:szCs w:val="18"/>
        </w:rPr>
        <w:t>supra</w:t>
      </w:r>
      <w:r w:rsidRPr="00B806FD">
        <w:rPr>
          <w:sz w:val="18"/>
          <w:szCs w:val="18"/>
        </w:rPr>
        <w:t xml:space="preserve"> note </w:t>
      </w:r>
      <w:ins w:id="823" w:author="Jonathan Cervas" w:date="2023-06-29T16:07:00Z">
        <w:r w:rsidR="00D272E9">
          <w:rPr>
            <w:sz w:val="18"/>
            <w:szCs w:val="18"/>
          </w:rPr>
          <w:fldChar w:fldCharType="begin"/>
        </w:r>
        <w:r w:rsidR="00D272E9">
          <w:rPr>
            <w:sz w:val="18"/>
            <w:szCs w:val="18"/>
          </w:rPr>
          <w:instrText xml:space="preserve"> NOTEREF _Ref138329809 \h </w:instrText>
        </w:r>
        <w:r w:rsidR="00D272E9">
          <w:rPr>
            <w:sz w:val="18"/>
            <w:szCs w:val="18"/>
          </w:rPr>
        </w:r>
      </w:ins>
      <w:r w:rsidR="00D272E9">
        <w:rPr>
          <w:sz w:val="18"/>
          <w:szCs w:val="18"/>
        </w:rPr>
        <w:fldChar w:fldCharType="separate"/>
      </w:r>
      <w:ins w:id="824" w:author="Jonathan Cervas" w:date="2023-06-29T16:07:00Z">
        <w:r w:rsidR="00D272E9">
          <w:rPr>
            <w:sz w:val="18"/>
            <w:szCs w:val="18"/>
          </w:rPr>
          <w:t>135</w:t>
        </w:r>
        <w:r w:rsidR="00D272E9">
          <w:rPr>
            <w:sz w:val="18"/>
            <w:szCs w:val="18"/>
          </w:rPr>
          <w:fldChar w:fldCharType="end"/>
        </w:r>
      </w:ins>
      <w:del w:id="825" w:author="Jonathan Cervas" w:date="2023-06-29T16:07:00Z">
        <w:r w:rsidRPr="00B806FD" w:rsidDel="00D272E9">
          <w:rPr>
            <w:sz w:val="18"/>
            <w:szCs w:val="18"/>
          </w:rPr>
          <w:delText>133</w:delText>
        </w:r>
      </w:del>
      <w:r w:rsidRPr="00B806FD">
        <w:rPr>
          <w:sz w:val="18"/>
          <w:szCs w:val="18"/>
        </w:rPr>
        <w:t>.</w:t>
      </w:r>
    </w:p>
  </w:footnote>
  <w:footnote w:id="400">
    <w:p w14:paraId="215F97E8" w14:textId="52D39A87" w:rsidR="00A92740" w:rsidRPr="00B806FD" w:rsidRDefault="00A92740" w:rsidP="00B806FD">
      <w:pPr>
        <w:pStyle w:val="FootnoteText"/>
      </w:pPr>
      <w:r w:rsidRPr="00B806FD">
        <w:rPr>
          <w:rStyle w:val="FootnoteReference"/>
        </w:rPr>
        <w:footnoteRef/>
      </w:r>
      <w:r w:rsidRPr="00B806FD">
        <w:t xml:space="preserve"> </w:t>
      </w:r>
      <w:r w:rsidRPr="00B806FD">
        <w:tab/>
      </w:r>
      <w:r w:rsidRPr="00B806FD">
        <w:rPr>
          <w:i/>
          <w:iCs/>
        </w:rPr>
        <w:t>Id.</w:t>
      </w:r>
    </w:p>
  </w:footnote>
  <w:footnote w:id="401">
    <w:p w14:paraId="7E7515CB" w14:textId="6026A408" w:rsidR="002A6025" w:rsidRPr="00B806FD" w:rsidRDefault="002A6025" w:rsidP="00B806FD">
      <w:pPr>
        <w:pStyle w:val="FootnoteText"/>
      </w:pPr>
      <w:r w:rsidRPr="00B806FD">
        <w:rPr>
          <w:rStyle w:val="FootnoteReference"/>
        </w:rPr>
        <w:footnoteRef/>
      </w:r>
      <w:r w:rsidRPr="00B806FD">
        <w:t xml:space="preserve"> </w:t>
      </w:r>
      <w:r w:rsidRPr="00B806FD">
        <w:tab/>
      </w:r>
      <w:r w:rsidRPr="00B806FD">
        <w:rPr>
          <w:i/>
          <w:iCs/>
        </w:rPr>
        <w:t>Welcome to Dave’s Redistricting</w:t>
      </w:r>
      <w:r w:rsidRPr="00B806FD">
        <w:t xml:space="preserve">, </w:t>
      </w:r>
      <w:r w:rsidRPr="00B806FD">
        <w:rPr>
          <w:smallCaps/>
        </w:rPr>
        <w:t>Dave’s Redistricting</w:t>
      </w:r>
      <w:r w:rsidRPr="00B806FD">
        <w:t>, https://davesredistricting.org/ [https://perma.cc/DK5X-9E52].</w:t>
      </w:r>
    </w:p>
  </w:footnote>
  <w:footnote w:id="402">
    <w:p w14:paraId="6CD214AA" w14:textId="51604544" w:rsidR="002A6025" w:rsidRPr="00B806FD" w:rsidRDefault="002A6025" w:rsidP="00B806FD">
      <w:pPr>
        <w:pStyle w:val="FootnoteText"/>
      </w:pPr>
      <w:r w:rsidRPr="00B806FD">
        <w:rPr>
          <w:rStyle w:val="FootnoteReference"/>
        </w:rPr>
        <w:footnoteRef/>
      </w:r>
      <w:r w:rsidRPr="00B806FD">
        <w:t xml:space="preserve"> </w:t>
      </w:r>
      <w:r w:rsidR="00EF1C50" w:rsidRPr="00B806FD">
        <w:tab/>
      </w:r>
      <w:r w:rsidRPr="00B806FD">
        <w:t xml:space="preserve">Aaron R. Kaufman, Gary King &amp; Mayya Komisarchik, </w:t>
      </w:r>
      <w:r w:rsidRPr="00B806FD">
        <w:rPr>
          <w:i/>
          <w:iCs/>
        </w:rPr>
        <w:t>How to Measure Legislative District Compactness If You Only Know It When You See It</w:t>
      </w:r>
      <w:r w:rsidRPr="00B806FD">
        <w:t xml:space="preserve">, 65 </w:t>
      </w:r>
      <w:r w:rsidRPr="00B806FD">
        <w:rPr>
          <w:smallCaps/>
        </w:rPr>
        <w:t>Am. J. Pol. Sci.</w:t>
      </w:r>
      <w:r w:rsidRPr="00B806FD">
        <w:t xml:space="preserve"> 533 (2021).</w:t>
      </w:r>
    </w:p>
  </w:footnote>
  <w:footnote w:id="403">
    <w:p w14:paraId="7E51906A" w14:textId="56BA6A32"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See Supra</w:t>
      </w:r>
      <w:r w:rsidRPr="00B806FD">
        <w:t xml:space="preserve"> </w:t>
      </w:r>
      <w:r w:rsidRPr="00B806FD">
        <w:fldChar w:fldCharType="begin"/>
      </w:r>
      <w:r w:rsidRPr="00B806FD">
        <w:instrText xml:space="preserve"> REF _Ref123138351 \h  \* MERGEFORMAT </w:instrText>
      </w:r>
      <w:r w:rsidRPr="00B806FD">
        <w:fldChar w:fldCharType="separate"/>
      </w:r>
      <w:proofErr w:type="spellStart"/>
      <w:r w:rsidRPr="00B806FD">
        <w:t>tbl</w:t>
      </w:r>
      <w:proofErr w:type="spellEnd"/>
      <w:r w:rsidRPr="00B806FD">
        <w:t xml:space="preserve">. </w:t>
      </w:r>
      <w:r w:rsidRPr="00B806FD">
        <w:rPr>
          <w:noProof/>
        </w:rPr>
        <w:t>6</w:t>
      </w:r>
      <w:r w:rsidRPr="00B806FD">
        <w:fldChar w:fldCharType="end"/>
      </w:r>
    </w:p>
  </w:footnote>
  <w:footnote w:id="404">
    <w:p w14:paraId="1A1E4033" w14:textId="08745FED" w:rsidR="00EF1C50" w:rsidRPr="00B806FD" w:rsidRDefault="00EF1C50" w:rsidP="00B806FD">
      <w:pPr>
        <w:pStyle w:val="FootnoteText"/>
        <w:rPr>
          <w:i/>
          <w:iCs/>
        </w:rPr>
      </w:pPr>
      <w:r w:rsidRPr="00B806FD">
        <w:rPr>
          <w:rStyle w:val="FootnoteReference"/>
        </w:rPr>
        <w:footnoteRef/>
      </w:r>
      <w:r w:rsidRPr="00B806FD">
        <w:t xml:space="preserve"> </w:t>
      </w:r>
      <w:r w:rsidRPr="00B806FD">
        <w:tab/>
      </w:r>
      <w:r w:rsidRPr="00B806FD">
        <w:rPr>
          <w:i/>
          <w:iCs/>
        </w:rPr>
        <w:t xml:space="preserve">See </w:t>
      </w:r>
      <w:ins w:id="828" w:author="Jonathan Cervas" w:date="2023-06-29T16:10:00Z">
        <w:r w:rsidR="003D4DC6">
          <w:rPr>
            <w:i/>
            <w:iCs/>
          </w:rPr>
          <w:t>I</w:t>
        </w:r>
      </w:ins>
      <w:del w:id="829" w:author="Jonathan Cervas" w:date="2023-06-29T16:10:00Z">
        <w:r w:rsidRPr="00B806FD" w:rsidDel="003D4DC6">
          <w:rPr>
            <w:i/>
            <w:iCs/>
          </w:rPr>
          <w:delText>i</w:delText>
        </w:r>
      </w:del>
      <w:r w:rsidRPr="00B806FD">
        <w:rPr>
          <w:i/>
          <w:iCs/>
        </w:rPr>
        <w:t>d.</w:t>
      </w:r>
    </w:p>
  </w:footnote>
  <w:footnote w:id="405">
    <w:p w14:paraId="1591AA97" w14:textId="56438EF6"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 xml:space="preserve">See </w:t>
      </w:r>
      <w:ins w:id="830" w:author="Jonathan Cervas" w:date="2023-06-29T16:10:00Z">
        <w:r w:rsidR="003D4DC6">
          <w:rPr>
            <w:i/>
            <w:iCs/>
          </w:rPr>
          <w:t>I</w:t>
        </w:r>
      </w:ins>
      <w:del w:id="831" w:author="Jonathan Cervas" w:date="2023-06-29T16:10:00Z">
        <w:r w:rsidRPr="00B806FD" w:rsidDel="003D4DC6">
          <w:rPr>
            <w:i/>
            <w:iCs/>
          </w:rPr>
          <w:delText>i</w:delText>
        </w:r>
      </w:del>
      <w:r w:rsidRPr="00B806FD">
        <w:rPr>
          <w:i/>
          <w:iCs/>
        </w:rPr>
        <w:t>d.</w:t>
      </w:r>
    </w:p>
  </w:footnote>
  <w:footnote w:id="406">
    <w:p w14:paraId="104A0FF7" w14:textId="48A8C72C"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 xml:space="preserve">See </w:t>
      </w:r>
      <w:ins w:id="832" w:author="Jonathan Cervas" w:date="2023-06-29T16:10:00Z">
        <w:r w:rsidR="003D4DC6">
          <w:rPr>
            <w:i/>
            <w:iCs/>
          </w:rPr>
          <w:t>I</w:t>
        </w:r>
      </w:ins>
      <w:del w:id="833" w:author="Jonathan Cervas" w:date="2023-06-29T16:10:00Z">
        <w:r w:rsidRPr="00B806FD" w:rsidDel="003D4DC6">
          <w:rPr>
            <w:i/>
            <w:iCs/>
          </w:rPr>
          <w:delText>i</w:delText>
        </w:r>
      </w:del>
      <w:r w:rsidRPr="00B806FD">
        <w:rPr>
          <w:i/>
          <w:iCs/>
        </w:rPr>
        <w:t>d.</w:t>
      </w:r>
    </w:p>
  </w:footnote>
  <w:footnote w:id="407">
    <w:p w14:paraId="0453378C" w14:textId="3EC0838A"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 xml:space="preserve">See </w:t>
      </w:r>
      <w:ins w:id="834" w:author="Jonathan Cervas" w:date="2023-06-29T16:10:00Z">
        <w:r w:rsidR="003D4DC6">
          <w:rPr>
            <w:i/>
            <w:iCs/>
          </w:rPr>
          <w:t>I</w:t>
        </w:r>
      </w:ins>
      <w:del w:id="835" w:author="Jonathan Cervas" w:date="2023-06-29T16:10:00Z">
        <w:r w:rsidRPr="00B806FD" w:rsidDel="003D4DC6">
          <w:rPr>
            <w:i/>
            <w:iCs/>
          </w:rPr>
          <w:delText>i</w:delText>
        </w:r>
      </w:del>
      <w:r w:rsidRPr="00B806FD">
        <w:rPr>
          <w:i/>
          <w:iCs/>
        </w:rPr>
        <w:t>d.</w:t>
      </w:r>
    </w:p>
  </w:footnote>
  <w:footnote w:id="408">
    <w:p w14:paraId="0786ADE9" w14:textId="0D90D300" w:rsidR="00EF1C50" w:rsidRPr="00B806FD" w:rsidRDefault="00EF1C50" w:rsidP="00B806FD">
      <w:pPr>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r>
      <w:r w:rsidRPr="00B806FD">
        <w:rPr>
          <w:i/>
          <w:iCs/>
          <w:sz w:val="18"/>
          <w:szCs w:val="18"/>
        </w:rPr>
        <w:t xml:space="preserve">See generally </w:t>
      </w:r>
      <w:r w:rsidRPr="00B806FD">
        <w:rPr>
          <w:sz w:val="18"/>
          <w:szCs w:val="18"/>
        </w:rPr>
        <w:t xml:space="preserve">Dave </w:t>
      </w:r>
      <w:proofErr w:type="spellStart"/>
      <w:r w:rsidRPr="00B806FD">
        <w:rPr>
          <w:sz w:val="18"/>
          <w:szCs w:val="18"/>
        </w:rPr>
        <w:t>Leip</w:t>
      </w:r>
      <w:proofErr w:type="spellEnd"/>
      <w:r w:rsidRPr="00B806FD">
        <w:rPr>
          <w:sz w:val="18"/>
          <w:szCs w:val="18"/>
        </w:rPr>
        <w:t xml:space="preserve">, </w:t>
      </w:r>
      <w:r w:rsidRPr="00B806FD">
        <w:rPr>
          <w:i/>
          <w:iCs/>
          <w:sz w:val="18"/>
          <w:szCs w:val="18"/>
        </w:rPr>
        <w:t xml:space="preserve">Dave </w:t>
      </w:r>
      <w:proofErr w:type="spellStart"/>
      <w:r w:rsidRPr="00B806FD">
        <w:rPr>
          <w:i/>
          <w:iCs/>
          <w:sz w:val="18"/>
          <w:szCs w:val="18"/>
        </w:rPr>
        <w:t>Leip’s</w:t>
      </w:r>
      <w:proofErr w:type="spellEnd"/>
      <w:r w:rsidRPr="00B806FD">
        <w:rPr>
          <w:i/>
          <w:iCs/>
          <w:sz w:val="18"/>
          <w:szCs w:val="18"/>
        </w:rPr>
        <w:t xml:space="preserve"> Atlas of U.S. Presidential Elections</w:t>
      </w:r>
      <w:r w:rsidRPr="00B806FD">
        <w:rPr>
          <w:sz w:val="18"/>
          <w:szCs w:val="18"/>
        </w:rPr>
        <w:t>, https://uselectionatlas.org/RESULTS/ [https://perma.cc/9QZD-D28J] (last visited Jan 7, 2023).</w:t>
      </w:r>
    </w:p>
  </w:footnote>
  <w:footnote w:id="409">
    <w:p w14:paraId="54CA7206" w14:textId="40E38DCC"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 xml:space="preserve">Party Control of Minnesota State Government, supra </w:t>
      </w:r>
      <w:r w:rsidRPr="00B806FD">
        <w:t>note 363</w:t>
      </w:r>
      <w:r w:rsidRPr="00B806FD">
        <w:rPr>
          <w:i/>
          <w:iCs/>
        </w:rPr>
        <w:t>.</w:t>
      </w:r>
    </w:p>
  </w:footnote>
  <w:footnote w:id="410">
    <w:p w14:paraId="75853ABA" w14:textId="6DCCE5F8"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U.S. House Election Results: Republicans Win</w:t>
      </w:r>
      <w:r w:rsidRPr="00B806FD">
        <w:t xml:space="preserve">, </w:t>
      </w:r>
      <w:r w:rsidRPr="00B806FD">
        <w:rPr>
          <w:smallCaps/>
        </w:rPr>
        <w:t>N.Y. Times</w:t>
      </w:r>
      <w:r w:rsidRPr="00B806FD">
        <w:t xml:space="preserve"> (Nov. 8, 2022), https://www.nytimes.com/interactive/2022/11/08/us/elections/results-house.html [https://perma.cc/3K9K-NUHL].</w:t>
      </w:r>
    </w:p>
  </w:footnote>
  <w:footnote w:id="411">
    <w:p w14:paraId="550F286D" w14:textId="3A5396E8" w:rsidR="002D0950" w:rsidRPr="002D0950" w:rsidRDefault="002D0950">
      <w:pPr>
        <w:pStyle w:val="FootnoteText"/>
      </w:pPr>
      <w:ins w:id="837" w:author="Jonathan Cervas" w:date="2023-06-29T16:28:00Z">
        <w:r>
          <w:rPr>
            <w:rStyle w:val="FootnoteReference"/>
          </w:rPr>
          <w:footnoteRef/>
        </w:r>
        <w:r>
          <w:t xml:space="preserve"> </w:t>
        </w:r>
        <w:r w:rsidRPr="002D0950">
          <w:rPr>
            <w:i/>
            <w:iCs/>
            <w:rPrChange w:id="838" w:author="Jonathan Cervas" w:date="2023-06-29T16:28:00Z">
              <w:rPr/>
            </w:rPrChange>
          </w:rPr>
          <w:t>See supra</w:t>
        </w:r>
        <w:r>
          <w:t xml:space="preserve"> note </w:t>
        </w:r>
        <w:r>
          <w:fldChar w:fldCharType="begin"/>
        </w:r>
        <w:r>
          <w:instrText xml:space="preserve"> NOTEREF _Ref138948549 \h </w:instrText>
        </w:r>
      </w:ins>
      <w:r>
        <w:fldChar w:fldCharType="separate"/>
      </w:r>
      <w:ins w:id="839" w:author="Jonathan Cervas" w:date="2023-06-29T16:28:00Z">
        <w:r>
          <w:t>302</w:t>
        </w:r>
        <w:r>
          <w:fldChar w:fldCharType="end"/>
        </w:r>
        <w:r>
          <w:t>.</w:t>
        </w:r>
      </w:ins>
    </w:p>
  </w:footnote>
  <w:footnote w:id="412">
    <w:p w14:paraId="132AD6A7" w14:textId="71816E25" w:rsidR="00EF1C50" w:rsidRPr="00B806FD" w:rsidRDefault="00EF1C50" w:rsidP="00B806FD">
      <w:pPr>
        <w:pStyle w:val="FootnoteText"/>
      </w:pPr>
      <w:r w:rsidRPr="00B806FD">
        <w:rPr>
          <w:rStyle w:val="FootnoteReference"/>
        </w:rPr>
        <w:footnoteRef/>
      </w:r>
      <w:r w:rsidRPr="00B806FD">
        <w:t xml:space="preserve"> </w:t>
      </w:r>
      <w:r w:rsidRPr="00B806FD">
        <w:tab/>
        <w:t xml:space="preserve">Nicholas </w:t>
      </w:r>
      <w:proofErr w:type="spellStart"/>
      <w:r w:rsidRPr="00B806FD">
        <w:t>Fandos</w:t>
      </w:r>
      <w:proofErr w:type="spellEnd"/>
      <w:r w:rsidRPr="00B806FD">
        <w:t xml:space="preserve">, </w:t>
      </w:r>
      <w:r w:rsidRPr="00B806FD">
        <w:rPr>
          <w:i/>
          <w:iCs/>
        </w:rPr>
        <w:t>Meet the Voters Who Fueled New York’s Seismic Tilt Toward the G.O.P.</w:t>
      </w:r>
      <w:r w:rsidRPr="00B806FD">
        <w:t xml:space="preserve">, </w:t>
      </w:r>
      <w:r w:rsidRPr="00B806FD">
        <w:rPr>
          <w:smallCaps/>
        </w:rPr>
        <w:t>N.Y. Times</w:t>
      </w:r>
      <w:r w:rsidRPr="00B806FD">
        <w:t xml:space="preserve"> (Nov. 27, 2022), https://www.nytimes.com/2022/11/27/nyregion/republicans-election-ny-suburbs.html [https://perma.cc/46NE-MKU5].</w:t>
      </w:r>
    </w:p>
  </w:footnote>
  <w:footnote w:id="413">
    <w:p w14:paraId="6D79797D" w14:textId="637F38D4" w:rsidR="00EF1C50" w:rsidRPr="00B806FD" w:rsidRDefault="00EF1C50" w:rsidP="00B806FD">
      <w:pPr>
        <w:pStyle w:val="FootnoteText"/>
      </w:pPr>
      <w:r w:rsidRPr="00B806FD">
        <w:rPr>
          <w:rStyle w:val="FootnoteReference"/>
        </w:rPr>
        <w:footnoteRef/>
      </w:r>
      <w:r w:rsidRPr="00B806FD">
        <w:t xml:space="preserve"> </w:t>
      </w:r>
      <w:r w:rsidRPr="00B806FD">
        <w:tab/>
        <w:t xml:space="preserve">Joshua </w:t>
      </w:r>
      <w:proofErr w:type="spellStart"/>
      <w:r w:rsidRPr="00B806FD">
        <w:t>Soloman</w:t>
      </w:r>
      <w:proofErr w:type="spellEnd"/>
      <w:r w:rsidRPr="00B806FD">
        <w:t xml:space="preserve"> &amp; Alexandra Harris, </w:t>
      </w:r>
      <w:r w:rsidRPr="00B806FD">
        <w:rPr>
          <w:i/>
          <w:iCs/>
        </w:rPr>
        <w:t>GOP Voter Turnout at Presidential Levels, Outpaces Democrats in N.Y. Governor’s Race</w:t>
      </w:r>
      <w:r w:rsidRPr="00B806FD">
        <w:t xml:space="preserve">, </w:t>
      </w:r>
      <w:r w:rsidRPr="00B806FD">
        <w:rPr>
          <w:smallCaps/>
        </w:rPr>
        <w:t>Times Union</w:t>
      </w:r>
      <w:r w:rsidRPr="00B806FD">
        <w:t xml:space="preserve"> (Nov. 26, 2022), https://www.timesunion.com/state/article/Voter-turnout-of-Republicans-far-outpaces-17605110.php [https://perma.cc/ZQ5Z-84H7].</w:t>
      </w:r>
    </w:p>
  </w:footnote>
  <w:footnote w:id="414">
    <w:p w14:paraId="6836B2C9" w14:textId="54DA225A" w:rsidR="00EF1C50" w:rsidRPr="00B806FD" w:rsidRDefault="00EF1C50" w:rsidP="00B806FD">
      <w:pPr>
        <w:pStyle w:val="FootnoteText"/>
        <w:rPr>
          <w:color w:val="202020"/>
        </w:rPr>
      </w:pPr>
      <w:r w:rsidRPr="00B806FD">
        <w:rPr>
          <w:rStyle w:val="FootnoteReference"/>
        </w:rPr>
        <w:footnoteRef/>
      </w:r>
      <w:r w:rsidRPr="00B806FD">
        <w:t xml:space="preserve"> </w:t>
      </w:r>
      <w:r w:rsidRPr="00B806FD">
        <w:tab/>
        <w:t xml:space="preserve">Daniel Marans, </w:t>
      </w:r>
      <w:r w:rsidRPr="00B806FD">
        <w:rPr>
          <w:i/>
          <w:iCs/>
        </w:rPr>
        <w:t xml:space="preserve">New York Democrats May Have Cost Their Party </w:t>
      </w:r>
      <w:proofErr w:type="gramStart"/>
      <w:r w:rsidRPr="00B806FD">
        <w:rPr>
          <w:i/>
          <w:iCs/>
        </w:rPr>
        <w:t>The</w:t>
      </w:r>
      <w:proofErr w:type="gramEnd"/>
      <w:r w:rsidRPr="00B806FD">
        <w:rPr>
          <w:i/>
          <w:iCs/>
        </w:rPr>
        <w:t xml:space="preserve"> House. What </w:t>
      </w:r>
      <w:proofErr w:type="gramStart"/>
      <w:r w:rsidRPr="00B806FD">
        <w:rPr>
          <w:i/>
          <w:iCs/>
        </w:rPr>
        <w:t>Happened?</w:t>
      </w:r>
      <w:r w:rsidRPr="00B806FD">
        <w:t>,</w:t>
      </w:r>
      <w:proofErr w:type="gramEnd"/>
      <w:r w:rsidRPr="00B806FD">
        <w:t xml:space="preserve"> </w:t>
      </w:r>
      <w:r w:rsidRPr="00B806FD">
        <w:rPr>
          <w:smallCaps/>
        </w:rPr>
        <w:t>Huffpost</w:t>
      </w:r>
      <w:r w:rsidRPr="00B806FD">
        <w:t xml:space="preserve"> (Nov. 18, 2022), https://www.huffpost.com/entry/new-york-democrats-house-kathy-hochul_n_6377ad06e4b0a97fec7c1537 [h</w:t>
      </w:r>
      <w:r w:rsidRPr="00B806FD">
        <w:rPr>
          <w:rStyle w:val="normaltextrun"/>
          <w:color w:val="D13438"/>
          <w:bdr w:val="none" w:sz="0" w:space="0" w:color="auto" w:frame="1"/>
        </w:rPr>
        <w:t>ttps://perma.cc/9GGU-26WS]</w:t>
      </w:r>
      <w:r w:rsidRPr="00B806FD">
        <w:t>.</w:t>
      </w:r>
    </w:p>
  </w:footnote>
  <w:footnote w:id="415">
    <w:p w14:paraId="1575A4F6" w14:textId="61DD9966" w:rsidR="00EF1C50" w:rsidRPr="00B806FD" w:rsidRDefault="00EF1C50" w:rsidP="00B806FD">
      <w:pPr>
        <w:pStyle w:val="FootnoteText"/>
      </w:pPr>
      <w:r w:rsidRPr="00B806FD">
        <w:rPr>
          <w:rStyle w:val="FootnoteReference"/>
        </w:rPr>
        <w:footnoteRef/>
      </w:r>
      <w:r w:rsidRPr="00B806FD">
        <w:t xml:space="preserve"> </w:t>
      </w:r>
      <w:r w:rsidRPr="00B806FD">
        <w:tab/>
        <w:t xml:space="preserve">Cohn, </w:t>
      </w:r>
      <w:r w:rsidRPr="00B806FD">
        <w:rPr>
          <w:i/>
          <w:iCs/>
        </w:rPr>
        <w:t>supra</w:t>
      </w:r>
      <w:r w:rsidRPr="00B806FD">
        <w:t xml:space="preserve"> note </w:t>
      </w:r>
      <w:ins w:id="846" w:author="Jonathan Cervas" w:date="2023-06-29T16:31:00Z">
        <w:r w:rsidR="002D0950">
          <w:fldChar w:fldCharType="begin"/>
        </w:r>
        <w:r w:rsidR="002D0950">
          <w:instrText xml:space="preserve"> NOTEREF _Ref138948713 \h </w:instrText>
        </w:r>
      </w:ins>
      <w:r w:rsidR="002D0950">
        <w:fldChar w:fldCharType="separate"/>
      </w:r>
      <w:ins w:id="847" w:author="Jonathan Cervas" w:date="2023-06-29T16:31:00Z">
        <w:r w:rsidR="002D0950">
          <w:t>145</w:t>
        </w:r>
        <w:r w:rsidR="002D0950">
          <w:fldChar w:fldCharType="end"/>
        </w:r>
      </w:ins>
      <w:del w:id="848" w:author="Jonathan Cervas" w:date="2023-06-29T16:31:00Z">
        <w:r w:rsidRPr="00B806FD" w:rsidDel="002D0950">
          <w:delText>142</w:delText>
        </w:r>
      </w:del>
      <w:r w:rsidRPr="00B806FD">
        <w:t>.</w:t>
      </w:r>
    </w:p>
  </w:footnote>
  <w:footnote w:id="416">
    <w:p w14:paraId="5D461FF9" w14:textId="347A00B3" w:rsidR="00EF1C50" w:rsidRPr="00B806FD" w:rsidRDefault="00EF1C50" w:rsidP="00B806FD">
      <w:pPr>
        <w:pStyle w:val="FootnoteText"/>
      </w:pPr>
      <w:r w:rsidRPr="00B806FD">
        <w:rPr>
          <w:rStyle w:val="FootnoteReference"/>
        </w:rPr>
        <w:footnoteRef/>
      </w:r>
      <w:r w:rsidRPr="00B806FD">
        <w:t xml:space="preserve"> </w:t>
      </w:r>
      <w:r w:rsidRPr="00B806FD">
        <w:tab/>
        <w:t xml:space="preserve">Wines, </w:t>
      </w:r>
      <w:r w:rsidRPr="00B806FD">
        <w:rPr>
          <w:i/>
          <w:iCs/>
        </w:rPr>
        <w:t>supra</w:t>
      </w:r>
      <w:r w:rsidRPr="00B806FD">
        <w:t xml:space="preserve"> note 119; Michael Wines, </w:t>
      </w:r>
      <w:r w:rsidRPr="00B806FD">
        <w:rPr>
          <w:i/>
          <w:iCs/>
        </w:rPr>
        <w:t>Federal Panel Rules South Carolina Congressional District Is Illegal Gerrymander</w:t>
      </w:r>
      <w:r w:rsidRPr="00B806FD">
        <w:t xml:space="preserve">, </w:t>
      </w:r>
      <w:r w:rsidRPr="00B806FD">
        <w:rPr>
          <w:smallCaps/>
        </w:rPr>
        <w:t>N.Y. Times</w:t>
      </w:r>
      <w:r w:rsidRPr="00B806FD">
        <w:t xml:space="preserve"> (Jan. 6, 2023), https://www.nytimes.com/2023/01/06/us/south-carolina-gerrymandering.html [https://perma.cc/H3JM-TYLF].</w:t>
      </w:r>
    </w:p>
  </w:footnote>
  <w:footnote w:id="417">
    <w:p w14:paraId="66456C8B" w14:textId="0280F1DB" w:rsidR="00EF1C50" w:rsidRPr="00B806FD" w:rsidRDefault="00EF1C50" w:rsidP="00B806FD">
      <w:pPr>
        <w:pStyle w:val="FootnoteText"/>
      </w:pPr>
      <w:r w:rsidRPr="00B806FD">
        <w:rPr>
          <w:rStyle w:val="FootnoteReference"/>
        </w:rPr>
        <w:footnoteRef/>
      </w:r>
      <w:r w:rsidRPr="00B806FD">
        <w:t xml:space="preserve"> </w:t>
      </w:r>
      <w:r w:rsidRPr="00B806FD">
        <w:tab/>
        <w:t xml:space="preserve">Wines, </w:t>
      </w:r>
      <w:r w:rsidRPr="00B806FD">
        <w:rPr>
          <w:i/>
          <w:iCs/>
        </w:rPr>
        <w:t>supra</w:t>
      </w:r>
      <w:r w:rsidRPr="00B806FD">
        <w:t xml:space="preserve"> note 119.</w:t>
      </w:r>
    </w:p>
  </w:footnote>
  <w:footnote w:id="418">
    <w:p w14:paraId="10620F94" w14:textId="3575BDD4" w:rsidR="00EF1C50" w:rsidRPr="00B806FD" w:rsidRDefault="00EF1C50" w:rsidP="00B806FD">
      <w:pPr>
        <w:pStyle w:val="FootnoteText"/>
        <w:rPr>
          <w:i/>
          <w:iCs/>
        </w:rPr>
      </w:pPr>
      <w:r w:rsidRPr="00B806FD">
        <w:rPr>
          <w:rStyle w:val="FootnoteReference"/>
        </w:rPr>
        <w:footnoteRef/>
      </w:r>
      <w:r w:rsidRPr="00B806FD">
        <w:t xml:space="preserve"> </w:t>
      </w:r>
      <w:r w:rsidRPr="00B806FD">
        <w:tab/>
      </w:r>
      <w:r w:rsidRPr="00B806FD">
        <w:rPr>
          <w:noProof/>
        </w:rPr>
        <w:t>League of United Latin American Citizens v. Perry, 548 U.S. 399, 415 (2006).</w:t>
      </w:r>
    </w:p>
  </w:footnote>
  <w:footnote w:id="419">
    <w:p w14:paraId="1CFC56A4" w14:textId="3B2310C0" w:rsidR="00EF1C50" w:rsidRPr="00B806FD" w:rsidRDefault="00EF1C50" w:rsidP="00B806FD">
      <w:pPr>
        <w:jc w:val="both"/>
        <w:rPr>
          <w:i/>
          <w:sz w:val="18"/>
          <w:szCs w:val="18"/>
        </w:rPr>
      </w:pPr>
      <w:r w:rsidRPr="00B806FD">
        <w:rPr>
          <w:rStyle w:val="FootnoteReference"/>
          <w:sz w:val="18"/>
          <w:szCs w:val="18"/>
        </w:rPr>
        <w:footnoteRef/>
      </w:r>
      <w:r w:rsidRPr="00B806FD">
        <w:rPr>
          <w:sz w:val="18"/>
          <w:szCs w:val="18"/>
        </w:rPr>
        <w:t xml:space="preserve"> </w:t>
      </w:r>
      <w:r w:rsidRPr="00B806FD">
        <w:rPr>
          <w:sz w:val="18"/>
          <w:szCs w:val="18"/>
        </w:rPr>
        <w:tab/>
        <w:t>There is historic precedent for mid-decade redistricting.</w:t>
      </w:r>
      <w:ins w:id="850" w:author="Jonathan Cervas" w:date="2023-06-29T16:33:00Z">
        <w:r w:rsidR="002D0950">
          <w:rPr>
            <w:sz w:val="18"/>
            <w:szCs w:val="18"/>
          </w:rPr>
          <w:t xml:space="preserve"> </w:t>
        </w:r>
        <w:r w:rsidR="002D0950" w:rsidRPr="002D0950">
          <w:rPr>
            <w:i/>
            <w:iCs/>
            <w:sz w:val="18"/>
            <w:szCs w:val="18"/>
            <w:rPrChange w:id="851" w:author="Jonathan Cervas" w:date="2023-06-29T16:33:00Z">
              <w:rPr>
                <w:sz w:val="18"/>
                <w:szCs w:val="18"/>
              </w:rPr>
            </w:rPrChange>
          </w:rPr>
          <w:t xml:space="preserve">See </w:t>
        </w:r>
        <w:proofErr w:type="gramStart"/>
        <w:r w:rsidR="002D0950" w:rsidRPr="002D0950">
          <w:rPr>
            <w:i/>
            <w:iCs/>
            <w:sz w:val="18"/>
            <w:szCs w:val="18"/>
            <w:rPrChange w:id="852" w:author="Jonathan Cervas" w:date="2023-06-29T16:33:00Z">
              <w:rPr>
                <w:sz w:val="18"/>
                <w:szCs w:val="18"/>
              </w:rPr>
            </w:rPrChange>
          </w:rPr>
          <w:t>generally</w:t>
        </w:r>
      </w:ins>
      <w:r w:rsidRPr="00B806FD">
        <w:rPr>
          <w:sz w:val="18"/>
          <w:szCs w:val="18"/>
        </w:rPr>
        <w:t xml:space="preserve">  </w:t>
      </w:r>
      <w:r w:rsidRPr="00B806FD">
        <w:rPr>
          <w:smallCaps/>
          <w:sz w:val="18"/>
          <w:szCs w:val="18"/>
        </w:rPr>
        <w:t>Erik</w:t>
      </w:r>
      <w:proofErr w:type="gramEnd"/>
      <w:r w:rsidRPr="00B806FD">
        <w:rPr>
          <w:smallCaps/>
          <w:sz w:val="18"/>
          <w:szCs w:val="18"/>
        </w:rPr>
        <w:t xml:space="preserve"> J. Engstrom</w:t>
      </w:r>
      <w:r w:rsidRPr="00B806FD">
        <w:rPr>
          <w:sz w:val="18"/>
          <w:szCs w:val="18"/>
        </w:rPr>
        <w:t xml:space="preserve">, </w:t>
      </w:r>
      <w:r w:rsidRPr="00B806FD">
        <w:rPr>
          <w:smallCaps/>
          <w:sz w:val="18"/>
          <w:szCs w:val="18"/>
        </w:rPr>
        <w:t>Partisan Gerrymandering and the Construction of American Democracy</w:t>
      </w:r>
      <w:r w:rsidRPr="00B806FD">
        <w:rPr>
          <w:sz w:val="18"/>
          <w:szCs w:val="18"/>
        </w:rPr>
        <w:t xml:space="preserve"> (2013).</w:t>
      </w:r>
    </w:p>
  </w:footnote>
  <w:footnote w:id="420">
    <w:p w14:paraId="6A40BCAB" w14:textId="5B0EB83F" w:rsidR="00B806FD" w:rsidRPr="00B806FD" w:rsidRDefault="00B806FD" w:rsidP="00B806FD">
      <w:pPr>
        <w:pStyle w:val="FootnoteText"/>
      </w:pPr>
      <w:r w:rsidRPr="00B806FD">
        <w:rPr>
          <w:rStyle w:val="FootnoteReference"/>
        </w:rPr>
        <w:footnoteRef/>
      </w:r>
      <w:r w:rsidRPr="00B806FD">
        <w:t xml:space="preserve"> </w:t>
      </w:r>
      <w:r w:rsidR="00823F57">
        <w:tab/>
      </w:r>
      <w:r w:rsidRPr="00B806FD">
        <w:t>Oregon is a notable exception.</w:t>
      </w:r>
      <w:r w:rsidRPr="00B806FD">
        <w:rPr>
          <w:bCs/>
        </w:rPr>
        <w:t xml:space="preserve">  In Oregon, the state court accepted expert witness testimony from a state’s expert demonstrating flaws in testimony about gerrymandering metrics proffered by plaintiffs.  </w:t>
      </w:r>
      <w:r w:rsidRPr="00B806FD">
        <w:rPr>
          <w:i/>
        </w:rPr>
        <w:t>See</w:t>
      </w:r>
      <w:r w:rsidRPr="00B806FD">
        <w:rPr>
          <w:bCs/>
        </w:rPr>
        <w:t xml:space="preserve"> </w:t>
      </w:r>
      <w:r w:rsidRPr="00B806FD">
        <w:rPr>
          <w:bCs/>
          <w:i/>
          <w:iCs/>
        </w:rPr>
        <w:t xml:space="preserve">supra </w:t>
      </w:r>
      <w:r w:rsidRPr="00B806FD">
        <w:rPr>
          <w:bCs/>
        </w:rPr>
        <w:t xml:space="preserve">text accompanying notes </w:t>
      </w:r>
      <w:ins w:id="854" w:author="Jonathan Cervas" w:date="2023-06-29T16:36:00Z">
        <w:r w:rsidR="00145B98">
          <w:rPr>
            <w:bCs/>
          </w:rPr>
          <w:fldChar w:fldCharType="begin"/>
        </w:r>
        <w:r w:rsidR="00145B98">
          <w:rPr>
            <w:bCs/>
          </w:rPr>
          <w:instrText xml:space="preserve"> NOTEREF _Ref138949031 \h </w:instrText>
        </w:r>
        <w:r w:rsidR="00145B98">
          <w:rPr>
            <w:bCs/>
          </w:rPr>
        </w:r>
      </w:ins>
      <w:r w:rsidR="00145B98">
        <w:rPr>
          <w:bCs/>
        </w:rPr>
        <w:fldChar w:fldCharType="separate"/>
      </w:r>
      <w:ins w:id="855" w:author="Jonathan Cervas" w:date="2023-06-29T16:36:00Z">
        <w:r w:rsidR="00145B98">
          <w:rPr>
            <w:bCs/>
          </w:rPr>
          <w:t>255</w:t>
        </w:r>
        <w:r w:rsidR="00145B98">
          <w:rPr>
            <w:bCs/>
          </w:rPr>
          <w:fldChar w:fldCharType="end"/>
        </w:r>
      </w:ins>
      <w:ins w:id="856" w:author="Jonathan Cervas" w:date="2023-06-29T16:37:00Z">
        <w:r w:rsidR="00145B98">
          <w:rPr>
            <w:bCs/>
          </w:rPr>
          <w:t>-</w:t>
        </w:r>
        <w:r w:rsidR="00145B98">
          <w:rPr>
            <w:bCs/>
          </w:rPr>
          <w:fldChar w:fldCharType="begin"/>
        </w:r>
        <w:r w:rsidR="00145B98">
          <w:rPr>
            <w:bCs/>
          </w:rPr>
          <w:instrText xml:space="preserve"> NOTEREF _Ref138949037 \h </w:instrText>
        </w:r>
        <w:r w:rsidR="00145B98">
          <w:rPr>
            <w:bCs/>
          </w:rPr>
        </w:r>
      </w:ins>
      <w:r w:rsidR="00145B98">
        <w:rPr>
          <w:bCs/>
        </w:rPr>
        <w:fldChar w:fldCharType="separate"/>
      </w:r>
      <w:ins w:id="857" w:author="Jonathan Cervas" w:date="2023-06-29T16:37:00Z">
        <w:r w:rsidR="00145B98">
          <w:rPr>
            <w:bCs/>
          </w:rPr>
          <w:t>274</w:t>
        </w:r>
        <w:r w:rsidR="00145B98">
          <w:rPr>
            <w:bCs/>
          </w:rPr>
          <w:fldChar w:fldCharType="end"/>
        </w:r>
      </w:ins>
      <w:del w:id="858" w:author="Jonathan Cervas" w:date="2023-06-29T16:37:00Z">
        <w:r w:rsidRPr="00B806FD" w:rsidDel="00145B98">
          <w:rPr>
            <w:bCs/>
          </w:rPr>
          <w:delText xml:space="preserve">251-70 </w:delText>
        </w:r>
      </w:del>
      <w:r w:rsidRPr="00B806FD">
        <w:rPr>
          <w:bCs/>
        </w:rPr>
        <w:t>for earlier discussion of Oregon redistricting in 2020.</w:t>
      </w:r>
    </w:p>
  </w:footnote>
  <w:footnote w:id="421">
    <w:p w14:paraId="5092D4F2" w14:textId="07EA4AB7" w:rsidR="00B806FD" w:rsidRPr="00B806FD" w:rsidRDefault="00B806FD" w:rsidP="00B806FD">
      <w:pPr>
        <w:pStyle w:val="FootnoteText"/>
      </w:pPr>
      <w:r w:rsidRPr="00B806FD">
        <w:rPr>
          <w:rStyle w:val="FootnoteReference"/>
        </w:rPr>
        <w:footnoteRef/>
      </w:r>
      <w:r w:rsidRPr="00B806FD">
        <w:t xml:space="preserve"> </w:t>
      </w:r>
      <w:r w:rsidR="00823F57">
        <w:tab/>
      </w:r>
      <w:r w:rsidRPr="00B806FD">
        <w:t>See, e.g.</w:t>
      </w:r>
      <w:ins w:id="860" w:author="Jonathan Cervas" w:date="2023-06-29T16:39:00Z">
        <w:r w:rsidR="00145B98">
          <w:t>,</w:t>
        </w:r>
      </w:ins>
      <w:r w:rsidRPr="00B806FD">
        <w:t xml:space="preserve"> </w:t>
      </w:r>
      <w:r w:rsidRPr="00B806FD">
        <w:rPr>
          <w:rStyle w:val="normaltextrun"/>
          <w:color w:val="000000"/>
          <w:shd w:val="clear" w:color="auto" w:fill="FFFFFF"/>
        </w:rPr>
        <w:t>League of Women Voters of PA. v. Commonwealth, 178 A.3d 737 (2018)</w:t>
      </w:r>
      <w:r w:rsidRPr="00B806FD">
        <w:t xml:space="preserve">; </w:t>
      </w:r>
      <w:r w:rsidRPr="00B806FD">
        <w:rPr>
          <w:i/>
          <w:iCs/>
        </w:rPr>
        <w:t xml:space="preserve">see also </w:t>
      </w:r>
      <w:r w:rsidRPr="00B806FD">
        <w:rPr>
          <w:rStyle w:val="normaltextrun"/>
          <w:color w:val="000000"/>
          <w:shd w:val="clear" w:color="auto" w:fill="FFFFFF"/>
        </w:rPr>
        <w:t>League of Women Voters of Fla. v. Detzner, 172 So.3d 363 (2015).</w:t>
      </w:r>
    </w:p>
  </w:footnote>
  <w:footnote w:id="422">
    <w:p w14:paraId="2C00262D" w14:textId="04AFD4EC" w:rsidR="00B806FD" w:rsidRPr="00B806FD" w:rsidRDefault="00B806FD" w:rsidP="00B806FD">
      <w:pPr>
        <w:pStyle w:val="FootnoteText"/>
      </w:pPr>
      <w:r w:rsidRPr="00B806FD">
        <w:rPr>
          <w:rStyle w:val="FootnoteReference"/>
        </w:rPr>
        <w:footnoteRef/>
      </w:r>
      <w:r w:rsidRPr="00B806FD">
        <w:t xml:space="preserve"> </w:t>
      </w:r>
      <w:r w:rsidR="00823F57">
        <w:tab/>
      </w:r>
      <w:r w:rsidRPr="00B806FD">
        <w:rPr>
          <w:i/>
          <w:iCs/>
        </w:rPr>
        <w:t>See</w:t>
      </w:r>
      <w:r w:rsidRPr="00B806FD">
        <w:t xml:space="preserve"> </w:t>
      </w:r>
      <w:r w:rsidRPr="00B806FD">
        <w:rPr>
          <w:i/>
          <w:iCs/>
        </w:rPr>
        <w:t>supra</w:t>
      </w:r>
      <w:r w:rsidRPr="00B806FD">
        <w:t xml:space="preserve"> </w:t>
      </w:r>
      <w:r w:rsidRPr="00B806FD">
        <w:fldChar w:fldCharType="begin"/>
      </w:r>
      <w:r w:rsidRPr="00B806FD">
        <w:instrText xml:space="preserve"> REF _Ref123137422 \h  \* MERGEFORMAT </w:instrText>
      </w:r>
      <w:r w:rsidRPr="00B806FD">
        <w:fldChar w:fldCharType="separate"/>
      </w:r>
      <w:proofErr w:type="spellStart"/>
      <w:r w:rsidRPr="00B806FD">
        <w:t>tbl</w:t>
      </w:r>
      <w:proofErr w:type="spellEnd"/>
      <w:r w:rsidRPr="00B806FD">
        <w:t xml:space="preserve">. </w:t>
      </w:r>
      <w:r w:rsidRPr="00B806FD">
        <w:rPr>
          <w:noProof/>
        </w:rPr>
        <w:t>1</w:t>
      </w:r>
      <w:r w:rsidRPr="00B806FD">
        <w:fldChar w:fldCharType="end"/>
      </w:r>
      <w:r w:rsidRPr="00B806FD">
        <w:t>.</w:t>
      </w:r>
    </w:p>
  </w:footnote>
  <w:footnote w:id="423">
    <w:p w14:paraId="1CC55328" w14:textId="48BC8E67" w:rsidR="00B806FD" w:rsidRPr="00B806FD" w:rsidRDefault="00B806FD" w:rsidP="00B806FD">
      <w:pPr>
        <w:pStyle w:val="FootnoteText"/>
        <w:rPr>
          <w:b/>
        </w:rPr>
      </w:pPr>
      <w:r w:rsidRPr="00B806FD">
        <w:rPr>
          <w:rStyle w:val="FootnoteReference"/>
        </w:rPr>
        <w:footnoteRef/>
      </w:r>
      <w:r w:rsidRPr="00B806FD">
        <w:t xml:space="preserve"> </w:t>
      </w:r>
      <w:r w:rsidR="00823F57">
        <w:tab/>
      </w:r>
      <w:r w:rsidRPr="00B806FD">
        <w:rPr>
          <w:bCs/>
        </w:rPr>
        <w:t>Of course, it is also true that a relatively limited pool of experts (for each side) is providing testimony about partisan gerrymandering, and they are drawing on the same body of academic literature.</w:t>
      </w:r>
    </w:p>
  </w:footnote>
  <w:footnote w:id="424">
    <w:p w14:paraId="5913F1F5" w14:textId="4FBA9A06" w:rsidR="00B806FD" w:rsidRPr="00B806FD" w:rsidRDefault="00B806FD" w:rsidP="00B806FD">
      <w:pPr>
        <w:pStyle w:val="FootnoteText"/>
      </w:pPr>
      <w:r w:rsidRPr="00B806FD">
        <w:rPr>
          <w:rStyle w:val="FootnoteReference"/>
        </w:rPr>
        <w:footnoteRef/>
      </w:r>
      <w:r w:rsidRPr="00B806FD">
        <w:t xml:space="preserve"> </w:t>
      </w:r>
      <w:r w:rsidR="00823F57">
        <w:tab/>
      </w:r>
      <w:r w:rsidRPr="00B806FD">
        <w:rPr>
          <w:i/>
          <w:iCs/>
        </w:rPr>
        <w:t>See</w:t>
      </w:r>
      <w:r w:rsidRPr="00B806FD">
        <w:t xml:space="preserve"> </w:t>
      </w:r>
      <w:r w:rsidRPr="00B806FD">
        <w:rPr>
          <w:smallCaps/>
        </w:rPr>
        <w:t>National Conference of State Legislatures</w:t>
      </w:r>
      <w:r w:rsidRPr="00B806FD">
        <w:t xml:space="preserve">, </w:t>
      </w:r>
      <w:r w:rsidRPr="00B806FD">
        <w:rPr>
          <w:i/>
          <w:iCs/>
        </w:rPr>
        <w:t>supra</w:t>
      </w:r>
      <w:r w:rsidRPr="00B806FD">
        <w:t xml:space="preserve"> note </w:t>
      </w:r>
      <w:ins w:id="861" w:author="Jonathan Cervas" w:date="2023-06-29T16:40:00Z">
        <w:r w:rsidR="00DE4F16">
          <w:fldChar w:fldCharType="begin"/>
        </w:r>
        <w:r w:rsidR="00DE4F16">
          <w:instrText xml:space="preserve"> NOTEREF _Ref138949257 \h </w:instrText>
        </w:r>
      </w:ins>
      <w:r w:rsidR="00DE4F16">
        <w:fldChar w:fldCharType="separate"/>
      </w:r>
      <w:ins w:id="862" w:author="Jonathan Cervas" w:date="2023-06-29T16:40:00Z">
        <w:r w:rsidR="00DE4F16">
          <w:t>7</w:t>
        </w:r>
        <w:r w:rsidR="00DE4F16">
          <w:fldChar w:fldCharType="end"/>
        </w:r>
      </w:ins>
      <w:del w:id="863" w:author="Jonathan Cervas" w:date="2023-06-29T16:40:00Z">
        <w:r w:rsidRPr="00B806FD" w:rsidDel="00DE4F16">
          <w:delText>7</w:delText>
        </w:r>
      </w:del>
      <w:r w:rsidRPr="00B806FD">
        <w:t xml:space="preserve"> at 96.</w:t>
      </w:r>
    </w:p>
  </w:footnote>
  <w:footnote w:id="425">
    <w:p w14:paraId="6D362855" w14:textId="686391A8" w:rsidR="00B806FD" w:rsidRPr="00B806FD" w:rsidRDefault="00B806FD" w:rsidP="00B806FD">
      <w:pPr>
        <w:pStyle w:val="FootnoteText"/>
      </w:pPr>
      <w:r w:rsidRPr="00B806FD">
        <w:rPr>
          <w:rStyle w:val="FootnoteReference"/>
        </w:rPr>
        <w:footnoteRef/>
      </w:r>
      <w:r w:rsidRPr="00B806FD">
        <w:t xml:space="preserve"> </w:t>
      </w:r>
      <w:r w:rsidR="00823F57">
        <w:tab/>
      </w:r>
      <w:r w:rsidRPr="00B806FD">
        <w:rPr>
          <w:i/>
          <w:iCs/>
        </w:rPr>
        <w:t>See supra</w:t>
      </w:r>
      <w:r w:rsidRPr="00B806FD">
        <w:t xml:space="preserve"> </w:t>
      </w:r>
      <w:r w:rsidRPr="00B806FD">
        <w:fldChar w:fldCharType="begin"/>
      </w:r>
      <w:r w:rsidRPr="00B806FD">
        <w:instrText xml:space="preserve"> REF _Ref123138351 \h  \* MERGEFORMAT </w:instrText>
      </w:r>
      <w:r w:rsidRPr="00B806FD">
        <w:fldChar w:fldCharType="separate"/>
      </w:r>
      <w:proofErr w:type="spellStart"/>
      <w:r w:rsidRPr="00B806FD">
        <w:t>tbl</w:t>
      </w:r>
      <w:proofErr w:type="spellEnd"/>
      <w:r w:rsidRPr="00B806FD">
        <w:t xml:space="preserve">. </w:t>
      </w:r>
      <w:r w:rsidRPr="00B806FD">
        <w:rPr>
          <w:noProof/>
        </w:rPr>
        <w:t>6</w:t>
      </w:r>
      <w:r w:rsidRPr="00B806FD">
        <w:fldChar w:fldCharType="end"/>
      </w:r>
      <w:r w:rsidRPr="00B806FD">
        <w:rPr>
          <w:i/>
          <w:iCs/>
        </w:rPr>
        <w:t>.</w:t>
      </w:r>
    </w:p>
  </w:footnote>
  <w:footnote w:id="426">
    <w:p w14:paraId="51B62709" w14:textId="37CE97F0" w:rsidR="00B806FD" w:rsidRPr="00B806FD" w:rsidRDefault="00B806FD" w:rsidP="00B806FD">
      <w:pPr>
        <w:pStyle w:val="FootnoteText"/>
      </w:pPr>
      <w:r w:rsidRPr="00B806FD">
        <w:rPr>
          <w:rStyle w:val="FootnoteReference"/>
        </w:rPr>
        <w:footnoteRef/>
      </w:r>
      <w:r w:rsidRPr="00B806FD">
        <w:t xml:space="preserve"> </w:t>
      </w:r>
      <w:r w:rsidR="00823F57">
        <w:tab/>
      </w:r>
      <w:r w:rsidRPr="00B806FD">
        <w:t xml:space="preserve">State court intervention is not a substitute for federal intervention.  State courts are often political, change membership more often, and state court decisions are only applicable to single states.  Not all states have provisions against partisan gerrymandering or the ability to create those laws without a legislature giving up the power voluntarily.  Setting federal standards for redistricting Congress makes sense, given that it is a federal body, but doing so would require action by Congress, and that is unlikely.  In principle, there could be a finding by the U.S. Supreme Court that recent state court decisions had shown the potential for manageable judicial standards to constrain gerrymandering, and thus show the need to revisit </w:t>
      </w:r>
      <w:r w:rsidRPr="00B806FD">
        <w:rPr>
          <w:i/>
          <w:iCs/>
        </w:rPr>
        <w:t>Rucho</w:t>
      </w:r>
      <w:r w:rsidRPr="00B806FD">
        <w:t xml:space="preserve">, but we do not see a reversal of </w:t>
      </w:r>
      <w:r w:rsidRPr="00B806FD">
        <w:rPr>
          <w:i/>
          <w:iCs/>
        </w:rPr>
        <w:t>Rucho</w:t>
      </w:r>
      <w:r w:rsidRPr="00B806FD">
        <w:t xml:space="preserve"> as likely.</w:t>
      </w:r>
    </w:p>
  </w:footnote>
  <w:footnote w:id="427">
    <w:p w14:paraId="54045C4F" w14:textId="42D382A2" w:rsidR="00B806FD" w:rsidRPr="00B806FD" w:rsidRDefault="00B806FD" w:rsidP="00B806FD">
      <w:pPr>
        <w:pStyle w:val="FootnoteText"/>
      </w:pPr>
      <w:r w:rsidRPr="00B806FD">
        <w:rPr>
          <w:rStyle w:val="FootnoteReference"/>
        </w:rPr>
        <w:footnoteRef/>
      </w:r>
      <w:r w:rsidRPr="00B806FD">
        <w:t xml:space="preserve"> </w:t>
      </w:r>
      <w:r w:rsidR="00823F57">
        <w:tab/>
      </w:r>
      <w:r w:rsidRPr="00B806FD">
        <w:t xml:space="preserve">Douglas Keith, </w:t>
      </w:r>
      <w:r w:rsidRPr="00B806FD">
        <w:rPr>
          <w:i/>
          <w:iCs/>
        </w:rPr>
        <w:t>New Money and Messages in Judicial Elections This Year</w:t>
      </w:r>
      <w:r w:rsidRPr="00B806FD">
        <w:t xml:space="preserve">, </w:t>
      </w:r>
      <w:r w:rsidRPr="00B806FD">
        <w:rPr>
          <w:smallCaps/>
        </w:rPr>
        <w:t>Brennan Center for Justice</w:t>
      </w:r>
      <w:r w:rsidRPr="00B806FD">
        <w:t xml:space="preserve"> (Oct. 21, 2022), https://www.brennancenter.org/our-work/analysis-opinion/new-money-and-messages-judicial-elections-year [https://perma.cc/CR2T-N7VH].</w:t>
      </w:r>
    </w:p>
  </w:footnote>
  <w:footnote w:id="428">
    <w:p w14:paraId="46562CF3" w14:textId="54EEDBC8" w:rsidR="00B806FD" w:rsidRPr="00B806FD" w:rsidRDefault="00B806FD" w:rsidP="00B806FD">
      <w:pPr>
        <w:pStyle w:val="FootnoteText"/>
      </w:pPr>
      <w:r w:rsidRPr="00B806FD">
        <w:rPr>
          <w:rStyle w:val="FootnoteReference"/>
        </w:rPr>
        <w:footnoteRef/>
      </w:r>
      <w:r w:rsidRPr="00B806FD">
        <w:t xml:space="preserve"> </w:t>
      </w:r>
      <w:r w:rsidR="00823F57">
        <w:tab/>
      </w:r>
      <w:r w:rsidRPr="00B806FD">
        <w:t xml:space="preserve">Steve Reilly, </w:t>
      </w:r>
      <w:r w:rsidRPr="00B806FD">
        <w:rPr>
          <w:i/>
          <w:iCs/>
        </w:rPr>
        <w:t>Conservative Activist Leonard Leo is Remaking State High Courts</w:t>
      </w:r>
      <w:r w:rsidRPr="00B806FD">
        <w:t xml:space="preserve">, </w:t>
      </w:r>
      <w:r w:rsidRPr="00B806FD">
        <w:rPr>
          <w:smallCaps/>
        </w:rPr>
        <w:t>Grid</w:t>
      </w:r>
      <w:r w:rsidRPr="00B806FD">
        <w:t xml:space="preserve"> (Dec. 27, 2022), https://www.grid.news/story/politics/2022/12/27/leonard-leo-is-quietly-remaking-state-high-courts-in-his-conservative-image/ [https://perma.cc/RL9U-J2KY].</w:t>
      </w:r>
    </w:p>
  </w:footnote>
  <w:footnote w:id="429">
    <w:p w14:paraId="73072F7B" w14:textId="1395CC74" w:rsidR="00B806FD" w:rsidRPr="00B806FD" w:rsidRDefault="00B806FD" w:rsidP="00B806FD">
      <w:pPr>
        <w:pStyle w:val="FootnoteText"/>
      </w:pPr>
      <w:r w:rsidRPr="00B806FD">
        <w:rPr>
          <w:rStyle w:val="FootnoteReference"/>
        </w:rPr>
        <w:footnoteRef/>
      </w:r>
      <w:r w:rsidRPr="00B806FD">
        <w:t xml:space="preserve"> </w:t>
      </w:r>
      <w:r w:rsidR="00823F57">
        <w:tab/>
      </w:r>
      <w:r w:rsidRPr="00B806FD">
        <w:rPr>
          <w:i/>
          <w:iCs/>
        </w:rPr>
        <w:t>See generally</w:t>
      </w:r>
      <w:r w:rsidRPr="00B806FD">
        <w:t xml:space="preserve"> </w:t>
      </w:r>
      <w:proofErr w:type="spellStart"/>
      <w:r w:rsidRPr="00B806FD">
        <w:t>Pildes</w:t>
      </w:r>
      <w:proofErr w:type="spellEnd"/>
      <w:r w:rsidRPr="00B806FD">
        <w:t xml:space="preserve">, </w:t>
      </w:r>
      <w:r w:rsidRPr="00B806FD">
        <w:rPr>
          <w:i/>
          <w:iCs/>
        </w:rPr>
        <w:t>supra</w:t>
      </w:r>
      <w:r w:rsidRPr="00B806FD">
        <w:t xml:space="preserve"> note </w:t>
      </w:r>
      <w:ins w:id="864" w:author="Jonathan Cervas" w:date="2023-06-29T16:42:00Z">
        <w:r w:rsidR="00DE4F16">
          <w:fldChar w:fldCharType="begin"/>
        </w:r>
        <w:r w:rsidR="00DE4F16">
          <w:instrText xml:space="preserve"> NOTEREF _Ref138949385 \h </w:instrText>
        </w:r>
      </w:ins>
      <w:r w:rsidR="00DE4F16">
        <w:fldChar w:fldCharType="separate"/>
      </w:r>
      <w:ins w:id="865" w:author="Jonathan Cervas" w:date="2023-06-29T16:42:00Z">
        <w:r w:rsidR="00DE4F16">
          <w:t>89</w:t>
        </w:r>
        <w:r w:rsidR="00DE4F16">
          <w:fldChar w:fldCharType="end"/>
        </w:r>
      </w:ins>
      <w:del w:id="866" w:author="Jonathan Cervas" w:date="2023-06-29T16:42:00Z">
        <w:r w:rsidRPr="00B806FD" w:rsidDel="00DE4F16">
          <w:delText>88</w:delText>
        </w:r>
      </w:del>
      <w:r w:rsidRPr="00B806FD">
        <w:t>.</w:t>
      </w:r>
    </w:p>
  </w:footnote>
  <w:footnote w:id="430">
    <w:p w14:paraId="75B56D47" w14:textId="7C65CC82" w:rsidR="00B806FD" w:rsidRPr="00B806FD" w:rsidRDefault="00B806FD" w:rsidP="00B806FD">
      <w:pPr>
        <w:pStyle w:val="FootnoteText"/>
        <w:rPr>
          <w:bCs/>
        </w:rPr>
      </w:pPr>
      <w:r w:rsidRPr="00B806FD">
        <w:rPr>
          <w:rStyle w:val="FootnoteReference"/>
        </w:rPr>
        <w:footnoteRef/>
      </w:r>
      <w:r w:rsidRPr="00B806FD">
        <w:t xml:space="preserve"> </w:t>
      </w:r>
      <w:r w:rsidR="00823F57">
        <w:tab/>
      </w:r>
      <w:r w:rsidRPr="00B806FD">
        <w:rPr>
          <w:bCs/>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431">
    <w:p w14:paraId="4C2E36B3" w14:textId="3BA45B98" w:rsidR="00B806FD" w:rsidRPr="00B806FD" w:rsidRDefault="00B806FD" w:rsidP="00B806FD">
      <w:pPr>
        <w:jc w:val="both"/>
        <w:rPr>
          <w:sz w:val="18"/>
          <w:szCs w:val="18"/>
        </w:rPr>
      </w:pPr>
      <w:r w:rsidRPr="00B806FD">
        <w:rPr>
          <w:rStyle w:val="FootnoteReference"/>
          <w:sz w:val="18"/>
          <w:szCs w:val="18"/>
        </w:rPr>
        <w:footnoteRef/>
      </w:r>
      <w:r w:rsidRPr="00B806FD">
        <w:rPr>
          <w:sz w:val="18"/>
          <w:szCs w:val="18"/>
        </w:rPr>
        <w:t xml:space="preserve"> </w:t>
      </w:r>
      <w:r>
        <w:rPr>
          <w:sz w:val="18"/>
          <w:szCs w:val="18"/>
        </w:rPr>
        <w:tab/>
      </w:r>
      <w:r w:rsidRPr="00B806FD">
        <w:rPr>
          <w:sz w:val="18"/>
          <w:szCs w:val="18"/>
        </w:rPr>
        <w:t xml:space="preserve">Also, a new challenge has emerged that would threaten the power of state courts to hold accountable political manipulation of district maps in </w:t>
      </w:r>
      <w:r w:rsidRPr="00B806FD">
        <w:rPr>
          <w:sz w:val="18"/>
          <w:szCs w:val="18"/>
          <w:u w:val="single"/>
        </w:rPr>
        <w:t>federal</w:t>
      </w:r>
      <w:r w:rsidRPr="00B806FD">
        <w:rPr>
          <w:sz w:val="18"/>
          <w:szCs w:val="18"/>
        </w:rPr>
        <w:t xml:space="preserve"> elections.  The “independent state legislature” theory asserts that the Electors Clause and Elections Clause found in Article 2, Section Two, and Article I, Section 4, respectively, “vests state legislatures with plenary power to craft rules for Congressional and Presidential elections </w:t>
      </w:r>
      <w:r w:rsidRPr="00B806FD">
        <w:rPr>
          <w:sz w:val="18"/>
          <w:szCs w:val="18"/>
          <w:u w:val="single"/>
        </w:rPr>
        <w:t>unbound by state constitutions and free from review by state courts</w:t>
      </w:r>
      <w:r w:rsidRPr="00B806FD">
        <w:rPr>
          <w:sz w:val="18"/>
          <w:szCs w:val="18"/>
        </w:rPr>
        <w:t>”</w:t>
      </w:r>
      <w:del w:id="868" w:author="Jonathan Cervas" w:date="2023-06-29T17:05:00Z">
        <w:r w:rsidRPr="00B806FD" w:rsidDel="00A16B42">
          <w:rPr>
            <w:sz w:val="18"/>
            <w:szCs w:val="18"/>
          </w:rPr>
          <w:delText xml:space="preserve"> </w:delText>
        </w:r>
      </w:del>
      <w:r w:rsidRPr="00B806FD">
        <w:rPr>
          <w:sz w:val="18"/>
          <w:szCs w:val="18"/>
        </w:rPr>
        <w:t xml:space="preserve"> Michael </w:t>
      </w:r>
      <w:proofErr w:type="spellStart"/>
      <w:r w:rsidRPr="00B806FD">
        <w:rPr>
          <w:sz w:val="18"/>
          <w:szCs w:val="18"/>
        </w:rPr>
        <w:t>Weingartner</w:t>
      </w:r>
      <w:proofErr w:type="spellEnd"/>
      <w:r w:rsidRPr="00B806FD">
        <w:rPr>
          <w:sz w:val="18"/>
          <w:szCs w:val="18"/>
        </w:rPr>
        <w:t xml:space="preserve">, </w:t>
      </w:r>
      <w:r w:rsidRPr="00B806FD">
        <w:rPr>
          <w:i/>
          <w:iCs/>
          <w:sz w:val="18"/>
          <w:szCs w:val="18"/>
        </w:rPr>
        <w:t>Liquidating the Independent State Legislature Theory</w:t>
      </w:r>
      <w:r w:rsidRPr="00B806FD">
        <w:rPr>
          <w:sz w:val="18"/>
          <w:szCs w:val="18"/>
        </w:rPr>
        <w:t xml:space="preserve">, 46 </w:t>
      </w:r>
      <w:r w:rsidRPr="00B806FD">
        <w:rPr>
          <w:smallCaps/>
          <w:sz w:val="18"/>
          <w:szCs w:val="18"/>
        </w:rPr>
        <w:t>Harv. J. L. Public Pol'y</w:t>
      </w:r>
      <w:r w:rsidRPr="00B806FD">
        <w:rPr>
          <w:sz w:val="18"/>
          <w:szCs w:val="18"/>
        </w:rPr>
        <w:t xml:space="preserve"> ___ (Forthcoming 2023) (emphasis added).  This theory was offered in a federal challenge brought by Republicans in Pennsylvania to that state’s court-ordered congressional map, but the Supreme Court denied </w:t>
      </w:r>
      <w:r w:rsidRPr="00B806FD">
        <w:rPr>
          <w:i/>
          <w:sz w:val="18"/>
          <w:szCs w:val="18"/>
        </w:rPr>
        <w:t>cert</w:t>
      </w:r>
      <w:r w:rsidRPr="00B806FD">
        <w:rPr>
          <w:sz w:val="18"/>
          <w:szCs w:val="18"/>
        </w:rPr>
        <w:t xml:space="preserve">.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 </w:t>
      </w:r>
      <w:r w:rsidRPr="00B806FD">
        <w:rPr>
          <w:noProof/>
          <w:sz w:val="18"/>
          <w:szCs w:val="18"/>
        </w:rPr>
        <w:t>Moore v. Harper, 142 S.Ct. 1089 (2022),</w:t>
      </w:r>
      <w:r w:rsidRPr="00B806FD">
        <w:rPr>
          <w:sz w:val="18"/>
          <w:szCs w:val="18"/>
        </w:rPr>
        <w:t xml:space="preserve"> 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r w:rsidRPr="00B806FD">
        <w:rPr>
          <w:i/>
          <w:iCs/>
          <w:sz w:val="18"/>
          <w:szCs w:val="18"/>
        </w:rPr>
        <w:t>Rucho</w:t>
      </w:r>
      <w:r w:rsidRPr="00B806FD">
        <w:rPr>
          <w:sz w:val="18"/>
          <w:szCs w:val="18"/>
        </w:rPr>
        <w:t xml:space="preserve">, </w:t>
      </w:r>
      <w:r w:rsidRPr="00B806FD">
        <w:rPr>
          <w:iCs/>
          <w:sz w:val="18"/>
          <w:szCs w:val="18"/>
        </w:rPr>
        <w:t>after its own condemnation of excessive partisan gerrymandering,</w:t>
      </w:r>
      <w:r w:rsidRPr="00B806FD">
        <w:rPr>
          <w:sz w:val="18"/>
          <w:szCs w:val="18"/>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D12E" w14:textId="6329DD5B" w:rsidR="00B81143" w:rsidRPr="00B81143" w:rsidRDefault="00B81143" w:rsidP="00B81143">
    <w:pPr>
      <w:pStyle w:val="Header"/>
      <w:rPr>
        <w:rFonts w:ascii="Myriad Pro Semibold" w:hAnsi="Myriad Pro Semibold" w:cs="Times New Roman"/>
        <w:b w:val="0"/>
        <w:szCs w:val="15"/>
      </w:rPr>
    </w:pPr>
    <w:r w:rsidRPr="00B81143">
      <w:rPr>
        <w:rStyle w:val="PageNumber"/>
        <w:rFonts w:ascii="Myriad Pro" w:hAnsi="Myriad Pro" w:cs="Times New Roman"/>
        <w:sz w:val="15"/>
        <w:szCs w:val="15"/>
      </w:rPr>
      <w:t>The UNIVERSITY</w:t>
    </w:r>
    <w:r w:rsidRPr="00B81143">
      <w:rPr>
        <w:rFonts w:cs="Times New Roman"/>
        <w:szCs w:val="15"/>
      </w:rPr>
      <w:t xml:space="preserve"> of New Hampshire LAW REVIEW</w:t>
    </w:r>
    <w:r w:rsidRPr="00B81143">
      <w:rPr>
        <w:rFonts w:cs="Times New Roman"/>
        <w:szCs w:val="15"/>
      </w:rPr>
      <w:ptab w:relativeTo="margin" w:alignment="right" w:leader="none"/>
    </w:r>
    <w:r w:rsidR="008D703D">
      <w:rPr>
        <w:rFonts w:cs="Times New Roman"/>
        <w:b w:val="0"/>
        <w:szCs w:val="15"/>
      </w:rPr>
      <w:t>21</w:t>
    </w:r>
    <w:r w:rsidRPr="001939F5">
      <w:rPr>
        <w:rFonts w:cs="Times New Roman"/>
        <w:b w:val="0"/>
        <w:szCs w:val="15"/>
      </w:rPr>
      <w:t>:</w:t>
    </w:r>
    <w:r w:rsidR="008D703D">
      <w:rPr>
        <w:rFonts w:cs="Times New Roman"/>
        <w:b w:val="0"/>
        <w:szCs w:val="15"/>
      </w:rPr>
      <w:t>2</w:t>
    </w:r>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668DC" w14:textId="20A7E2FD" w:rsidR="00B81143" w:rsidRPr="00B81143" w:rsidRDefault="008D703D" w:rsidP="00B81143">
    <w:pPr>
      <w:pStyle w:val="Header"/>
      <w:jc w:val="right"/>
      <w:rPr>
        <w:rFonts w:ascii="Myriad Pro Semibold" w:hAnsi="Myriad Pro Semibold" w:cs="Times New Roman"/>
        <w:b w:val="0"/>
        <w:szCs w:val="15"/>
      </w:rPr>
    </w:pPr>
    <w:r>
      <w:rPr>
        <w:rStyle w:val="PageNumber"/>
        <w:rFonts w:ascii="Myriad Pro" w:hAnsi="Myriad Pro" w:cs="Times New Roman"/>
        <w:sz w:val="15"/>
        <w:szCs w:val="15"/>
      </w:rPr>
      <w:t>The role of state courts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59A740C2" w14:textId="77777777" w:rsidTr="72C9C8C4">
      <w:tc>
        <w:tcPr>
          <w:tcW w:w="2360" w:type="dxa"/>
        </w:tcPr>
        <w:p w14:paraId="2EDC1E90" w14:textId="4071316E" w:rsidR="72C9C8C4" w:rsidRDefault="72C9C8C4" w:rsidP="72C9C8C4">
          <w:pPr>
            <w:ind w:left="-115"/>
          </w:pPr>
        </w:p>
      </w:tc>
      <w:tc>
        <w:tcPr>
          <w:tcW w:w="2360" w:type="dxa"/>
        </w:tcPr>
        <w:p w14:paraId="2A097661" w14:textId="22478EA5" w:rsidR="72C9C8C4" w:rsidRDefault="72C9C8C4" w:rsidP="72C9C8C4">
          <w:pPr>
            <w:jc w:val="center"/>
          </w:pPr>
        </w:p>
      </w:tc>
      <w:tc>
        <w:tcPr>
          <w:tcW w:w="2360" w:type="dxa"/>
        </w:tcPr>
        <w:p w14:paraId="1F520C60" w14:textId="4AB6DF8E" w:rsidR="72C9C8C4" w:rsidRDefault="72C9C8C4" w:rsidP="72C9C8C4">
          <w:pPr>
            <w:ind w:right="-115"/>
            <w:jc w:val="right"/>
          </w:pPr>
        </w:p>
      </w:tc>
    </w:tr>
  </w:tbl>
  <w:p w14:paraId="4610639E" w14:textId="469DAC86"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0451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BA029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44DC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13EC7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78B4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2CF6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012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44D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EA73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E279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03935F3A"/>
    <w:multiLevelType w:val="hybridMultilevel"/>
    <w:tmpl w:val="71509CB8"/>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0BB717B9"/>
    <w:multiLevelType w:val="hybridMultilevel"/>
    <w:tmpl w:val="EF5E9216"/>
    <w:lvl w:ilvl="0" w:tplc="00E46760">
      <w:start w:val="1"/>
      <w:numFmt w:val="lowerLetter"/>
      <w:lvlText w:val="%1."/>
      <w:lvlJc w:val="left"/>
      <w:pPr>
        <w:ind w:left="2520" w:hanging="360"/>
      </w:pPr>
      <w:rPr>
        <w:rFonts w:ascii="Alegreya" w:hAnsi="Alegreya" w:hint="default"/>
        <w:b w:val="0"/>
        <w:i/>
        <w:kern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E95365"/>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A660433"/>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203557"/>
    <w:multiLevelType w:val="hybridMultilevel"/>
    <w:tmpl w:val="E910C37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33EB0E26"/>
    <w:multiLevelType w:val="hybridMultilevel"/>
    <w:tmpl w:val="EF5E9216"/>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45050749"/>
    <w:multiLevelType w:val="hybridMultilevel"/>
    <w:tmpl w:val="0792B5C0"/>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4A44192"/>
    <w:multiLevelType w:val="hybridMultilevel"/>
    <w:tmpl w:val="71509CB8"/>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FD2790"/>
    <w:multiLevelType w:val="multilevel"/>
    <w:tmpl w:val="81A8795A"/>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7" w15:restartNumberingAfterBreak="0">
    <w:nsid w:val="6AF33989"/>
    <w:multiLevelType w:val="hybridMultilevel"/>
    <w:tmpl w:val="49C0CF9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6EF1717E"/>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1"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26"/>
  </w:num>
  <w:num w:numId="2" w16cid:durableId="1382748468">
    <w:abstractNumId w:val="30"/>
  </w:num>
  <w:num w:numId="3" w16cid:durableId="1385183062">
    <w:abstractNumId w:val="12"/>
  </w:num>
  <w:num w:numId="4" w16cid:durableId="1570918485">
    <w:abstractNumId w:val="20"/>
  </w:num>
  <w:num w:numId="5" w16cid:durableId="1727336330">
    <w:abstractNumId w:val="26"/>
  </w:num>
  <w:num w:numId="6" w16cid:durableId="185984959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5484129">
    <w:abstractNumId w:val="31"/>
  </w:num>
  <w:num w:numId="8" w16cid:durableId="1196039057">
    <w:abstractNumId w:val="10"/>
  </w:num>
  <w:num w:numId="9" w16cid:durableId="2034912598">
    <w:abstractNumId w:val="22"/>
  </w:num>
  <w:num w:numId="10" w16cid:durableId="692656874">
    <w:abstractNumId w:val="18"/>
  </w:num>
  <w:num w:numId="11" w16cid:durableId="1096100136">
    <w:abstractNumId w:val="24"/>
  </w:num>
  <w:num w:numId="12" w16cid:durableId="475221484">
    <w:abstractNumId w:val="28"/>
  </w:num>
  <w:num w:numId="13" w16cid:durableId="316494125">
    <w:abstractNumId w:val="13"/>
  </w:num>
  <w:num w:numId="14" w16cid:durableId="1535074568">
    <w:abstractNumId w:val="30"/>
    <w:lvlOverride w:ilvl="0">
      <w:startOverride w:val="1"/>
    </w:lvlOverride>
    <w:lvlOverride w:ilvl="1">
      <w:startOverride w:val="1"/>
    </w:lvlOverride>
    <w:lvlOverride w:ilvl="2">
      <w:startOverride w:val="14"/>
    </w:lvlOverride>
  </w:num>
  <w:num w:numId="15" w16cid:durableId="1520310871">
    <w:abstractNumId w:val="30"/>
    <w:lvlOverride w:ilvl="0">
      <w:startOverride w:val="1"/>
    </w:lvlOverride>
    <w:lvlOverride w:ilvl="1">
      <w:startOverride w:val="1"/>
    </w:lvlOverride>
    <w:lvlOverride w:ilvl="2">
      <w:startOverride w:val="14"/>
    </w:lvlOverride>
  </w:num>
  <w:num w:numId="16" w16cid:durableId="1164319705">
    <w:abstractNumId w:val="0"/>
  </w:num>
  <w:num w:numId="17" w16cid:durableId="494104190">
    <w:abstractNumId w:val="1"/>
  </w:num>
  <w:num w:numId="18" w16cid:durableId="1961914185">
    <w:abstractNumId w:val="2"/>
  </w:num>
  <w:num w:numId="19" w16cid:durableId="1356154535">
    <w:abstractNumId w:val="3"/>
  </w:num>
  <w:num w:numId="20" w16cid:durableId="291641124">
    <w:abstractNumId w:val="8"/>
  </w:num>
  <w:num w:numId="21" w16cid:durableId="1678656948">
    <w:abstractNumId w:val="4"/>
  </w:num>
  <w:num w:numId="22" w16cid:durableId="97988060">
    <w:abstractNumId w:val="5"/>
  </w:num>
  <w:num w:numId="23" w16cid:durableId="1084258605">
    <w:abstractNumId w:val="6"/>
  </w:num>
  <w:num w:numId="24" w16cid:durableId="1659769004">
    <w:abstractNumId w:val="7"/>
  </w:num>
  <w:num w:numId="25" w16cid:durableId="2145079478">
    <w:abstractNumId w:val="9"/>
  </w:num>
  <w:num w:numId="26" w16cid:durableId="1572622150">
    <w:abstractNumId w:val="0"/>
  </w:num>
  <w:num w:numId="27" w16cid:durableId="1291398015">
    <w:abstractNumId w:val="1"/>
  </w:num>
  <w:num w:numId="28" w16cid:durableId="1768303435">
    <w:abstractNumId w:val="2"/>
  </w:num>
  <w:num w:numId="29" w16cid:durableId="845173092">
    <w:abstractNumId w:val="3"/>
  </w:num>
  <w:num w:numId="30" w16cid:durableId="1211304556">
    <w:abstractNumId w:val="8"/>
  </w:num>
  <w:num w:numId="31" w16cid:durableId="2007590127">
    <w:abstractNumId w:val="4"/>
  </w:num>
  <w:num w:numId="32" w16cid:durableId="358090613">
    <w:abstractNumId w:val="5"/>
  </w:num>
  <w:num w:numId="33" w16cid:durableId="1493568851">
    <w:abstractNumId w:val="6"/>
  </w:num>
  <w:num w:numId="34" w16cid:durableId="1479300182">
    <w:abstractNumId w:val="7"/>
  </w:num>
  <w:num w:numId="35" w16cid:durableId="876625872">
    <w:abstractNumId w:val="9"/>
  </w:num>
  <w:num w:numId="36" w16cid:durableId="214581432">
    <w:abstractNumId w:val="9"/>
  </w:num>
  <w:num w:numId="37" w16cid:durableId="1351375180">
    <w:abstractNumId w:val="0"/>
  </w:num>
  <w:num w:numId="38" w16cid:durableId="605693059">
    <w:abstractNumId w:val="0"/>
  </w:num>
  <w:num w:numId="39" w16cid:durableId="779647055">
    <w:abstractNumId w:val="1"/>
  </w:num>
  <w:num w:numId="40" w16cid:durableId="964655672">
    <w:abstractNumId w:val="2"/>
  </w:num>
  <w:num w:numId="41" w16cid:durableId="1203860225">
    <w:abstractNumId w:val="3"/>
  </w:num>
  <w:num w:numId="42" w16cid:durableId="115487643">
    <w:abstractNumId w:val="8"/>
  </w:num>
  <w:num w:numId="43" w16cid:durableId="104274430">
    <w:abstractNumId w:val="4"/>
  </w:num>
  <w:num w:numId="44" w16cid:durableId="1799257889">
    <w:abstractNumId w:val="5"/>
  </w:num>
  <w:num w:numId="45" w16cid:durableId="2137604509">
    <w:abstractNumId w:val="6"/>
  </w:num>
  <w:num w:numId="46" w16cid:durableId="848636624">
    <w:abstractNumId w:val="7"/>
  </w:num>
  <w:num w:numId="47" w16cid:durableId="155801292">
    <w:abstractNumId w:val="9"/>
  </w:num>
  <w:num w:numId="48" w16cid:durableId="1122311313">
    <w:abstractNumId w:val="14"/>
  </w:num>
  <w:num w:numId="49" w16cid:durableId="1230774511">
    <w:abstractNumId w:val="14"/>
  </w:num>
  <w:num w:numId="50" w16cid:durableId="581522496">
    <w:abstractNumId w:val="21"/>
  </w:num>
  <w:num w:numId="51" w16cid:durableId="1225141336">
    <w:abstractNumId w:val="25"/>
  </w:num>
  <w:num w:numId="52" w16cid:durableId="2013215188">
    <w:abstractNumId w:val="19"/>
  </w:num>
  <w:num w:numId="53" w16cid:durableId="79329330">
    <w:abstractNumId w:val="27"/>
  </w:num>
  <w:num w:numId="54" w16cid:durableId="551580393">
    <w:abstractNumId w:val="15"/>
  </w:num>
  <w:num w:numId="55" w16cid:durableId="1897468091">
    <w:abstractNumId w:val="11"/>
  </w:num>
  <w:num w:numId="56" w16cid:durableId="1283418681">
    <w:abstractNumId w:val="16"/>
  </w:num>
  <w:num w:numId="57" w16cid:durableId="2070642651">
    <w:abstractNumId w:val="17"/>
  </w:num>
  <w:num w:numId="58" w16cid:durableId="1197735954">
    <w:abstractNumId w:val="29"/>
  </w:num>
  <w:num w:numId="59" w16cid:durableId="1814907358">
    <w:abstractNumId w:val="2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Kyle Kopko">
    <w15:presenceInfo w15:providerId="AD" w15:userId="S::kck1019@usnh.edu::8056d5da-2f83-4048-bdfe-0bd6ce721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36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848"/>
    <w:rsid w:val="0000124C"/>
    <w:rsid w:val="000111B5"/>
    <w:rsid w:val="00021202"/>
    <w:rsid w:val="000218D5"/>
    <w:rsid w:val="00025DE2"/>
    <w:rsid w:val="00032066"/>
    <w:rsid w:val="00036C16"/>
    <w:rsid w:val="000413A5"/>
    <w:rsid w:val="00052E1C"/>
    <w:rsid w:val="00064077"/>
    <w:rsid w:val="0006500D"/>
    <w:rsid w:val="000714C5"/>
    <w:rsid w:val="000737BD"/>
    <w:rsid w:val="00086F59"/>
    <w:rsid w:val="00087BD1"/>
    <w:rsid w:val="0009384B"/>
    <w:rsid w:val="000A3D06"/>
    <w:rsid w:val="000A7116"/>
    <w:rsid w:val="000C37A2"/>
    <w:rsid w:val="000C53D8"/>
    <w:rsid w:val="000D3502"/>
    <w:rsid w:val="000D4B59"/>
    <w:rsid w:val="00114B20"/>
    <w:rsid w:val="00142C75"/>
    <w:rsid w:val="00145391"/>
    <w:rsid w:val="00145B98"/>
    <w:rsid w:val="00153E10"/>
    <w:rsid w:val="001546BD"/>
    <w:rsid w:val="001701F0"/>
    <w:rsid w:val="00177AFA"/>
    <w:rsid w:val="001861EF"/>
    <w:rsid w:val="00192619"/>
    <w:rsid w:val="001939F5"/>
    <w:rsid w:val="001A2A76"/>
    <w:rsid w:val="001B69B3"/>
    <w:rsid w:val="001C2684"/>
    <w:rsid w:val="001C4C87"/>
    <w:rsid w:val="001D2160"/>
    <w:rsid w:val="001E504D"/>
    <w:rsid w:val="00202811"/>
    <w:rsid w:val="0020748D"/>
    <w:rsid w:val="00212B79"/>
    <w:rsid w:val="00214A92"/>
    <w:rsid w:val="00216324"/>
    <w:rsid w:val="00223687"/>
    <w:rsid w:val="00226CAE"/>
    <w:rsid w:val="00227154"/>
    <w:rsid w:val="00234236"/>
    <w:rsid w:val="00240ED7"/>
    <w:rsid w:val="002434F5"/>
    <w:rsid w:val="002525C4"/>
    <w:rsid w:val="00256AE2"/>
    <w:rsid w:val="00262B14"/>
    <w:rsid w:val="00272164"/>
    <w:rsid w:val="00283E39"/>
    <w:rsid w:val="00295E34"/>
    <w:rsid w:val="002A2CC4"/>
    <w:rsid w:val="002A4A48"/>
    <w:rsid w:val="002A6025"/>
    <w:rsid w:val="002C59A7"/>
    <w:rsid w:val="002D0950"/>
    <w:rsid w:val="002D73C6"/>
    <w:rsid w:val="002E6BEF"/>
    <w:rsid w:val="002F712B"/>
    <w:rsid w:val="00305698"/>
    <w:rsid w:val="00310C4B"/>
    <w:rsid w:val="00312520"/>
    <w:rsid w:val="003343A1"/>
    <w:rsid w:val="00337B16"/>
    <w:rsid w:val="00350822"/>
    <w:rsid w:val="00354976"/>
    <w:rsid w:val="00354FE1"/>
    <w:rsid w:val="00360BB1"/>
    <w:rsid w:val="00374393"/>
    <w:rsid w:val="00381F07"/>
    <w:rsid w:val="00386D16"/>
    <w:rsid w:val="003878E6"/>
    <w:rsid w:val="003A3201"/>
    <w:rsid w:val="003C5415"/>
    <w:rsid w:val="003C5671"/>
    <w:rsid w:val="003D4DC6"/>
    <w:rsid w:val="003E172C"/>
    <w:rsid w:val="003F3622"/>
    <w:rsid w:val="00402933"/>
    <w:rsid w:val="00412DB5"/>
    <w:rsid w:val="00414F57"/>
    <w:rsid w:val="004212CE"/>
    <w:rsid w:val="00446A96"/>
    <w:rsid w:val="00453292"/>
    <w:rsid w:val="00461B7A"/>
    <w:rsid w:val="00475DCB"/>
    <w:rsid w:val="004764FC"/>
    <w:rsid w:val="004825C1"/>
    <w:rsid w:val="004851A6"/>
    <w:rsid w:val="0049249B"/>
    <w:rsid w:val="004957BF"/>
    <w:rsid w:val="004A6ABE"/>
    <w:rsid w:val="004B7A55"/>
    <w:rsid w:val="004C4606"/>
    <w:rsid w:val="004E2D8F"/>
    <w:rsid w:val="0050553B"/>
    <w:rsid w:val="00511739"/>
    <w:rsid w:val="005162DA"/>
    <w:rsid w:val="005201D2"/>
    <w:rsid w:val="005241F1"/>
    <w:rsid w:val="00532608"/>
    <w:rsid w:val="00533AC7"/>
    <w:rsid w:val="00536FAC"/>
    <w:rsid w:val="005503EC"/>
    <w:rsid w:val="00555B54"/>
    <w:rsid w:val="00561641"/>
    <w:rsid w:val="00562441"/>
    <w:rsid w:val="005640A7"/>
    <w:rsid w:val="00573C01"/>
    <w:rsid w:val="005A65E3"/>
    <w:rsid w:val="005B4933"/>
    <w:rsid w:val="005B7708"/>
    <w:rsid w:val="005C1757"/>
    <w:rsid w:val="005C56D1"/>
    <w:rsid w:val="005D1133"/>
    <w:rsid w:val="005D32B0"/>
    <w:rsid w:val="005E6959"/>
    <w:rsid w:val="005E7BEA"/>
    <w:rsid w:val="0060108E"/>
    <w:rsid w:val="0060124B"/>
    <w:rsid w:val="00601F18"/>
    <w:rsid w:val="00607A1C"/>
    <w:rsid w:val="006113F8"/>
    <w:rsid w:val="00621B73"/>
    <w:rsid w:val="00631818"/>
    <w:rsid w:val="0065277B"/>
    <w:rsid w:val="00670334"/>
    <w:rsid w:val="0067637A"/>
    <w:rsid w:val="00676885"/>
    <w:rsid w:val="00680191"/>
    <w:rsid w:val="006A75D6"/>
    <w:rsid w:val="006C2F44"/>
    <w:rsid w:val="006C56F7"/>
    <w:rsid w:val="006C5DE6"/>
    <w:rsid w:val="00705583"/>
    <w:rsid w:val="007069AF"/>
    <w:rsid w:val="00732B06"/>
    <w:rsid w:val="00743C64"/>
    <w:rsid w:val="00751018"/>
    <w:rsid w:val="0075230D"/>
    <w:rsid w:val="00771774"/>
    <w:rsid w:val="0077694C"/>
    <w:rsid w:val="007B6EDF"/>
    <w:rsid w:val="007B7652"/>
    <w:rsid w:val="007E5D63"/>
    <w:rsid w:val="007F2ABF"/>
    <w:rsid w:val="008032E2"/>
    <w:rsid w:val="008033E1"/>
    <w:rsid w:val="00805C60"/>
    <w:rsid w:val="00807D7B"/>
    <w:rsid w:val="008179D8"/>
    <w:rsid w:val="00823F57"/>
    <w:rsid w:val="008309CF"/>
    <w:rsid w:val="00873439"/>
    <w:rsid w:val="00886902"/>
    <w:rsid w:val="00894011"/>
    <w:rsid w:val="0089545C"/>
    <w:rsid w:val="008A2C26"/>
    <w:rsid w:val="008B4EBD"/>
    <w:rsid w:val="008C1524"/>
    <w:rsid w:val="008C57D9"/>
    <w:rsid w:val="008C6667"/>
    <w:rsid w:val="008D44B0"/>
    <w:rsid w:val="008D681D"/>
    <w:rsid w:val="008D703D"/>
    <w:rsid w:val="008E75CF"/>
    <w:rsid w:val="009410F0"/>
    <w:rsid w:val="0095574B"/>
    <w:rsid w:val="009563A6"/>
    <w:rsid w:val="009936E5"/>
    <w:rsid w:val="009953F0"/>
    <w:rsid w:val="00996DB0"/>
    <w:rsid w:val="009B4969"/>
    <w:rsid w:val="009C2343"/>
    <w:rsid w:val="009E091B"/>
    <w:rsid w:val="009E1B26"/>
    <w:rsid w:val="00A10FF6"/>
    <w:rsid w:val="00A11ABD"/>
    <w:rsid w:val="00A14541"/>
    <w:rsid w:val="00A16B42"/>
    <w:rsid w:val="00A406AB"/>
    <w:rsid w:val="00A431D6"/>
    <w:rsid w:val="00A43514"/>
    <w:rsid w:val="00A60ED5"/>
    <w:rsid w:val="00A61019"/>
    <w:rsid w:val="00A77E2B"/>
    <w:rsid w:val="00A810D7"/>
    <w:rsid w:val="00A833DF"/>
    <w:rsid w:val="00A92740"/>
    <w:rsid w:val="00AB2444"/>
    <w:rsid w:val="00AC0D31"/>
    <w:rsid w:val="00AC42A3"/>
    <w:rsid w:val="00AD4848"/>
    <w:rsid w:val="00AF1D04"/>
    <w:rsid w:val="00B26B27"/>
    <w:rsid w:val="00B35A12"/>
    <w:rsid w:val="00B42861"/>
    <w:rsid w:val="00B50363"/>
    <w:rsid w:val="00B54CC5"/>
    <w:rsid w:val="00B56886"/>
    <w:rsid w:val="00B56F5F"/>
    <w:rsid w:val="00B76868"/>
    <w:rsid w:val="00B806FD"/>
    <w:rsid w:val="00B81143"/>
    <w:rsid w:val="00BB018C"/>
    <w:rsid w:val="00BC0E36"/>
    <w:rsid w:val="00C0170E"/>
    <w:rsid w:val="00C11C4C"/>
    <w:rsid w:val="00C133C9"/>
    <w:rsid w:val="00C20F2F"/>
    <w:rsid w:val="00C23B4F"/>
    <w:rsid w:val="00C2582E"/>
    <w:rsid w:val="00C42F7B"/>
    <w:rsid w:val="00C532D6"/>
    <w:rsid w:val="00C6478D"/>
    <w:rsid w:val="00C9357C"/>
    <w:rsid w:val="00C93FE1"/>
    <w:rsid w:val="00CB0D01"/>
    <w:rsid w:val="00D01657"/>
    <w:rsid w:val="00D07453"/>
    <w:rsid w:val="00D13FD7"/>
    <w:rsid w:val="00D15B1C"/>
    <w:rsid w:val="00D272E9"/>
    <w:rsid w:val="00D31817"/>
    <w:rsid w:val="00D37744"/>
    <w:rsid w:val="00D41874"/>
    <w:rsid w:val="00D625DD"/>
    <w:rsid w:val="00D779E2"/>
    <w:rsid w:val="00D9218E"/>
    <w:rsid w:val="00DB01D0"/>
    <w:rsid w:val="00DB2A8D"/>
    <w:rsid w:val="00DC00AE"/>
    <w:rsid w:val="00DC1FE7"/>
    <w:rsid w:val="00DD7CD7"/>
    <w:rsid w:val="00DE4155"/>
    <w:rsid w:val="00DE4F16"/>
    <w:rsid w:val="00DF2876"/>
    <w:rsid w:val="00DF3BEC"/>
    <w:rsid w:val="00E01FB1"/>
    <w:rsid w:val="00E11495"/>
    <w:rsid w:val="00E23501"/>
    <w:rsid w:val="00E2723C"/>
    <w:rsid w:val="00E43F55"/>
    <w:rsid w:val="00E53BF8"/>
    <w:rsid w:val="00E57F10"/>
    <w:rsid w:val="00E61828"/>
    <w:rsid w:val="00E65A03"/>
    <w:rsid w:val="00E70D0A"/>
    <w:rsid w:val="00E74CC8"/>
    <w:rsid w:val="00E93A20"/>
    <w:rsid w:val="00E9463D"/>
    <w:rsid w:val="00E96BE9"/>
    <w:rsid w:val="00ED7609"/>
    <w:rsid w:val="00ED7D47"/>
    <w:rsid w:val="00EF1C50"/>
    <w:rsid w:val="00EF4DFD"/>
    <w:rsid w:val="00F1195D"/>
    <w:rsid w:val="00F129F5"/>
    <w:rsid w:val="00F20C14"/>
    <w:rsid w:val="00F26BBA"/>
    <w:rsid w:val="00F32293"/>
    <w:rsid w:val="00F334CE"/>
    <w:rsid w:val="00F377A8"/>
    <w:rsid w:val="00F50016"/>
    <w:rsid w:val="00F639B1"/>
    <w:rsid w:val="00F8234C"/>
    <w:rsid w:val="00F86C35"/>
    <w:rsid w:val="00FA4F11"/>
    <w:rsid w:val="00FB132A"/>
    <w:rsid w:val="00FB183A"/>
    <w:rsid w:val="00FB2A2D"/>
    <w:rsid w:val="00FD57D9"/>
    <w:rsid w:val="00FE39A5"/>
    <w:rsid w:val="00FF33E7"/>
    <w:rsid w:val="72C9C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5FF8A"/>
  <w15:chartTrackingRefBased/>
  <w15:docId w15:val="{B5FB7854-4FB9-504D-BDAB-BE439FD6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441"/>
    <w:rPr>
      <w:rFonts w:ascii="Times New Roman" w:eastAsia="Times New Roman" w:hAnsi="Times New Roman" w:cs="Times New Roman"/>
    </w:rPr>
  </w:style>
  <w:style w:type="paragraph" w:styleId="Heading1">
    <w:name w:val="heading 1"/>
    <w:aliases w:val="UNHLR Heading 1"/>
    <w:basedOn w:val="Normal"/>
    <w:next w:val="Normal"/>
    <w:link w:val="Heading1Char"/>
    <w:autoRedefine/>
    <w:qFormat/>
    <w:rsid w:val="00D625DD"/>
    <w:pPr>
      <w:keepNext/>
      <w:keepLines/>
      <w:numPr>
        <w:numId w:val="5"/>
      </w:numPr>
      <w:suppressAutoHyphens/>
      <w:spacing w:before="360" w:after="120"/>
      <w:outlineLvl w:val="0"/>
    </w:pPr>
    <w:rPr>
      <w:rFonts w:ascii="Myriad Pro" w:eastAsiaTheme="majorEastAsia" w:hAnsi="Myriad Pro" w:cs="Times New Roman (Headings CS)"/>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D625DD"/>
    <w:rPr>
      <w:rFonts w:ascii="Myriad Pro" w:eastAsiaTheme="majorEastAsia" w:hAnsi="Myriad Pro" w:cs="Times New Roman (Headings CS)"/>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Alegreya" w:eastAsiaTheme="minorEastAsia" w:hAnsi="Alegreya" w:cs="Times New Roman (Body CS)"/>
      <w:b/>
      <w:i/>
      <w:spacing w:val="4"/>
      <w:sz w:val="20"/>
    </w:rPr>
  </w:style>
  <w:style w:type="character" w:customStyle="1" w:styleId="Heading3Char">
    <w:name w:val="Heading 3 Char"/>
    <w:aliases w:val="UNHLR Heading 3 Char"/>
    <w:basedOn w:val="DefaultParagraphFont"/>
    <w:link w:val="Heading3"/>
    <w:rsid w:val="007B7652"/>
    <w:rPr>
      <w:rFonts w:ascii="Alegreya" w:eastAsiaTheme="minorEastAsia" w:hAnsi="Alegreya" w:cs="Times New Roman (Body CS)"/>
      <w:spacing w:val="4"/>
      <w:sz w:val="20"/>
    </w:rPr>
  </w:style>
  <w:style w:type="character" w:customStyle="1" w:styleId="Heading4Char">
    <w:name w:val="Heading 4 Char"/>
    <w:aliases w:val="UNHLR Heading 4 Char"/>
    <w:basedOn w:val="DefaultParagraphFont"/>
    <w:link w:val="Heading4"/>
    <w:rsid w:val="007B7652"/>
    <w:rPr>
      <w:rFonts w:ascii="Alegreya" w:eastAsiaTheme="minorEastAsia" w:hAnsi="Alegreya"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 w:val="21"/>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7B7652"/>
    <w:pPr>
      <w:ind w:firstLine="0"/>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37744"/>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semiHidden/>
    <w:rsid w:val="008D681D"/>
    <w:pPr>
      <w:spacing w:before="20"/>
      <w:ind w:firstLine="360"/>
      <w:jc w:val="both"/>
    </w:pPr>
    <w:rPr>
      <w:sz w:val="20"/>
      <w:szCs w:val="20"/>
    </w:rPr>
  </w:style>
  <w:style w:type="character" w:customStyle="1" w:styleId="CommentTextChar">
    <w:name w:val="Comment Text Char"/>
    <w:basedOn w:val="DefaultParagraphFont"/>
    <w:link w:val="CommentText"/>
    <w:uiPriority w:val="99"/>
    <w:semiHidden/>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hAnsi="Tahoma"/>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szCs w:val="20"/>
    </w:rPr>
  </w:style>
  <w:style w:type="paragraph" w:customStyle="1" w:styleId="LetteredList">
    <w:name w:val="Lettered List"/>
    <w:basedOn w:val="Normal"/>
    <w:rsid w:val="00414F57"/>
    <w:pPr>
      <w:numPr>
        <w:numId w:val="7"/>
      </w:numPr>
      <w:spacing w:before="20"/>
      <w:jc w:val="both"/>
    </w:pPr>
    <w:rPr>
      <w:szCs w:val="20"/>
    </w:rPr>
  </w:style>
  <w:style w:type="paragraph" w:styleId="TOC5">
    <w:name w:val="toc 5"/>
    <w:basedOn w:val="Normal"/>
    <w:next w:val="Normal"/>
    <w:autoRedefine/>
    <w:semiHidden/>
    <w:rsid w:val="00414F57"/>
    <w:pPr>
      <w:spacing w:before="20"/>
      <w:ind w:left="1040" w:firstLine="360"/>
      <w:jc w:val="both"/>
    </w:pPr>
    <w:rPr>
      <w:szCs w:val="20"/>
    </w:rPr>
  </w:style>
  <w:style w:type="paragraph" w:styleId="TOC6">
    <w:name w:val="toc 6"/>
    <w:basedOn w:val="Normal"/>
    <w:next w:val="Normal"/>
    <w:autoRedefine/>
    <w:semiHidden/>
    <w:rsid w:val="00414F57"/>
    <w:pPr>
      <w:spacing w:before="20"/>
      <w:ind w:left="1300" w:firstLine="360"/>
      <w:jc w:val="both"/>
    </w:pPr>
    <w:rPr>
      <w:szCs w:val="20"/>
    </w:rPr>
  </w:style>
  <w:style w:type="paragraph" w:styleId="TOC7">
    <w:name w:val="toc 7"/>
    <w:basedOn w:val="Normal"/>
    <w:next w:val="Normal"/>
    <w:autoRedefine/>
    <w:semiHidden/>
    <w:rsid w:val="00414F57"/>
    <w:pPr>
      <w:spacing w:before="20"/>
      <w:ind w:left="1560" w:firstLine="360"/>
      <w:jc w:val="both"/>
    </w:pPr>
    <w:rPr>
      <w:szCs w:val="20"/>
    </w:rPr>
  </w:style>
  <w:style w:type="paragraph" w:styleId="TOC8">
    <w:name w:val="toc 8"/>
    <w:basedOn w:val="Normal"/>
    <w:next w:val="Normal"/>
    <w:autoRedefine/>
    <w:semiHidden/>
    <w:rsid w:val="00414F57"/>
    <w:pPr>
      <w:spacing w:before="20"/>
      <w:ind w:left="1820" w:firstLine="360"/>
      <w:jc w:val="both"/>
    </w:pPr>
    <w:rPr>
      <w:szCs w:val="20"/>
    </w:rPr>
  </w:style>
  <w:style w:type="paragraph" w:styleId="TOC9">
    <w:name w:val="toc 9"/>
    <w:basedOn w:val="Normal"/>
    <w:next w:val="Normal"/>
    <w:autoRedefine/>
    <w:semiHidden/>
    <w:rsid w:val="00414F57"/>
    <w:pPr>
      <w:spacing w:before="20"/>
      <w:ind w:left="2080" w:firstLine="360"/>
      <w:jc w:val="both"/>
    </w:pPr>
    <w:rPr>
      <w:szCs w:val="20"/>
    </w:rPr>
  </w:style>
  <w:style w:type="paragraph" w:customStyle="1" w:styleId="BlockQuote">
    <w:name w:val="Block Quote"/>
    <w:basedOn w:val="Normal"/>
    <w:qFormat/>
    <w:rsid w:val="00414F57"/>
    <w:pPr>
      <w:spacing w:before="120" w:after="100"/>
      <w:ind w:left="720" w:right="720"/>
      <w:jc w:val="both"/>
    </w:pPr>
    <w:rPr>
      <w:szCs w:val="19"/>
    </w:rPr>
  </w:style>
  <w:style w:type="paragraph" w:customStyle="1" w:styleId="Epigraph">
    <w:name w:val="Epigraph"/>
    <w:basedOn w:val="Normal"/>
    <w:rsid w:val="00414F57"/>
    <w:pPr>
      <w:spacing w:before="20"/>
      <w:ind w:left="3600"/>
      <w:jc w:val="right"/>
    </w:pPr>
    <w:rPr>
      <w:szCs w:val="21"/>
    </w:rPr>
  </w:style>
  <w:style w:type="paragraph" w:customStyle="1" w:styleId="ArticleTitle">
    <w:name w:val="Article Title"/>
    <w:basedOn w:val="Normal"/>
    <w:rsid w:val="00414F57"/>
    <w:pPr>
      <w:spacing w:before="20"/>
      <w:jc w:val="center"/>
    </w:pPr>
    <w:rPr>
      <w:caps/>
      <w:sz w:val="32"/>
      <w:szCs w:val="20"/>
    </w:rPr>
  </w:style>
  <w:style w:type="paragraph" w:customStyle="1" w:styleId="YourName">
    <w:name w:val="Your Name"/>
    <w:basedOn w:val="Normal"/>
    <w:rsid w:val="00414F57"/>
    <w:pPr>
      <w:spacing w:before="20"/>
      <w:jc w:val="center"/>
    </w:pPr>
    <w:rPr>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spacing w:after="240"/>
    </w:pPr>
    <w:rPr>
      <w:rFonts w:eastAsiaTheme="minorHAnsi"/>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8"/>
      </w:numPr>
    </w:pPr>
  </w:style>
  <w:style w:type="numbering" w:customStyle="1" w:styleId="CurrentList2">
    <w:name w:val="Current List2"/>
    <w:uiPriority w:val="99"/>
    <w:rsid w:val="00414F57"/>
    <w:pPr>
      <w:numPr>
        <w:numId w:val="9"/>
      </w:numPr>
    </w:pPr>
  </w:style>
  <w:style w:type="numbering" w:customStyle="1" w:styleId="CurrentList3">
    <w:name w:val="Current List3"/>
    <w:uiPriority w:val="99"/>
    <w:rsid w:val="00414F57"/>
    <w:pPr>
      <w:numPr>
        <w:numId w:val="10"/>
      </w:numPr>
    </w:pPr>
  </w:style>
  <w:style w:type="numbering" w:customStyle="1" w:styleId="CurrentList4">
    <w:name w:val="Current List4"/>
    <w:uiPriority w:val="99"/>
    <w:rsid w:val="00414F57"/>
    <w:pPr>
      <w:numPr>
        <w:numId w:val="11"/>
      </w:numPr>
    </w:pPr>
  </w:style>
  <w:style w:type="numbering" w:customStyle="1" w:styleId="CurrentList5">
    <w:name w:val="Current List5"/>
    <w:uiPriority w:val="99"/>
    <w:rsid w:val="00414F57"/>
    <w:pPr>
      <w:numPr>
        <w:numId w:val="12"/>
      </w:numPr>
    </w:pPr>
  </w:style>
  <w:style w:type="numbering" w:customStyle="1" w:styleId="CurrentList6">
    <w:name w:val="Current List6"/>
    <w:uiPriority w:val="99"/>
    <w:rsid w:val="00414F57"/>
    <w:pPr>
      <w:numPr>
        <w:numId w:val="13"/>
      </w:numPr>
    </w:pPr>
  </w:style>
  <w:style w:type="paragraph" w:styleId="Bibliography">
    <w:name w:val="Bibliography"/>
    <w:basedOn w:val="Normal"/>
    <w:next w:val="Normal"/>
    <w:uiPriority w:val="70"/>
    <w:rsid w:val="00414F57"/>
    <w:pPr>
      <w:spacing w:before="20"/>
      <w:ind w:left="720" w:hanging="720"/>
      <w:jc w:val="both"/>
    </w:pPr>
    <w:rPr>
      <w:szCs w:val="20"/>
    </w:rPr>
  </w:style>
  <w:style w:type="paragraph" w:styleId="BalloonText">
    <w:name w:val="Balloon Text"/>
    <w:basedOn w:val="Normal"/>
    <w:link w:val="BalloonTextChar"/>
    <w:uiPriority w:val="99"/>
    <w:semiHidden/>
    <w:unhideWhenUsed/>
    <w:rsid w:val="00414F57"/>
    <w:pPr>
      <w:ind w:firstLine="360"/>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71"/>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spacing w:before="100" w:beforeAutospacing="1" w:after="100" w:afterAutospacing="1"/>
    </w:p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348412875">
          <w:marLeft w:val="0"/>
          <w:marRight w:val="0"/>
          <w:marTop w:val="0"/>
          <w:marBottom w:val="0"/>
          <w:divBdr>
            <w:top w:val="none" w:sz="0" w:space="0" w:color="212121"/>
            <w:left w:val="none" w:sz="0" w:space="0" w:color="212121"/>
            <w:bottom w:val="none" w:sz="0" w:space="0" w:color="212121"/>
            <w:right w:val="none" w:sz="0" w:space="0" w:color="212121"/>
          </w:divBdr>
          <w:divsChild>
            <w:div w:id="383336071">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993507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15">
          <w:marLeft w:val="0"/>
          <w:marRight w:val="0"/>
          <w:marTop w:val="0"/>
          <w:marBottom w:val="0"/>
          <w:divBdr>
            <w:top w:val="none" w:sz="0" w:space="0" w:color="212121"/>
            <w:left w:val="none" w:sz="0" w:space="0" w:color="212121"/>
            <w:bottom w:val="none" w:sz="0" w:space="0" w:color="212121"/>
            <w:right w:val="none" w:sz="0" w:space="0" w:color="212121"/>
          </w:divBdr>
          <w:divsChild>
            <w:div w:id="31229706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52835560">
      <w:bodyDiv w:val="1"/>
      <w:marLeft w:val="0"/>
      <w:marRight w:val="0"/>
      <w:marTop w:val="0"/>
      <w:marBottom w:val="0"/>
      <w:divBdr>
        <w:top w:val="none" w:sz="0" w:space="0" w:color="auto"/>
        <w:left w:val="none" w:sz="0" w:space="0" w:color="auto"/>
        <w:bottom w:val="none" w:sz="0" w:space="0" w:color="auto"/>
        <w:right w:val="none" w:sz="0" w:space="0" w:color="auto"/>
      </w:divBdr>
      <w:divsChild>
        <w:div w:id="568229747">
          <w:marLeft w:val="0"/>
          <w:marRight w:val="0"/>
          <w:marTop w:val="0"/>
          <w:marBottom w:val="0"/>
          <w:divBdr>
            <w:top w:val="none" w:sz="0" w:space="0" w:color="auto"/>
            <w:left w:val="none" w:sz="0" w:space="0" w:color="auto"/>
            <w:bottom w:val="none" w:sz="0" w:space="0" w:color="auto"/>
            <w:right w:val="none" w:sz="0" w:space="0" w:color="auto"/>
          </w:divBdr>
          <w:divsChild>
            <w:div w:id="159664674">
              <w:marLeft w:val="0"/>
              <w:marRight w:val="0"/>
              <w:marTop w:val="0"/>
              <w:marBottom w:val="0"/>
              <w:divBdr>
                <w:top w:val="none" w:sz="0" w:space="0" w:color="auto"/>
                <w:left w:val="none" w:sz="0" w:space="0" w:color="auto"/>
                <w:bottom w:val="none" w:sz="0" w:space="0" w:color="auto"/>
                <w:right w:val="none" w:sz="0" w:space="0" w:color="auto"/>
              </w:divBdr>
              <w:divsChild>
                <w:div w:id="1208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1701123726">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sChild>
                    <w:div w:id="1663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7631">
      <w:bodyDiv w:val="1"/>
      <w:marLeft w:val="0"/>
      <w:marRight w:val="0"/>
      <w:marTop w:val="0"/>
      <w:marBottom w:val="0"/>
      <w:divBdr>
        <w:top w:val="none" w:sz="0" w:space="0" w:color="auto"/>
        <w:left w:val="none" w:sz="0" w:space="0" w:color="auto"/>
        <w:bottom w:val="none" w:sz="0" w:space="0" w:color="auto"/>
        <w:right w:val="none" w:sz="0" w:space="0" w:color="auto"/>
      </w:divBdr>
      <w:divsChild>
        <w:div w:id="529300893">
          <w:marLeft w:val="0"/>
          <w:marRight w:val="0"/>
          <w:marTop w:val="0"/>
          <w:marBottom w:val="0"/>
          <w:divBdr>
            <w:top w:val="none" w:sz="0" w:space="0" w:color="212121"/>
            <w:left w:val="none" w:sz="0" w:space="0" w:color="212121"/>
            <w:bottom w:val="none" w:sz="0" w:space="0" w:color="212121"/>
            <w:right w:val="none" w:sz="0" w:space="0" w:color="212121"/>
          </w:divBdr>
          <w:divsChild>
            <w:div w:id="66833647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91641455">
      <w:bodyDiv w:val="1"/>
      <w:marLeft w:val="0"/>
      <w:marRight w:val="0"/>
      <w:marTop w:val="0"/>
      <w:marBottom w:val="0"/>
      <w:divBdr>
        <w:top w:val="none" w:sz="0" w:space="0" w:color="auto"/>
        <w:left w:val="none" w:sz="0" w:space="0" w:color="auto"/>
        <w:bottom w:val="none" w:sz="0" w:space="0" w:color="auto"/>
        <w:right w:val="none" w:sz="0" w:space="0" w:color="auto"/>
      </w:divBdr>
      <w:divsChild>
        <w:div w:id="1292977100">
          <w:marLeft w:val="0"/>
          <w:marRight w:val="0"/>
          <w:marTop w:val="0"/>
          <w:marBottom w:val="0"/>
          <w:divBdr>
            <w:top w:val="none" w:sz="0" w:space="0" w:color="212121"/>
            <w:left w:val="none" w:sz="0" w:space="0" w:color="212121"/>
            <w:bottom w:val="none" w:sz="0" w:space="0" w:color="212121"/>
            <w:right w:val="none" w:sz="0" w:space="0" w:color="212121"/>
          </w:divBdr>
          <w:divsChild>
            <w:div w:id="1064795023">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58302137">
      <w:bodyDiv w:val="1"/>
      <w:marLeft w:val="0"/>
      <w:marRight w:val="0"/>
      <w:marTop w:val="0"/>
      <w:marBottom w:val="0"/>
      <w:divBdr>
        <w:top w:val="none" w:sz="0" w:space="0" w:color="auto"/>
        <w:left w:val="none" w:sz="0" w:space="0" w:color="auto"/>
        <w:bottom w:val="none" w:sz="0" w:space="0" w:color="auto"/>
        <w:right w:val="none" w:sz="0" w:space="0" w:color="auto"/>
      </w:divBdr>
      <w:divsChild>
        <w:div w:id="808016990">
          <w:marLeft w:val="0"/>
          <w:marRight w:val="0"/>
          <w:marTop w:val="0"/>
          <w:marBottom w:val="0"/>
          <w:divBdr>
            <w:top w:val="none" w:sz="0" w:space="0" w:color="212121"/>
            <w:left w:val="none" w:sz="0" w:space="0" w:color="212121"/>
            <w:bottom w:val="none" w:sz="0" w:space="0" w:color="212121"/>
            <w:right w:val="none" w:sz="0" w:space="0" w:color="212121"/>
          </w:divBdr>
          <w:divsChild>
            <w:div w:id="41852641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511837894">
      <w:bodyDiv w:val="1"/>
      <w:marLeft w:val="0"/>
      <w:marRight w:val="0"/>
      <w:marTop w:val="0"/>
      <w:marBottom w:val="0"/>
      <w:divBdr>
        <w:top w:val="none" w:sz="0" w:space="0" w:color="auto"/>
        <w:left w:val="none" w:sz="0" w:space="0" w:color="auto"/>
        <w:bottom w:val="none" w:sz="0" w:space="0" w:color="auto"/>
        <w:right w:val="none" w:sz="0" w:space="0" w:color="auto"/>
      </w:divBdr>
      <w:divsChild>
        <w:div w:id="112481934">
          <w:marLeft w:val="0"/>
          <w:marRight w:val="0"/>
          <w:marTop w:val="0"/>
          <w:marBottom w:val="0"/>
          <w:divBdr>
            <w:top w:val="none" w:sz="0" w:space="0" w:color="auto"/>
            <w:left w:val="none" w:sz="0" w:space="0" w:color="auto"/>
            <w:bottom w:val="none" w:sz="0" w:space="0" w:color="auto"/>
            <w:right w:val="none" w:sz="0" w:space="0" w:color="auto"/>
          </w:divBdr>
          <w:divsChild>
            <w:div w:id="941228462">
              <w:marLeft w:val="0"/>
              <w:marRight w:val="0"/>
              <w:marTop w:val="0"/>
              <w:marBottom w:val="0"/>
              <w:divBdr>
                <w:top w:val="none" w:sz="0" w:space="0" w:color="auto"/>
                <w:left w:val="none" w:sz="0" w:space="0" w:color="auto"/>
                <w:bottom w:val="none" w:sz="0" w:space="0" w:color="auto"/>
                <w:right w:val="none" w:sz="0" w:space="0" w:color="auto"/>
              </w:divBdr>
              <w:divsChild>
                <w:div w:id="174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5796">
      <w:bodyDiv w:val="1"/>
      <w:marLeft w:val="0"/>
      <w:marRight w:val="0"/>
      <w:marTop w:val="0"/>
      <w:marBottom w:val="0"/>
      <w:divBdr>
        <w:top w:val="none" w:sz="0" w:space="0" w:color="auto"/>
        <w:left w:val="none" w:sz="0" w:space="0" w:color="auto"/>
        <w:bottom w:val="none" w:sz="0" w:space="0" w:color="auto"/>
        <w:right w:val="none" w:sz="0" w:space="0" w:color="auto"/>
      </w:divBdr>
      <w:divsChild>
        <w:div w:id="653030112">
          <w:marLeft w:val="0"/>
          <w:marRight w:val="0"/>
          <w:marTop w:val="0"/>
          <w:marBottom w:val="0"/>
          <w:divBdr>
            <w:top w:val="none" w:sz="0" w:space="0" w:color="212121"/>
            <w:left w:val="none" w:sz="0" w:space="0" w:color="212121"/>
            <w:bottom w:val="none" w:sz="0" w:space="0" w:color="212121"/>
            <w:right w:val="none" w:sz="0" w:space="0" w:color="212121"/>
          </w:divBdr>
          <w:divsChild>
            <w:div w:id="182520239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23746063">
      <w:bodyDiv w:val="1"/>
      <w:marLeft w:val="0"/>
      <w:marRight w:val="0"/>
      <w:marTop w:val="0"/>
      <w:marBottom w:val="0"/>
      <w:divBdr>
        <w:top w:val="none" w:sz="0" w:space="0" w:color="auto"/>
        <w:left w:val="none" w:sz="0" w:space="0" w:color="auto"/>
        <w:bottom w:val="none" w:sz="0" w:space="0" w:color="auto"/>
        <w:right w:val="none" w:sz="0" w:space="0" w:color="auto"/>
      </w:divBdr>
      <w:divsChild>
        <w:div w:id="922758806">
          <w:marLeft w:val="0"/>
          <w:marRight w:val="0"/>
          <w:marTop w:val="0"/>
          <w:marBottom w:val="0"/>
          <w:divBdr>
            <w:top w:val="none" w:sz="0" w:space="0" w:color="212121"/>
            <w:left w:val="none" w:sz="0" w:space="0" w:color="212121"/>
            <w:bottom w:val="none" w:sz="0" w:space="0" w:color="212121"/>
            <w:right w:val="none" w:sz="0" w:space="0" w:color="212121"/>
          </w:divBdr>
          <w:divsChild>
            <w:div w:id="33620970">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21092161">
      <w:bodyDiv w:val="1"/>
      <w:marLeft w:val="0"/>
      <w:marRight w:val="0"/>
      <w:marTop w:val="0"/>
      <w:marBottom w:val="0"/>
      <w:divBdr>
        <w:top w:val="none" w:sz="0" w:space="0" w:color="auto"/>
        <w:left w:val="none" w:sz="0" w:space="0" w:color="auto"/>
        <w:bottom w:val="none" w:sz="0" w:space="0" w:color="auto"/>
        <w:right w:val="none" w:sz="0" w:space="0" w:color="auto"/>
      </w:divBdr>
      <w:divsChild>
        <w:div w:id="200214407">
          <w:marLeft w:val="0"/>
          <w:marRight w:val="0"/>
          <w:marTop w:val="0"/>
          <w:marBottom w:val="0"/>
          <w:divBdr>
            <w:top w:val="none" w:sz="0" w:space="0" w:color="212121"/>
            <w:left w:val="none" w:sz="0" w:space="0" w:color="212121"/>
            <w:bottom w:val="none" w:sz="0" w:space="0" w:color="212121"/>
            <w:right w:val="none" w:sz="0" w:space="0" w:color="212121"/>
          </w:divBdr>
          <w:divsChild>
            <w:div w:id="107512426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61837104">
      <w:bodyDiv w:val="1"/>
      <w:marLeft w:val="0"/>
      <w:marRight w:val="0"/>
      <w:marTop w:val="0"/>
      <w:marBottom w:val="0"/>
      <w:divBdr>
        <w:top w:val="none" w:sz="0" w:space="0" w:color="auto"/>
        <w:left w:val="none" w:sz="0" w:space="0" w:color="auto"/>
        <w:bottom w:val="none" w:sz="0" w:space="0" w:color="auto"/>
        <w:right w:val="none" w:sz="0" w:space="0" w:color="auto"/>
      </w:divBdr>
      <w:divsChild>
        <w:div w:id="1703162495">
          <w:marLeft w:val="0"/>
          <w:marRight w:val="0"/>
          <w:marTop w:val="0"/>
          <w:marBottom w:val="0"/>
          <w:divBdr>
            <w:top w:val="none" w:sz="0" w:space="0" w:color="212121"/>
            <w:left w:val="none" w:sz="0" w:space="0" w:color="212121"/>
            <w:bottom w:val="none" w:sz="0" w:space="0" w:color="212121"/>
            <w:right w:val="none" w:sz="0" w:space="0" w:color="212121"/>
          </w:divBdr>
          <w:divsChild>
            <w:div w:id="90101687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95941474">
      <w:bodyDiv w:val="1"/>
      <w:marLeft w:val="0"/>
      <w:marRight w:val="0"/>
      <w:marTop w:val="0"/>
      <w:marBottom w:val="0"/>
      <w:divBdr>
        <w:top w:val="none" w:sz="0" w:space="0" w:color="auto"/>
        <w:left w:val="none" w:sz="0" w:space="0" w:color="auto"/>
        <w:bottom w:val="none" w:sz="0" w:space="0" w:color="auto"/>
        <w:right w:val="none" w:sz="0" w:space="0" w:color="auto"/>
      </w:divBdr>
      <w:divsChild>
        <w:div w:id="571890503">
          <w:marLeft w:val="0"/>
          <w:marRight w:val="0"/>
          <w:marTop w:val="0"/>
          <w:marBottom w:val="0"/>
          <w:divBdr>
            <w:top w:val="none" w:sz="0" w:space="0" w:color="212121"/>
            <w:left w:val="none" w:sz="0" w:space="0" w:color="212121"/>
            <w:bottom w:val="none" w:sz="0" w:space="0" w:color="212121"/>
            <w:right w:val="none" w:sz="0" w:space="0" w:color="212121"/>
          </w:divBdr>
          <w:divsChild>
            <w:div w:id="647325407">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358502637">
      <w:bodyDiv w:val="1"/>
      <w:marLeft w:val="0"/>
      <w:marRight w:val="0"/>
      <w:marTop w:val="0"/>
      <w:marBottom w:val="0"/>
      <w:divBdr>
        <w:top w:val="none" w:sz="0" w:space="0" w:color="auto"/>
        <w:left w:val="none" w:sz="0" w:space="0" w:color="auto"/>
        <w:bottom w:val="none" w:sz="0" w:space="0" w:color="auto"/>
        <w:right w:val="none" w:sz="0" w:space="0" w:color="auto"/>
      </w:divBdr>
      <w:divsChild>
        <w:div w:id="607543004">
          <w:marLeft w:val="0"/>
          <w:marRight w:val="0"/>
          <w:marTop w:val="0"/>
          <w:marBottom w:val="0"/>
          <w:divBdr>
            <w:top w:val="none" w:sz="0" w:space="0" w:color="auto"/>
            <w:left w:val="none" w:sz="0" w:space="0" w:color="auto"/>
            <w:bottom w:val="none" w:sz="0" w:space="0" w:color="auto"/>
            <w:right w:val="none" w:sz="0" w:space="0" w:color="auto"/>
          </w:divBdr>
          <w:divsChild>
            <w:div w:id="1441411053">
              <w:marLeft w:val="0"/>
              <w:marRight w:val="0"/>
              <w:marTop w:val="0"/>
              <w:marBottom w:val="0"/>
              <w:divBdr>
                <w:top w:val="none" w:sz="0" w:space="0" w:color="auto"/>
                <w:left w:val="none" w:sz="0" w:space="0" w:color="auto"/>
                <w:bottom w:val="none" w:sz="0" w:space="0" w:color="auto"/>
                <w:right w:val="none" w:sz="0" w:space="0" w:color="auto"/>
              </w:divBdr>
              <w:divsChild>
                <w:div w:id="846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8506">
      <w:bodyDiv w:val="1"/>
      <w:marLeft w:val="0"/>
      <w:marRight w:val="0"/>
      <w:marTop w:val="0"/>
      <w:marBottom w:val="0"/>
      <w:divBdr>
        <w:top w:val="none" w:sz="0" w:space="0" w:color="auto"/>
        <w:left w:val="none" w:sz="0" w:space="0" w:color="auto"/>
        <w:bottom w:val="none" w:sz="0" w:space="0" w:color="auto"/>
        <w:right w:val="none" w:sz="0" w:space="0" w:color="auto"/>
      </w:divBdr>
      <w:divsChild>
        <w:div w:id="836925510">
          <w:marLeft w:val="0"/>
          <w:marRight w:val="0"/>
          <w:marTop w:val="0"/>
          <w:marBottom w:val="0"/>
          <w:divBdr>
            <w:top w:val="none" w:sz="0" w:space="0" w:color="212121"/>
            <w:left w:val="none" w:sz="0" w:space="0" w:color="212121"/>
            <w:bottom w:val="none" w:sz="0" w:space="0" w:color="212121"/>
            <w:right w:val="none" w:sz="0" w:space="0" w:color="212121"/>
          </w:divBdr>
          <w:divsChild>
            <w:div w:id="9873196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464617031">
      <w:bodyDiv w:val="1"/>
      <w:marLeft w:val="0"/>
      <w:marRight w:val="0"/>
      <w:marTop w:val="0"/>
      <w:marBottom w:val="0"/>
      <w:divBdr>
        <w:top w:val="none" w:sz="0" w:space="0" w:color="auto"/>
        <w:left w:val="none" w:sz="0" w:space="0" w:color="auto"/>
        <w:bottom w:val="none" w:sz="0" w:space="0" w:color="auto"/>
        <w:right w:val="none" w:sz="0" w:space="0" w:color="auto"/>
      </w:divBdr>
      <w:divsChild>
        <w:div w:id="702559525">
          <w:marLeft w:val="0"/>
          <w:marRight w:val="0"/>
          <w:marTop w:val="0"/>
          <w:marBottom w:val="0"/>
          <w:divBdr>
            <w:top w:val="none" w:sz="0" w:space="0" w:color="212121"/>
            <w:left w:val="none" w:sz="0" w:space="0" w:color="212121"/>
            <w:bottom w:val="none" w:sz="0" w:space="0" w:color="212121"/>
            <w:right w:val="none" w:sz="0" w:space="0" w:color="212121"/>
          </w:divBdr>
          <w:divsChild>
            <w:div w:id="91894860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634795735">
      <w:bodyDiv w:val="1"/>
      <w:marLeft w:val="0"/>
      <w:marRight w:val="0"/>
      <w:marTop w:val="0"/>
      <w:marBottom w:val="0"/>
      <w:divBdr>
        <w:top w:val="none" w:sz="0" w:space="0" w:color="auto"/>
        <w:left w:val="none" w:sz="0" w:space="0" w:color="auto"/>
        <w:bottom w:val="none" w:sz="0" w:space="0" w:color="auto"/>
        <w:right w:val="none" w:sz="0" w:space="0" w:color="auto"/>
      </w:divBdr>
      <w:divsChild>
        <w:div w:id="865140815">
          <w:marLeft w:val="0"/>
          <w:marRight w:val="0"/>
          <w:marTop w:val="0"/>
          <w:marBottom w:val="0"/>
          <w:divBdr>
            <w:top w:val="none" w:sz="0" w:space="0" w:color="212121"/>
            <w:left w:val="none" w:sz="0" w:space="0" w:color="212121"/>
            <w:bottom w:val="none" w:sz="0" w:space="0" w:color="212121"/>
            <w:right w:val="none" w:sz="0" w:space="0" w:color="212121"/>
          </w:divBdr>
          <w:divsChild>
            <w:div w:id="6243124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769036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2745">
          <w:marLeft w:val="0"/>
          <w:marRight w:val="0"/>
          <w:marTop w:val="0"/>
          <w:marBottom w:val="0"/>
          <w:divBdr>
            <w:top w:val="none" w:sz="0" w:space="0" w:color="212121"/>
            <w:left w:val="none" w:sz="0" w:space="0" w:color="212121"/>
            <w:bottom w:val="none" w:sz="0" w:space="0" w:color="212121"/>
            <w:right w:val="none" w:sz="0" w:space="0" w:color="212121"/>
          </w:divBdr>
          <w:divsChild>
            <w:div w:id="142843101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889802152">
      <w:bodyDiv w:val="1"/>
      <w:marLeft w:val="0"/>
      <w:marRight w:val="0"/>
      <w:marTop w:val="0"/>
      <w:marBottom w:val="0"/>
      <w:divBdr>
        <w:top w:val="none" w:sz="0" w:space="0" w:color="auto"/>
        <w:left w:val="none" w:sz="0" w:space="0" w:color="auto"/>
        <w:bottom w:val="none" w:sz="0" w:space="0" w:color="auto"/>
        <w:right w:val="none" w:sz="0" w:space="0" w:color="auto"/>
      </w:divBdr>
      <w:divsChild>
        <w:div w:id="1120223943">
          <w:marLeft w:val="0"/>
          <w:marRight w:val="0"/>
          <w:marTop w:val="0"/>
          <w:marBottom w:val="0"/>
          <w:divBdr>
            <w:top w:val="none" w:sz="0" w:space="0" w:color="auto"/>
            <w:left w:val="none" w:sz="0" w:space="0" w:color="auto"/>
            <w:bottom w:val="none" w:sz="0" w:space="0" w:color="auto"/>
            <w:right w:val="none" w:sz="0" w:space="0" w:color="auto"/>
          </w:divBdr>
          <w:divsChild>
            <w:div w:id="665016948">
              <w:marLeft w:val="0"/>
              <w:marRight w:val="0"/>
              <w:marTop w:val="0"/>
              <w:marBottom w:val="0"/>
              <w:divBdr>
                <w:top w:val="none" w:sz="0" w:space="0" w:color="auto"/>
                <w:left w:val="none" w:sz="0" w:space="0" w:color="auto"/>
                <w:bottom w:val="none" w:sz="0" w:space="0" w:color="auto"/>
                <w:right w:val="none" w:sz="0" w:space="0" w:color="auto"/>
              </w:divBdr>
              <w:divsChild>
                <w:div w:id="155417563">
                  <w:marLeft w:val="0"/>
                  <w:marRight w:val="0"/>
                  <w:marTop w:val="0"/>
                  <w:marBottom w:val="0"/>
                  <w:divBdr>
                    <w:top w:val="none" w:sz="0" w:space="0" w:color="auto"/>
                    <w:left w:val="none" w:sz="0" w:space="0" w:color="auto"/>
                    <w:bottom w:val="none" w:sz="0" w:space="0" w:color="auto"/>
                    <w:right w:val="none" w:sz="0" w:space="0" w:color="auto"/>
                  </w:divBdr>
                  <w:divsChild>
                    <w:div w:id="180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5273">
      <w:bodyDiv w:val="1"/>
      <w:marLeft w:val="0"/>
      <w:marRight w:val="0"/>
      <w:marTop w:val="0"/>
      <w:marBottom w:val="0"/>
      <w:divBdr>
        <w:top w:val="none" w:sz="0" w:space="0" w:color="auto"/>
        <w:left w:val="none" w:sz="0" w:space="0" w:color="auto"/>
        <w:bottom w:val="none" w:sz="0" w:space="0" w:color="auto"/>
        <w:right w:val="none" w:sz="0" w:space="0" w:color="auto"/>
      </w:divBdr>
      <w:divsChild>
        <w:div w:id="17436523">
          <w:marLeft w:val="0"/>
          <w:marRight w:val="0"/>
          <w:marTop w:val="0"/>
          <w:marBottom w:val="0"/>
          <w:divBdr>
            <w:top w:val="none" w:sz="0" w:space="0" w:color="212121"/>
            <w:left w:val="none" w:sz="0" w:space="0" w:color="212121"/>
            <w:bottom w:val="none" w:sz="0" w:space="0" w:color="212121"/>
            <w:right w:val="none" w:sz="0" w:space="0" w:color="212121"/>
          </w:divBdr>
          <w:divsChild>
            <w:div w:id="145925627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redistricting.lls.edu/wp-content/uploads/KY-graham-20220120-complaint.pdf" TargetMode="External"/><Relationship Id="rId2" Type="http://schemas.openxmlformats.org/officeDocument/2006/relationships/hyperlink" Target="https://1-next-westlaw-com.ezproxy.princeton.edu/Link/Document/FullText?findType=L&amp;pubNum=1000249&amp;cite=NJCNART2S2P8&amp;originatingDoc=I810bd210853111eca4e4908e984ec08d&amp;refType=LQ&amp;originationContext=document&amp;transitionType=DocumentItem&amp;ppcid=1994766f9c1b4ffeb01c684a25aafc06&amp;contextData=(sc.Search)" TargetMode="External"/><Relationship Id="rId1" Type="http://schemas.openxmlformats.org/officeDocument/2006/relationships/hyperlink" Target="https://1-next-westlaw-com.ezproxy.princeton.edu/Link/Document/FullText?findType=L&amp;pubNum=1000249&amp;cite=NJCNART2S2P7&amp;originatingDoc=I810bd210853111eca4e4908e984ec08d&amp;refType=LQ&amp;originationContext=document&amp;transitionType=DocumentItem&amp;ppcid=1994766f9c1b4ffeb01c684a25aafc06&amp;contextData=(sc.Search)"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governor.kansas.gov/governor-laura-kelly-vetoes-congressional-redistricting-map-senate-bill-355/" TargetMode="External"/><Relationship Id="rId3" Type="http://schemas.openxmlformats.org/officeDocument/2006/relationships/hyperlink" Target="https://davesredistricting.org/maps" TargetMode="External"/><Relationship Id="rId7" Type="http://schemas.openxmlformats.org/officeDocument/2006/relationships/hyperlink" Target="https://www.cencus.gov/data/tables/2020/dec/2020-apportionment-data.html" TargetMode="External"/><Relationship Id="rId2" Type="http://schemas.openxmlformats.org/officeDocument/2006/relationships/hyperlink" Target="https://www.cnn.com/election/2020/exit-polls/president/south-carolina" TargetMode="External"/><Relationship Id="rId1" Type="http://schemas.openxmlformats.org/officeDocument/2006/relationships/hyperlink" Target="https://www.cnn.com/election/2020/exit-polls/president/georgia" TargetMode="External"/><Relationship Id="rId6" Type="http://schemas.openxmlformats.org/officeDocument/2006/relationships/hyperlink" Target="https://davesredistricting.org" TargetMode="External"/><Relationship Id="rId5" Type="http://schemas.openxmlformats.org/officeDocument/2006/relationships/hyperlink" Target="https://github.com/PlanScore" TargetMode="External"/><Relationship Id="rId10" Type="http://schemas.openxmlformats.org/officeDocument/2006/relationships/hyperlink" Target="https://www.washingtonpost.com/dc-md-va/2021/10/20/virginia-congressional-redistricting-gridlock/" TargetMode="External"/><Relationship Id="rId4" Type="http://schemas.openxmlformats.org/officeDocument/2006/relationships/hyperlink" Target="https://github.com/PlanScore" TargetMode="External"/><Relationship Id="rId9" Type="http://schemas.openxmlformats.org/officeDocument/2006/relationships/hyperlink" Target="https://content.govdelivery.com/accounts/WIGOV/bulletins/2fcd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73</Pages>
  <Words>15825</Words>
  <Characters>90206</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Roger</dc:creator>
  <cp:keywords/>
  <dc:description/>
  <cp:lastModifiedBy>Jonathan Cervas</cp:lastModifiedBy>
  <cp:revision>43</cp:revision>
  <cp:lastPrinted>2018-10-17T21:50:00Z</cp:lastPrinted>
  <dcterms:created xsi:type="dcterms:W3CDTF">2023-06-20T19:59:00Z</dcterms:created>
  <dcterms:modified xsi:type="dcterms:W3CDTF">2023-06-29T21:05:00Z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id="R1gET3rG"/&gt;&lt;style id="http://www.zotero.org/styles/bluebook-inline" hasBibliography="0" bibliographyStyleHasBeenSet="0"/&gt;&lt;prefs&gt;&lt;pref name="fieldType" value="Field"/&gt;&lt;/prefs&gt;&lt;/data&gt;</vt:lpwstr>
  </property>
</Properties>
</file>