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945D" w14:textId="77777777" w:rsidR="00F90640" w:rsidRDefault="00F90640" w:rsidP="00F90640">
      <w:pPr>
        <w:pStyle w:val="Heading1"/>
      </w:pPr>
      <w:r>
        <w:t>20. Glossary</w:t>
      </w:r>
    </w:p>
    <w:p w14:paraId="0C24ACCC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This glossary defines all canonical terminology used across the Unified Framework Specification (UF-Spec) v1.3.0.</w:t>
      </w: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Every term listed herein is considered normative.</w:t>
      </w: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Abbreviations are used only after being introduced with their full form in the specification text.</w:t>
      </w:r>
    </w:p>
    <w:p w14:paraId="7605CEFF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1527F7A">
          <v:rect id="_x0000_i1025" style="width:0;height:1.5pt" o:hralign="center" o:hrstd="t" o:hr="t" fillcolor="#a0a0a0" stroked="f"/>
        </w:pict>
      </w:r>
    </w:p>
    <w:p w14:paraId="57E2F203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20.1 Structural Entities</w:t>
      </w:r>
    </w:p>
    <w:p w14:paraId="386B542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Field</w:t>
      </w:r>
    </w:p>
    <w:p w14:paraId="088827B3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time-indexed set of observations.</w:t>
      </w:r>
    </w:p>
    <w:p w14:paraId="6A67B519" w14:textId="77777777" w:rsidR="00F90640" w:rsidRPr="00823DB6" w:rsidRDefault="00F90640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F(t)=[x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1 (t),…,x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n (t)]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79B6D54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State Embedding Vector (SEV)</w:t>
      </w:r>
    </w:p>
    <w:p w14:paraId="10BE02EA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The normalized, structurally relevant representation of field inputs.</w:t>
      </w: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Contains: values, first differences, local variance, relevance, and negative-space flag.</w:t>
      </w:r>
    </w:p>
    <w:p w14:paraId="648284DA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Gate (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G_k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7E2F81B9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contiguous structural segment defined by threshold-based deviations or negative-space transitions.</w:t>
      </w:r>
    </w:p>
    <w:p w14:paraId="7F9090F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Time–Volume–Relevance Vector (TVR)</w:t>
      </w:r>
    </w:p>
    <w:p w14:paraId="68153568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fingerprint describing a gate’s duration, intensity, relevance, variance, and curvature.</w:t>
      </w:r>
    </w:p>
    <w:p w14:paraId="10AEB81E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Mosaic (M)</w:t>
      </w:r>
    </w:p>
    <w:p w14:paraId="19DA0881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discrete lattice that embeds gates into a fixed coordinate system for structural comparison.</w:t>
      </w:r>
    </w:p>
    <w:p w14:paraId="5C84F9C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Multi-Lattice Mosaic Architecture (MLMA)</w:t>
      </w:r>
    </w:p>
    <w:p w14:paraId="746F3AFB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Parallel mosaics </w:t>
      </w:r>
      <w:proofErr w:type="gramStart"/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used</w:t>
      </w:r>
      <w:proofErr w:type="gramEnd"/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increase structural separability and domain robustness.</w:t>
      </w:r>
    </w:p>
    <w:p w14:paraId="6A369A6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Cluster (</w:t>
      </w:r>
      <w:proofErr w:type="gramStart"/>
      <w:r w:rsidRPr="00823DB6">
        <w:rPr>
          <w:rFonts w:ascii="Cambria Math" w:eastAsia="Times New Roman" w:hAnsi="Cambria Math" w:cs="Cambria Math"/>
          <w:b/>
          <w:bCs/>
          <w:sz w:val="27"/>
          <w:szCs w:val="27"/>
          <w:lang w:eastAsia="zh-CN"/>
        </w:rPr>
        <w:t>𝒢</w:t>
      </w: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  <w:proofErr w:type="gramEnd"/>
    </w:p>
    <w:p w14:paraId="4BCE5EEC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A group of structurally equivalent gates defined by consistent class labels and coherence metrics.</w:t>
      </w:r>
    </w:p>
    <w:p w14:paraId="471C671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Tapestry (</w:t>
      </w:r>
      <w:proofErr w:type="gramStart"/>
      <w:r w:rsidRPr="00823DB6">
        <w:rPr>
          <w:rFonts w:ascii="Cambria Math" w:eastAsia="Times New Roman" w:hAnsi="Cambria Math" w:cs="Cambria Math"/>
          <w:b/>
          <w:bCs/>
          <w:sz w:val="27"/>
          <w:szCs w:val="27"/>
          <w:lang w:eastAsia="zh-CN"/>
        </w:rPr>
        <w:t>𝒯</w:t>
      </w: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  <w:proofErr w:type="gramEnd"/>
    </w:p>
    <w:p w14:paraId="27ABB1A7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multi-layer composite structure integrating clusters, mosaics, resonance fields, schema memory, anchors, and decision surfaces.</w:t>
      </w:r>
    </w:p>
    <w:p w14:paraId="00CB1469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Schema (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S_i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09DAB13A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long-term structural memory unit representing a recurrent shape, pattern, or gate-class configuration.</w:t>
      </w:r>
    </w:p>
    <w:p w14:paraId="25CDB093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SchemaGraph</w:t>
      </w:r>
      <w:proofErr w:type="spellEnd"/>
    </w:p>
    <w:p w14:paraId="5EFBC6B6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graph of schema units connected by structural similarity or temporal adjacency.</w:t>
      </w:r>
    </w:p>
    <w:p w14:paraId="7C032B5D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Temporal Anchor (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A_i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20A37EE1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stored reference to a significant structural event, used for contextual reasoning.</w:t>
      </w:r>
    </w:p>
    <w:p w14:paraId="3B474D63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4F15A10">
          <v:rect id="_x0000_i1026" style="width:0;height:1.5pt" o:hralign="center" o:hrstd="t" o:hr="t" fillcolor="#a0a0a0" stroked="f"/>
        </w:pict>
      </w:r>
    </w:p>
    <w:p w14:paraId="3970AC0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20.2 Operators</w:t>
      </w:r>
    </w:p>
    <w:p w14:paraId="328452F3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Gate Deviation Operator — D(t)</w:t>
      </w:r>
    </w:p>
    <w:p w14:paraId="196EF5EB" w14:textId="77777777" w:rsidR="00F90640" w:rsidRPr="00823DB6" w:rsidRDefault="00F90640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D(t)=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∥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SEV(t)-SEV(t-1)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∥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0DCF058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Adaptive Threshold — τ(t)</w:t>
      </w:r>
    </w:p>
    <w:p w14:paraId="46FD2DBF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Dynamic gate-opening threshold based on local variance.</w:t>
      </w:r>
    </w:p>
    <w:p w14:paraId="79D0C0B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Gate Merge — μ</w:t>
      </w:r>
    </w:p>
    <w:p w14:paraId="587D2B01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Operator that combines two structurally similar gates.</w:t>
      </w:r>
    </w:p>
    <w:p w14:paraId="54E7A3FF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Gate Split —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σ_g</w:t>
      </w:r>
      <w:proofErr w:type="spellEnd"/>
    </w:p>
    <w:p w14:paraId="558B5749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Operator that segments a gate when internal deviation exceeds threshold.</w:t>
      </w:r>
    </w:p>
    <w:p w14:paraId="5DA069B4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Gate Drift —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δ_g</w:t>
      </w:r>
      <w:proofErr w:type="spellEnd"/>
    </w:p>
    <w:p w14:paraId="6E040497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Small correction applied when curvature or variance changes gradually.</w:t>
      </w:r>
    </w:p>
    <w:p w14:paraId="2B310BC5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 xml:space="preserve">Cluster Merge —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μ_c</w:t>
      </w:r>
      <w:proofErr w:type="spellEnd"/>
    </w:p>
    <w:p w14:paraId="139D423C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Aggregates clusters with high structural similarity.</w:t>
      </w:r>
    </w:p>
    <w:p w14:paraId="1302BE15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Cluster Split —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σ_c</w:t>
      </w:r>
      <w:proofErr w:type="spellEnd"/>
    </w:p>
    <w:p w14:paraId="6B42EDA3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Divides clusters when internal resonance variance exceeds a threshold.</w:t>
      </w:r>
    </w:p>
    <w:p w14:paraId="01A38765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Cluster Drift —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δ_c</w:t>
      </w:r>
      <w:proofErr w:type="spellEnd"/>
    </w:p>
    <w:p w14:paraId="798DE6DC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Updates cluster centroid in mosaic space.</w:t>
      </w:r>
    </w:p>
    <w:p w14:paraId="53DE767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Mosaic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Regrid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— ρ</w:t>
      </w:r>
    </w:p>
    <w:p w14:paraId="187391DE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Redistributes mosaic cells when sparsity or density thresholds are violated.</w:t>
      </w:r>
    </w:p>
    <w:p w14:paraId="24AFB4F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Mosaic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Relocalization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— λ</w:t>
      </w:r>
    </w:p>
    <w:p w14:paraId="03BD1303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Moves</w:t>
      </w:r>
      <w:proofErr w:type="gramEnd"/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 gate to a corrected mosaic cell if misclassified.</w:t>
      </w:r>
    </w:p>
    <w:p w14:paraId="078F19EF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Expansion Operator — ξ</w:t>
      </w:r>
    </w:p>
    <w:p w14:paraId="17E29003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Increases contextual radius (breathing expansion).</w:t>
      </w:r>
    </w:p>
    <w:p w14:paraId="69BB80AE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Contraction Operator — χ</w:t>
      </w:r>
    </w:p>
    <w:p w14:paraId="594478E3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Decreases contextual radius (breathing contraction).</w:t>
      </w:r>
    </w:p>
    <w:p w14:paraId="32DE88F6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Schema Reinforcement —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γ_s</w:t>
      </w:r>
      <w:proofErr w:type="spellEnd"/>
    </w:p>
    <w:p w14:paraId="1E391FCF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Strengthens schema when aligned with high-resonance gates.</w:t>
      </w:r>
    </w:p>
    <w:p w14:paraId="108604E5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Schema Pruning — π_s</w:t>
      </w:r>
    </w:p>
    <w:p w14:paraId="00767D9E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Removes schemas failing entropy or relevance thresholds.</w:t>
      </w:r>
    </w:p>
    <w:p w14:paraId="5CBDC142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Schema Mutation — 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μ_s</w:t>
      </w:r>
      <w:proofErr w:type="spellEnd"/>
    </w:p>
    <w:p w14:paraId="76ABD6EB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Creates a new schema variant when drift conditions are met.</w:t>
      </w:r>
    </w:p>
    <w:p w14:paraId="3960E7CA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Schema Linking — ℓ_s</w:t>
      </w:r>
    </w:p>
    <w:p w14:paraId="55A8F1F2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Creates connections between structurally similar schemas.</w:t>
      </w:r>
    </w:p>
    <w:p w14:paraId="4D56A848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Coarse-Graining Operator — Γ</w:t>
      </w:r>
    </w:p>
    <w:p w14:paraId="1082A40E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Reduces tapestry complexity while preserving class-level structure.</w:t>
      </w:r>
    </w:p>
    <w:p w14:paraId="7EDC7503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A19037D">
          <v:rect id="_x0000_i1027" style="width:0;height:1.5pt" o:hralign="center" o:hrstd="t" o:hr="t" fillcolor="#a0a0a0" stroked="f"/>
        </w:pict>
      </w:r>
    </w:p>
    <w:p w14:paraId="6A8202AD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20.3 Layer Outputs</w:t>
      </w:r>
    </w:p>
    <w:p w14:paraId="18AD9A2A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Normalized Structural Field (NSF)</w:t>
      </w:r>
    </w:p>
    <w:p w14:paraId="570005A3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Output of L0, containing SEVs.</w:t>
      </w:r>
    </w:p>
    <w:p w14:paraId="36E529E3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Interpretive Structural Field (ISF)</w:t>
      </w:r>
    </w:p>
    <w:p w14:paraId="1084C3FB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Output of L2, containing interpretive weights, contrast vectors, regime labels.</w:t>
      </w:r>
    </w:p>
    <w:p w14:paraId="505F37D8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Unified Resonance Field (URF)</w:t>
      </w:r>
    </w:p>
    <w:p w14:paraId="6FEE3421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Output of L3, containing resonance values, coherence clusters, contextual gates.</w:t>
      </w:r>
    </w:p>
    <w:p w14:paraId="2052CDF3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Decision Surface Field (DSF)</w:t>
      </w:r>
    </w:p>
    <w:p w14:paraId="23B3B5C7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Output of L4, containing directional probabilities, momentum gradients, reversal probabilities, refined signals.</w:t>
      </w:r>
    </w:p>
    <w:p w14:paraId="4051463F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CA7868F">
          <v:rect id="_x0000_i1028" style="width:0;height:1.5pt" o:hralign="center" o:hrstd="t" o:hr="t" fillcolor="#a0a0a0" stroked="f"/>
        </w:pict>
      </w:r>
    </w:p>
    <w:p w14:paraId="0900A626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20.4 Metrics and Measures</w:t>
      </w:r>
    </w:p>
    <w:p w14:paraId="78F2A95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Coherence (C(</w:t>
      </w:r>
      <w:proofErr w:type="gramStart"/>
      <w:r w:rsidRPr="00823DB6">
        <w:rPr>
          <w:rFonts w:ascii="Cambria Math" w:eastAsia="Times New Roman" w:hAnsi="Cambria Math" w:cs="Cambria Math"/>
          <w:b/>
          <w:bCs/>
          <w:sz w:val="27"/>
          <w:szCs w:val="27"/>
          <w:lang w:eastAsia="zh-CN"/>
        </w:rPr>
        <w:t>𝒢</w:t>
      </w: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))</w:t>
      </w:r>
      <w:proofErr w:type="gramEnd"/>
    </w:p>
    <w:p w14:paraId="10565408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Average resonance alignment within a cluster.</w:t>
      </w:r>
    </w:p>
    <w:p w14:paraId="5AE27505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Contrast Vector (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CV_k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3CB030E9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Difference between a gate’s TVR and its local baseline.</w:t>
      </w:r>
    </w:p>
    <w:p w14:paraId="4E512A4B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Regime</w:t>
      </w:r>
    </w:p>
    <w:p w14:paraId="1AD05C4F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Classification of structural stability (stable, transitional, volatile).</w:t>
      </w:r>
    </w:p>
    <w:p w14:paraId="46720D1A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Uncertainty (U)</w:t>
      </w:r>
    </w:p>
    <w:p w14:paraId="206D8673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Scalar measure capturing interpretive ambiguity or structural conflict.</w:t>
      </w:r>
    </w:p>
    <w:p w14:paraId="24CBA1C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Schema Entropy (H)</w:t>
      </w:r>
    </w:p>
    <w:p w14:paraId="33091087" w14:textId="77777777" w:rsidR="00F90640" w:rsidRPr="00823DB6" w:rsidRDefault="00F90640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H=-∑p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 log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⁡p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DCBD358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Represents distributional diversity across schema classes.</w:t>
      </w:r>
    </w:p>
    <w:p w14:paraId="0F77E20A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Breathing Variance (Var(B))</w:t>
      </w:r>
    </w:p>
    <w:p w14:paraId="052751E8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Variance in dynamic expansion/contraction amplitude over time.</w:t>
      </w:r>
    </w:p>
    <w:p w14:paraId="507DF491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Tapestry Drift</w:t>
      </w:r>
    </w:p>
    <w:p w14:paraId="0B1C3CDD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Measure of change between successive tapestry structures.</w:t>
      </w:r>
    </w:p>
    <w:p w14:paraId="5557AA20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1E205F9">
          <v:rect id="_x0000_i1029" style="width:0;height:1.5pt" o:hralign="center" o:hrstd="t" o:hr="t" fillcolor="#a0a0a0" stroked="f"/>
        </w:pict>
      </w:r>
    </w:p>
    <w:p w14:paraId="1F265E2D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20.5 Stability and Robustness Measures</w:t>
      </w:r>
    </w:p>
    <w:p w14:paraId="1DF7A1F1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Global Stability Functional (S(UF))</w:t>
      </w:r>
    </w:p>
    <w:p w14:paraId="400C59DE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Weighted function combining coherence, entropy, breathing variance, uncertainty, and tapestry drift.</w:t>
      </w:r>
    </w:p>
    <w:p w14:paraId="34E05FC8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Robustness Index (R(UF))</w:t>
      </w:r>
    </w:p>
    <w:p w14:paraId="1EC75619" w14:textId="77777777" w:rsidR="00F90640" w:rsidRPr="00823DB6" w:rsidRDefault="00F90640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R(UF)=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E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[S(UF)∣perturbations]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603EB9C6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Expected global stability under noise, adversarial patterns, or parameter shifts.</w:t>
      </w:r>
    </w:p>
    <w:p w14:paraId="6169BFB6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ConservativeMode</w:t>
      </w:r>
      <w:proofErr w:type="spellEnd"/>
    </w:p>
    <w:p w14:paraId="30ECA0B4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State where UF reduces self-organization aggression and breathing amplitude due to low S(UF).</w:t>
      </w:r>
    </w:p>
    <w:p w14:paraId="00DDEF56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SafeMode</w:t>
      </w:r>
      <w:proofErr w:type="spellEnd"/>
    </w:p>
    <w:p w14:paraId="5D3376D4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State where UF suspends schema updates and restricts domain actions due to input, parameter, or cross-layer violations.</w:t>
      </w:r>
    </w:p>
    <w:p w14:paraId="1A6292E3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70BFC1E">
          <v:rect id="_x0000_i1030" style="width:0;height:1.5pt" o:hralign="center" o:hrstd="t" o:hr="t" fillcolor="#a0a0a0" stroked="f"/>
        </w:pict>
      </w:r>
    </w:p>
    <w:p w14:paraId="52A9D4AC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20.6 Validation and Test Terms</w:t>
      </w:r>
    </w:p>
    <w:p w14:paraId="5850ABE4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Noise Perturbation (ε)</w:t>
      </w:r>
    </w:p>
    <w:p w14:paraId="29DF28C4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Magnitude of injected random distortion used in robustness testing.</w:t>
      </w:r>
    </w:p>
    <w:p w14:paraId="712B9FFF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Adversarial Structure</w:t>
      </w:r>
    </w:p>
    <w:p w14:paraId="31A5EDB4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Constructed data designed to mimic valid structure while being fundamentally misleading.</w:t>
      </w:r>
    </w:p>
    <w:p w14:paraId="459CD3CE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Parameter Perturbation (ΔΘ)</w:t>
      </w:r>
    </w:p>
    <w:p w14:paraId="2C764F44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Random variations applied to operator thresholds during robustness tests.</w:t>
      </w:r>
    </w:p>
    <w:p w14:paraId="51CBBDD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Lattice Conflict</w:t>
      </w:r>
    </w:p>
    <w:p w14:paraId="103ECEA7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Mismatch between class assignments across multi-lattice projections.</w:t>
      </w:r>
    </w:p>
    <w:p w14:paraId="548AA593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Cross-Layer Consistency Indicator</w:t>
      </w:r>
    </w:p>
    <w:p w14:paraId="65FEC820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Signal showing whether L1–L4 outputs satisfy inter-layer alignment constraints.</w:t>
      </w:r>
    </w:p>
    <w:p w14:paraId="7A5057A7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1D402DC">
          <v:rect id="_x0000_i1031" style="width:0;height:1.5pt" o:hralign="center" o:hrstd="t" o:hr="t" fillcolor="#a0a0a0" stroked="f"/>
        </w:pict>
      </w:r>
    </w:p>
    <w:p w14:paraId="773F8E5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20.7 Memory System Terms</w:t>
      </w:r>
    </w:p>
    <w:p w14:paraId="5C437B96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Short-Term Memory (STM)</w:t>
      </w:r>
    </w:p>
    <w:p w14:paraId="23E91252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Holds recent SEVs and active gates.</w:t>
      </w:r>
    </w:p>
    <w:p w14:paraId="3F708BB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Medium-Term Memory (MTM)</w:t>
      </w:r>
    </w:p>
    <w:p w14:paraId="5BABA5BE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Holds recent gate sequences, anchors, and cluster history.</w:t>
      </w:r>
    </w:p>
    <w:p w14:paraId="63025CD0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Long-Term Memory (LTM)</w:t>
      </w:r>
    </w:p>
    <w:p w14:paraId="6CAF7BE4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Stores schema prototypes and the </w:t>
      </w:r>
      <w:proofErr w:type="spellStart"/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SchemaGraph</w:t>
      </w:r>
      <w:proofErr w:type="spellEnd"/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2330BBFC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LTM Modulation Cap (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ε_LTM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1FA88A97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Limit on how strongly LTM can influence interpretive weights.</w:t>
      </w:r>
    </w:p>
    <w:p w14:paraId="1FD986BE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D7E8458">
          <v:rect id="_x0000_i1032" style="width:0;height:1.5pt" o:hralign="center" o:hrstd="t" o:hr="t" fillcolor="#a0a0a0" stroked="f"/>
        </w:pict>
      </w:r>
    </w:p>
    <w:p w14:paraId="7712F03A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20.8 Encryption and Security Terms</w:t>
      </w:r>
    </w:p>
    <w:p w14:paraId="2C96CCAB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Structural Encryption System (SES)</w:t>
      </w:r>
    </w:p>
    <w:p w14:paraId="30368FAB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UF-dependent encryption combining multi-perspective encoding, mosaic distortion, resonance keys, and negative-space channels.</w:t>
      </w:r>
    </w:p>
    <w:p w14:paraId="38325AE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Resonance Key (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K_r</w:t>
      </w:r>
      <w:proofErr w:type="spell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7ED62A34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Key derived from gate resonance, schema state, and SES version.</w:t>
      </w:r>
    </w:p>
    <w:p w14:paraId="791E085F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Compatibility Layer</w:t>
      </w:r>
    </w:p>
    <w:p w14:paraId="10340B8B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Decouples SES versioning from UF versioning for backward compatibility.</w:t>
      </w:r>
    </w:p>
    <w:p w14:paraId="37AB7DAE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Salt_crypto</w:t>
      </w:r>
      <w:proofErr w:type="spellEnd"/>
    </w:p>
    <w:p w14:paraId="4901602A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Independent cryptographic salt added to SES output.</w:t>
      </w:r>
    </w:p>
    <w:p w14:paraId="54D310EF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9A7F652">
          <v:rect id="_x0000_i1033" style="width:0;height:1.5pt" o:hralign="center" o:hrstd="t" o:hr="t" fillcolor="#a0a0a0" stroked="f"/>
        </w:pict>
      </w:r>
    </w:p>
    <w:p w14:paraId="403D8D52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20.9 Governance and Versioning Terms</w:t>
      </w:r>
    </w:p>
    <w:p w14:paraId="14635D3B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UF Version (UF-</w:t>
      </w:r>
      <w:proofErr w:type="spell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vX.</w:t>
      </w:r>
      <w:proofErr w:type="gram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Y.Z</w:t>
      </w:r>
      <w:proofErr w:type="spellEnd"/>
      <w:proofErr w:type="gram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42FC5D20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Semantic versioning for the Unified Framework.</w:t>
      </w:r>
    </w:p>
    <w:p w14:paraId="668D7368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SES Version (SES-</w:t>
      </w:r>
      <w:proofErr w:type="spellStart"/>
      <w:proofErr w:type="gramStart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vA.B</w:t>
      </w:r>
      <w:proofErr w:type="spellEnd"/>
      <w:proofErr w:type="gramEnd"/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)</w:t>
      </w:r>
    </w:p>
    <w:p w14:paraId="5B91545E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Versioning for encryption subsystem independent from UF.</w:t>
      </w:r>
    </w:p>
    <w:p w14:paraId="715E701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Structural Invariant</w:t>
      </w:r>
    </w:p>
    <w:p w14:paraId="4EFF094E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A rule or constraint that must not change outside major version increments.</w:t>
      </w:r>
    </w:p>
    <w:p w14:paraId="2914E55B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BA14CCF">
          <v:rect id="_x0000_i1034" style="width:0;height:1.5pt" o:hralign="center" o:hrstd="t" o:hr="t" fillcolor="#a0a0a0" stroked="f"/>
        </w:pict>
      </w:r>
    </w:p>
    <w:p w14:paraId="21AF9CBE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20.10 Domain Adapter Terms</w:t>
      </w:r>
    </w:p>
    <w:p w14:paraId="691CDFD7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Domain Adapter (L5 Module)</w:t>
      </w:r>
    </w:p>
    <w:p w14:paraId="13C42B80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Stateless mapping from DSF to domain-specific actions.</w:t>
      </w:r>
    </w:p>
    <w:p w14:paraId="67C592A8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Adapter Integrity Check</w:t>
      </w:r>
    </w:p>
    <w:p w14:paraId="219829F9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Verification step ensuring L5 modules cannot modify UF internal state.</w:t>
      </w:r>
    </w:p>
    <w:p w14:paraId="658F015C" w14:textId="77777777" w:rsidR="00F90640" w:rsidRPr="00823DB6" w:rsidRDefault="00510CD2" w:rsidP="00F9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60C4A56">
          <v:rect id="_x0000_i1035" style="width:0;height:1.5pt" o:hralign="center" o:hrstd="t" o:hr="t" fillcolor="#a0a0a0" stroked="f"/>
        </w:pict>
      </w:r>
    </w:p>
    <w:p w14:paraId="3A340056" w14:textId="77777777" w:rsidR="00F90640" w:rsidRPr="00823DB6" w:rsidRDefault="00F90640" w:rsidP="00F90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823D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20.11 Summary</w:t>
      </w:r>
    </w:p>
    <w:p w14:paraId="77FDBBE1" w14:textId="77777777" w:rsidR="00F90640" w:rsidRPr="00823DB6" w:rsidRDefault="00F90640" w:rsidP="00F9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t>Section 20 defines the full, authoritative vocabulary for UF-Spec v1.3.0.</w:t>
      </w:r>
      <w:r w:rsidRPr="00823DB6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All terms, abbreviations, and operators are standardized here for internal coherence, legal clarity, and engineering precision.</w:t>
      </w:r>
    </w:p>
    <w:p w14:paraId="75B47644" w14:textId="77777777" w:rsidR="00604859" w:rsidRDefault="00604859"/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40"/>
    <w:rsid w:val="00062EF4"/>
    <w:rsid w:val="00510CD2"/>
    <w:rsid w:val="00604859"/>
    <w:rsid w:val="006479F0"/>
    <w:rsid w:val="006A2787"/>
    <w:rsid w:val="00B2692A"/>
    <w:rsid w:val="00BC5D80"/>
    <w:rsid w:val="00F9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35C6D84"/>
  <w15:chartTrackingRefBased/>
  <w15:docId w15:val="{401AF963-F8AC-4FA3-9AB3-B6B2E61D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640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6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4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4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4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4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4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4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4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0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4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0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4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0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40"/>
    <w:pPr>
      <w:spacing w:after="160" w:line="278" w:lineRule="auto"/>
      <w:ind w:left="720"/>
      <w:contextualSpacing/>
    </w:pPr>
    <w:rPr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0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834</Words>
  <Characters>5726</Characters>
  <Application>Microsoft Office Word</Application>
  <DocSecurity>0</DocSecurity>
  <Lines>167</Lines>
  <Paragraphs>139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2</cp:revision>
  <dcterms:created xsi:type="dcterms:W3CDTF">2025-11-24T12:57:00Z</dcterms:created>
  <dcterms:modified xsi:type="dcterms:W3CDTF">2026-01-01T19:15:00Z</dcterms:modified>
</cp:coreProperties>
</file>