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UF-Spec v1.4.0 – Part I – L2</w:t>
      </w:r>
    </w:p>
    <w:p>
      <w:r>
        <w:t>Interpretive Structural Layer (Kernel Layer L2)</w:t>
      </w:r>
    </w:p>
    <w:p/>
    <w:p>
      <w:pPr>
        <w:pStyle w:val="Heading1"/>
      </w:pPr>
      <w:r>
        <w:t>D.0 Purpose</w:t>
      </w:r>
    </w:p>
    <w:p>
      <w:r>
        <w:t>L2 converts structural gate descriptors into interpretive metrics (w_k, CV_k, S_k, Reg_k, U_k, IAS_k) used by L3 and L4. Interpretation remains purely structural and deterministic.</w:t>
      </w:r>
    </w:p>
    <w:p/>
    <w:p>
      <w:pPr>
        <w:pStyle w:val="Heading1"/>
      </w:pPr>
      <w:r>
        <w:t>D.1 Interpretive Weight w_k</w:t>
      </w:r>
    </w:p>
    <w:p>
      <w:r>
        <w:t>Define normalized structural magnitude w_k as a bounded combination of average first difference, variance, and curvature over G_k, scaled by their respective maxima, so that 0 ≤ w_k ≤ 1 and w_k increases with structural intensity.</w:t>
      </w:r>
    </w:p>
    <w:p/>
    <w:p>
      <w:pPr>
        <w:pStyle w:val="Heading1"/>
      </w:pPr>
      <w:r>
        <w:t>D.2 Contrast Vector CV_k</w:t>
      </w:r>
    </w:p>
    <w:p>
      <w:r>
        <w:t>Let μ_k be the local baseline TVR around gate k. The contrast vector is CV_k = TVR_k – μ_k. Its norm measures deviation from local structure: ||CV_k||.</w:t>
      </w:r>
    </w:p>
    <w:p/>
    <w:p>
      <w:pPr>
        <w:pStyle w:val="Heading1"/>
      </w:pPr>
      <w:r>
        <w:t>D.3 Structural Score S_k</w:t>
      </w:r>
    </w:p>
    <w:p>
      <w:r>
        <w:t>Define S_k = γ1 w_k + γ2 (||CV_k|| / ||CV||_max) + γ3 (1 / (1 + C_k)), combining intensity, contrast, and mosaic consensus. S_k ∈ [0,1].</w:t>
      </w:r>
    </w:p>
    <w:p/>
    <w:p>
      <w:pPr>
        <w:pStyle w:val="Heading1"/>
      </w:pPr>
      <w:r>
        <w:t>D.4 Regime Classification Reg_k</w:t>
      </w:r>
    </w:p>
    <w:p>
      <w:r>
        <w:t>Using structural density χ_k = V_k / T_k and normalized contrast ψ_k = ||CV_k||/||CV||_max, define regimes:</w:t>
      </w:r>
    </w:p>
    <w:p>
      <w:r>
        <w:t>• Stable: χ_k &lt; χ_min ∧ ψ_k &lt; ψ_min.</w:t>
      </w:r>
    </w:p>
    <w:p>
      <w:r>
        <w:t>• Transitional: χ_min ≤ χ_k ≤ χ_max.</w:t>
      </w:r>
    </w:p>
    <w:p>
      <w:r>
        <w:t>• Volatile: χ_k &gt; χ_max.</w:t>
      </w:r>
    </w:p>
    <w:p>
      <w:r>
        <w:t>• Degenerate: ψ_k &gt; ψ_max.</w:t>
      </w:r>
    </w:p>
    <w:p>
      <w:r>
        <w:t>These are deterministic partitions over (χ_k, ψ_k).</w:t>
      </w:r>
    </w:p>
    <w:p/>
    <w:p>
      <w:pPr>
        <w:pStyle w:val="Heading1"/>
      </w:pPr>
      <w:r>
        <w:t>D.5 Uncertainty U_k and IAS</w:t>
      </w:r>
    </w:p>
    <w:p>
      <w:r>
        <w:t>Define U_k = λ1 ((C_k – 1)/(L – 1)) + λ2 (δ_g(G_k)/δ_max) + λ3 N(G_k) with 0 ≤ U_k ≤ 1.</w:t>
      </w:r>
    </w:p>
    <w:p>
      <w:r>
        <w:t>Interpretive Anomaly Suppression (IAS) is IAS_k = 1 iff U_k &gt; U_max.</w:t>
      </w:r>
    </w:p>
    <w:p/>
    <w:p>
      <w:pPr>
        <w:pStyle w:val="Heading1"/>
      </w:pPr>
      <w:r>
        <w:t>D.6 L2 Output</w:t>
      </w:r>
    </w:p>
    <w:p>
      <w:r>
        <w:t>L2 produces the Interpretive Structural Field (ISF): ISF_k = (w_k, CV_k, S_k, Reg_k, U_k, IAS_k).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