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09511260" w:rsidP="09511260" w:rsidRDefault="09511260" w14:paraId="177A209B" w14:textId="607E663C">
      <w:pPr>
        <w:jc w:val="center"/>
        <w:rPr>
          <w:rFonts w:ascii="Times New Roman" w:hAnsi="Times New Roman" w:eastAsia="Times New Roman" w:cs="Times New Roman" w:asciiTheme="minorAscii" w:hAnsiTheme="minorAscii" w:eastAsiaTheme="minorAscii" w:cstheme="minorAscii"/>
          <w:b w:val="1"/>
          <w:bCs w:val="1"/>
        </w:rPr>
      </w:pPr>
    </w:p>
    <w:p w:rsidR="09511260" w:rsidP="09511260" w:rsidRDefault="09511260" w14:paraId="5B0C55AB" w14:textId="70BDE260">
      <w:pPr>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ADFE695" wp14:textId="6D96FDC7">
      <w:pPr>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Unit </w:t>
      </w:r>
      <w:r w:rsidRPr="54AF7F86" w:rsidR="704FDF2A">
        <w:rPr>
          <w:rFonts w:ascii="Times New Roman" w:hAnsi="Times New Roman" w:eastAsia="Times New Roman" w:cs="Times New Roman" w:asciiTheme="minorAscii" w:hAnsiTheme="minorAscii" w:eastAsiaTheme="minorAscii" w:cstheme="minorAscii"/>
          <w:b w:val="1"/>
          <w:bCs w:val="1"/>
        </w:rPr>
        <w:t>8</w:t>
      </w:r>
    </w:p>
    <w:p xmlns:wp14="http://schemas.microsoft.com/office/word/2010/wordml" w:rsidP="09511260" wp14:paraId="4EBC4C20" wp14:textId="1A4FE514">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2264F3A5" wp14:textId="4EB082BF">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Julio Hernandez</w:t>
      </w:r>
    </w:p>
    <w:p xmlns:wp14="http://schemas.microsoft.com/office/word/2010/wordml" w:rsidP="09511260" wp14:paraId="4430744C" wp14:textId="129E3B3E">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3A632BD8" wp14:textId="30BAD4AF">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58C672E9">
        <w:rPr>
          <w:rFonts w:ascii="Times New Roman" w:hAnsi="Times New Roman" w:eastAsia="Times New Roman" w:cs="Times New Roman" w:asciiTheme="minorAscii" w:hAnsiTheme="minorAscii" w:eastAsiaTheme="minorAscii" w:cstheme="minorAscii"/>
          <w:b w:val="1"/>
          <w:bCs w:val="1"/>
        </w:rPr>
        <w:t>MDIA</w:t>
      </w:r>
      <w:r w:rsidRPr="54AF7F86" w:rsidR="26551343">
        <w:rPr>
          <w:rFonts w:ascii="Times New Roman" w:hAnsi="Times New Roman" w:eastAsia="Times New Roman" w:cs="Times New Roman" w:asciiTheme="minorAscii" w:hAnsiTheme="minorAscii" w:eastAsiaTheme="minorAscii" w:cstheme="minorAscii"/>
          <w:b w:val="1"/>
          <w:bCs w:val="1"/>
        </w:rPr>
        <w:t xml:space="preserve"> </w:t>
      </w:r>
      <w:r w:rsidRPr="54AF7F86" w:rsidR="64BB52DB">
        <w:rPr>
          <w:rFonts w:ascii="Times New Roman" w:hAnsi="Times New Roman" w:eastAsia="Times New Roman" w:cs="Times New Roman" w:asciiTheme="minorAscii" w:hAnsiTheme="minorAscii" w:eastAsiaTheme="minorAscii" w:cstheme="minorAscii"/>
          <w:b w:val="1"/>
          <w:bCs w:val="1"/>
        </w:rPr>
        <w:t>438 Branded Content and Narrative</w:t>
      </w:r>
    </w:p>
    <w:p xmlns:wp14="http://schemas.microsoft.com/office/word/2010/wordml" w:rsidP="09511260" wp14:paraId="43703A9D" wp14:textId="570C0D4F">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50FCBC0A" wp14:textId="3FF56A29">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West Virginia University</w:t>
      </w:r>
    </w:p>
    <w:p xmlns:wp14="http://schemas.microsoft.com/office/word/2010/wordml" w:rsidP="09511260" wp14:paraId="488BBA28" wp14:textId="72F958EC">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 </w:t>
      </w:r>
    </w:p>
    <w:p w:rsidR="5076BD70" w:rsidP="54AF7F86" w:rsidRDefault="5076BD70" w14:paraId="3B381154" w14:textId="4288CA23">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Instructor: </w:t>
      </w:r>
      <w:r w:rsidRPr="54AF7F86" w:rsidR="731F1855">
        <w:rPr>
          <w:rFonts w:ascii="Times New Roman" w:hAnsi="Times New Roman" w:eastAsia="Times New Roman" w:cs="Times New Roman" w:asciiTheme="minorAscii" w:hAnsiTheme="minorAscii" w:eastAsiaTheme="minorAscii" w:cstheme="minorAscii"/>
          <w:b w:val="1"/>
          <w:bCs w:val="1"/>
        </w:rPr>
        <w:t>Michael DeLong</w:t>
      </w:r>
    </w:p>
    <w:p w:rsidR="5076BD70" w:rsidP="09511260" w:rsidRDefault="5076BD70" w14:paraId="684F3751" w14:textId="0BD28C88">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7441C65B" wp14:textId="55A9B818">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43F142D5" wp14:textId="7880CFA1">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Date: </w:t>
      </w:r>
      <w:r w:rsidRPr="54AF7F86" w:rsidR="4C64DF49">
        <w:rPr>
          <w:rFonts w:ascii="Times New Roman" w:hAnsi="Times New Roman" w:eastAsia="Times New Roman" w:cs="Times New Roman" w:asciiTheme="minorAscii" w:hAnsiTheme="minorAscii" w:eastAsiaTheme="minorAscii" w:cstheme="minorAscii"/>
          <w:b w:val="1"/>
          <w:bCs w:val="1"/>
        </w:rPr>
        <w:t xml:space="preserve">March </w:t>
      </w:r>
      <w:r w:rsidRPr="54AF7F86" w:rsidR="141BCB6E">
        <w:rPr>
          <w:rFonts w:ascii="Times New Roman" w:hAnsi="Times New Roman" w:eastAsia="Times New Roman" w:cs="Times New Roman" w:asciiTheme="minorAscii" w:hAnsiTheme="minorAscii" w:eastAsiaTheme="minorAscii" w:cstheme="minorAscii"/>
          <w:b w:val="1"/>
          <w:bCs w:val="1"/>
        </w:rPr>
        <w:t>1</w:t>
      </w:r>
      <w:r w:rsidRPr="54AF7F86" w:rsidR="15B9B6C1">
        <w:rPr>
          <w:rFonts w:ascii="Times New Roman" w:hAnsi="Times New Roman" w:eastAsia="Times New Roman" w:cs="Times New Roman" w:asciiTheme="minorAscii" w:hAnsiTheme="minorAscii" w:eastAsiaTheme="minorAscii" w:cstheme="minorAscii"/>
          <w:b w:val="1"/>
          <w:bCs w:val="1"/>
        </w:rPr>
        <w:t>1</w:t>
      </w:r>
      <w:r w:rsidRPr="54AF7F86" w:rsidR="44BD69E2">
        <w:rPr>
          <w:rFonts w:ascii="Times New Roman" w:hAnsi="Times New Roman" w:eastAsia="Times New Roman" w:cs="Times New Roman" w:asciiTheme="minorAscii" w:hAnsiTheme="minorAscii" w:eastAsiaTheme="minorAscii" w:cstheme="minorAscii"/>
          <w:b w:val="1"/>
          <w:bCs w:val="1"/>
        </w:rPr>
        <w:t>, 2026</w:t>
      </w:r>
    </w:p>
    <w:p xmlns:wp14="http://schemas.microsoft.com/office/word/2010/wordml" w:rsidP="09511260" wp14:paraId="6A6C672D" wp14:textId="69CE5F6E">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93DBF2C" wp14:textId="19437BF0">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369D193D" wp14:textId="6CB4C782">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7CF35E17" wp14:textId="20AA3799">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0313AD48" wp14:textId="3C265FEE">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5E3308A9" wp14:textId="61AA0370">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2599D5B2" wp14:textId="5A52F966">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30323041" wp14:textId="46DB1F5D">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6B952012" wp14:textId="007559B9">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68789AAC" wp14:textId="78337480">
      <w:pPr>
        <w:pStyle w:val="Normal"/>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09511260" wp14:paraId="26092D07" wp14:textId="4D484655">
      <w:pPr>
        <w:pStyle w:val="Normal"/>
        <w:jc w:val="center"/>
        <w:rPr>
          <w:rFonts w:ascii="Times New Roman" w:hAnsi="Times New Roman" w:eastAsia="Times New Roman" w:cs="Times New Roman" w:asciiTheme="minorAscii" w:hAnsiTheme="minorAscii" w:eastAsiaTheme="minorAscii" w:cstheme="minorAscii"/>
          <w:b w:val="1"/>
          <w:bCs w:val="1"/>
        </w:rPr>
      </w:pPr>
      <w:r w:rsidRPr="54AF7F86"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09511260" wp14:paraId="482E6034" wp14:textId="01E75E58">
      <w:pPr>
        <w:jc w:val="center"/>
        <w:rPr>
          <w:rFonts w:ascii="Times New Roman" w:hAnsi="Times New Roman" w:eastAsia="Times New Roman" w:cs="Times New Roman" w:asciiTheme="minorAscii" w:hAnsiTheme="minorAscii" w:eastAsiaTheme="minorAscii" w:cstheme="minorAscii"/>
          <w:b w:val="1"/>
          <w:bCs w:val="1"/>
        </w:rPr>
      </w:pPr>
    </w:p>
    <w:p w:rsidR="11CA9670" w:rsidP="54AF7F86" w:rsidRDefault="11CA9670" w14:paraId="62970730" w14:textId="4CB9BB23">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Promotion Objective</w:t>
      </w:r>
    </w:p>
    <w:p w:rsidR="11CA9670" w:rsidP="54AF7F86" w:rsidRDefault="11CA9670" w14:paraId="340AEBAC" w14:textId="5B31373E">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Promotion: Target hardcore FPS and extraction shooter players ages 18 to 34 in North America and Europe with a mix of owned, earned, and paid media to highlight Escape from Tarkov’s high stakes realism, upcoming wipes, and new features over the next six months and boost game sales, Twitch viewership, and Discord membership by 15 percent (Gratt, n.d.; Lai, 2014).</w:t>
      </w:r>
    </w:p>
    <w:p w:rsidR="11CA9670" w:rsidP="54AF7F86" w:rsidRDefault="11CA9670" w14:paraId="59D168B9" w14:textId="256A6780">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Owned, Paid, and Earned Media for Escape from Tarkov</w:t>
      </w:r>
    </w:p>
    <w:p w:rsidR="11CA9670" w:rsidP="54AF7F86" w:rsidRDefault="11CA9670" w14:paraId="44AA36F2" w14:textId="17080CB9">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Games relies heavily on owned channels such as the official website, forums, Discord, Twitch channel, YouTube, Twitter or X, Instagram, Facebook, and email updates to communicate patch notes, wipes, and development news (Gratt, n.d.; Lai, 2014). These owned assets function as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permission based</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touchpoints where the community expects detailed information, developer commentary, and long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form</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content (Gratt, n.d.)</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70A7263F" w14:textId="283D5EBD">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studio’s earned media is driven by user generated content, including YouTube guides, highlight reels, memes, Reddit threads, and coverage from gaming media outlets reacting to major updates or controversies (Gratt, 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2021).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deliberately encourages and amplifies UGC by hosting creator focused events such as Twitch drops and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frequently</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liking, resharing, and engaging with community content across social platforms, which turns fan activity into ongoing earned reach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2021). </w:t>
      </w:r>
    </w:p>
    <w:p w:rsidR="11CA9670" w:rsidP="54AF7F86" w:rsidRDefault="11CA9670" w14:paraId="329A09BC" w14:textId="0F95CD5A">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Paid media has historically played a smaller, more tactical role but increasingly shows up in digital formats such as targeted Meta ads, Instagram and Facebook post boosts, and paid promotions around large events like wipes or special editions (Content Marketing Institute, n.d.; Gratt, n.d.). When controversies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emerge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such as around paid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PvE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content or edition pricing, paid placements can also be used defensively to clarify messaging and funnel players to official explanations and updates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TheGamer</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2026</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5EC8AE48" w14:textId="7F05C0C3">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Promotion Strategy: Owned Media</w:t>
      </w:r>
    </w:p>
    <w:p w:rsidR="11CA9670" w:rsidP="54AF7F86" w:rsidRDefault="11CA9670" w14:paraId="5CA5FA19" w14:textId="4934A25F">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owned media strategy should treat every major content beat, such as wipes, maps, events, and system overhauls, as a campaign anchor that can be sliced into “snackable” pieces tailored to each platform (Gratt, n.d.; Lai, 2014). For example, a long dev blog about a new map on the official site can be repurposed as short clips on Twitch and YouTube, carousels on Instagram, and threaded posts on Twitter or X, all pointing back to a central landing page (Gratt, n.d.). </w:t>
      </w:r>
    </w:p>
    <w:p w:rsidR="11CA9670" w:rsidP="54AF7F86" w:rsidRDefault="11CA9670" w14:paraId="0AEAF127" w14:textId="76295EEE">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Key owned</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tactics include the website and landing pages, email, social, and official streaming channels. The website should host detailed patch notes, feature breakdowns, and “New to Tarkov” guides on a dedicated hub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optimized</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for search and conversion, with clear calls to action to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purchase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upgrade editions, or join the newsletter and Discord (Gratt, n.d.; Lai, 2014). Email newsletters should be segmented for current players, lapsed players, and prospects, highlighting wipe dates, key mechanical changes, and curated creator content such as “top five wipe prep guides” (Lai, 2014). </w:t>
      </w:r>
    </w:p>
    <w:p w:rsidR="11CA9670" w:rsidP="54AF7F86" w:rsidRDefault="11CA9670" w14:paraId="56CE4E84" w14:textId="6B276E28">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Social channels should use platform native creative, such as short vertical clips on TikTok and Instagram Reels, longer breakdowns and dev diaries on YouTube, and rapid updates and memes on Twitter or X, to keep Tarkov in players’ daily feeds while continuously linking back to the main content hub (Gratt, n.d.). On the official Twitch and YouTube channels,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can run scheduled developer streams, patch previews, and post wipe question and answer sessions, then archive and chapter them on YouTube so players can rewatch and share specific segments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2021). </w:t>
      </w:r>
    </w:p>
    <w:p w:rsidR="11CA9670" w:rsidP="54AF7F86" w:rsidRDefault="11CA9670" w14:paraId="27201501" w14:textId="0586E818">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Across all owned assets, copy should emphasize Tarkov’s </w:t>
      </w:r>
      <w:r w:rsidRPr="54AF7F86" w:rsidR="11CA9670">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t>high risk</w:t>
      </w:r>
      <w:r w:rsidRPr="54AF7F86" w:rsidR="11CA9670">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t>, high reward</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identity</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the emotional payoff of extraction, while also addressing pain points like the learning curve and community toxicity with clear onboarding content and moderation guidelines (Lai, 2014;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2021)</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6F3160BF" w14:textId="6495BAB6">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Promotion Strategy: Paid Media</w:t>
      </w:r>
    </w:p>
    <w:p w:rsidR="11CA9670" w:rsidP="54AF7F86" w:rsidRDefault="11CA9670" w14:paraId="0E6C2A3F" w14:textId="57BC6764">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Paid promotion should be used as the push that extends reach beyond the existing core community, particularly around tentpole moments such as wipes, major updates, and new edition launches (Gratt, n.d.; Lai, 2014). The goal is not generic brand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advertising, but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driving engagement with key pieces of content such as trailers, feature explainers, and creator spotlights that pull players deeper into the Tarkov ecosystem (Content Marketing Institute, n.d.). </w:t>
      </w:r>
    </w:p>
    <w:p w:rsidR="11CA9670" w:rsidP="54AF7F86" w:rsidRDefault="11CA9670" w14:paraId="451499B3" w14:textId="3F30F24F">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One priority is highly targeted Meta ads.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can run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auction based</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Facebook and Instagram campaigns aimed at interests like tactical shooters, mil sim, and survival games,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optimizing</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for video views and landing page clicks rather than immediate purchases (Content Marketing Institute, n.d.). Creative should feature intense raid footage, squad coordination, and extraction highlights with copy such as “Think you can survive Tarkov?” to spark curiosity and comments (Gratt, n.d.). </w:t>
      </w:r>
    </w:p>
    <w:p w:rsidR="11CA9670" w:rsidP="54AF7F86" w:rsidRDefault="11CA9670" w14:paraId="20CFC4A7" w14:textId="57A60A9F">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Another tactic is paid Instagram and TikTok placements that boost short vertical clips of raids, extractions gone wrong, and “Tarkov moments,” using captions that invite interaction—for example, “What would you do here?”—to encourage shares and duets (Content Marketing Institute, n.d.). Retargeting and long tail promotion are also important; by installing retargeting pixels on core content hubs,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can build audiences of people who watched trailers or visited key pages and then promote follow up content such as wipe prep guides, “what changed this patch,” and edition upgrade explanations over several weeks (Gratt, n.d.; Google, 2011).</w:t>
      </w:r>
    </w:p>
    <w:p w:rsidR="11CA9670" w:rsidP="54AF7F86" w:rsidRDefault="11CA9670" w14:paraId="70AD4776" w14:textId="4C3415AE">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Given recent backlash around monetization decisions, some paid placements should transparently address edition value and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PvE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access, linking directly to honest, detailed FAQs and developer commentary rather than pure sales pages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TheGamer</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2026). This approach acknowledges community concerns while still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leveraging</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paid reach to ensure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accurate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information is widely seen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TheGamer</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2026</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t>
      </w:r>
    </w:p>
    <w:p w:rsidR="11CA9670" w:rsidP="54AF7F86" w:rsidRDefault="11CA9670" w14:paraId="5EA8EA43" w14:textId="1B27A78D">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Promotion Strategy: Earned Media and UGC</w:t>
      </w:r>
    </w:p>
    <w:p w:rsidR="11CA9670" w:rsidP="54AF7F86" w:rsidRDefault="11CA9670" w14:paraId="74B56EFC" w14:textId="61EA3DC0">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Earned media is where Tarkov punches far above its paid weight, as creators effectively serve as an always on, third party storytelling engine (Gratt, 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2021).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should continue to design campaigns that harness and reward user generated content, recognizing that trusted creators often have more persuasive power than official channels in this genre (Lai, 2014;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2021)</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4DF4AB3A" w14:textId="645A85D7">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Twitch drops and creator events are a core tactic. Regular drop campaigns elevate selected Tarkov streamers, driving “must watch” behavior and pushing Tarkov to the top of Twitch categories for days at a time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2021; GameSpot, 2020). These drops should be timed around major updates, with exclusive cosmetics or utility items that both reward current players and tempt former players back into the game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2021).</w:t>
      </w:r>
    </w:p>
    <w:p w:rsidR="11CA9670" w:rsidP="54AF7F86" w:rsidRDefault="11CA9670" w14:paraId="556ECCE2" w14:textId="0800CE13">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should also build strong UGC amplification loops. By systematically monitoring YouTube, Twitch, Reddit, and Twitter or X for standout videos, guides, montages, and memes, and then resharing them via official accounts while tagging creators and encouraging discussion, the studio reinforces the perception that creators are recognized and valued (Gratt, 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2021). This cycle motivates more fans to produce and share content, which in turn expands earned reach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2021)</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07FFE830" w14:textId="5BAFA007">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Media and influencer outreach can turn internal data into newsworthy narratives.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can proactively pitch stories such as wipe analytics, player behavior insights, or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anti cheat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progress to gaming outlets and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mid tier</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creators, using these numbers to frame Tarkov’s evolution and improvements (Lai, 2014). When third party coverage appears, whether positive or critical, the studio should share it transparently through owned channels and address it openly as part of an ongoing dialogue with the community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TheGamer</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2026). </w:t>
      </w:r>
    </w:p>
    <w:p w:rsidR="11CA9670" w:rsidP="54AF7F86" w:rsidRDefault="11CA9670" w14:paraId="27F44D69" w14:textId="43912212">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Because earned media carries higher credibility than owned or paid messages, amplifying positive features, community success stories, and transparent responses to controversy through earned channels will be critical to sustaining trust and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long term</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engagement (Gratt, n.d.; Lai, 2014). </w:t>
      </w:r>
    </w:p>
    <w:p w:rsidR="11CA9670" w:rsidP="54AF7F86" w:rsidRDefault="11CA9670" w14:paraId="53E94FA1" w14:textId="2E586EFE">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Integration and Measurement</w:t>
      </w:r>
    </w:p>
    <w:p w:rsidR="11CA9670" w:rsidP="54AF7F86" w:rsidRDefault="11CA9670" w14:paraId="09DD6D7B" w14:textId="52C990A3">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most effective Tarkov campaigns will fuse owned, paid, and earned elements so that each update triggers an orchestrated wave of content and conversation rather than isolated messages (Gratt, n.d.; Lai, 2014). For example, a new map launch could start with a YouTube trailer and dev blog on owned channels, boosted with Meta ads to FPS audiences, and followed by a creator event with drops that dominates Twitch and generates hundreds of highlight videos across platforms (Content Marketing Institute, 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2021; GameSpot, 2020). </w:t>
      </w:r>
    </w:p>
    <w:p w:rsidR="11CA9670" w:rsidP="54AF7F86" w:rsidRDefault="11CA9670" w14:paraId="24F42FC5" w14:textId="42835265">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Measurement priorities should include reach and engagement, community growth, and conversion. For reach and engagement,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should track impressions, views, watch time, social shares, comments, and click throughs across all owned and paid assets to see which messages and formats resonate most (Content Marketing Institute, n.d.; Gratt, n.d.). For community growth and activity, the team should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monitor</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increases in Discord membership, concurrent Twitch viewers, active forum users, and daily active players during and after campaigns (Lai, 2014;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2021). </w:t>
      </w:r>
    </w:p>
    <w:p w:rsidR="11CA9670" w:rsidP="54AF7F86" w:rsidRDefault="11CA9670" w14:paraId="5BA82097" w14:textId="5E8E43EB">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Conversion and retention metrics include game sales, edition upgrades,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PvE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purchases where applicable, wipe return rates, and churn among lapsed players over each campaign period (Google, 2011; Lai, 2014). Insights from each cycle, such as which messages performed best and which creators and formats drove the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most high</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intent traffic, should feed back into the next plan, reflecting the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trial and error</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optimization process described in the course readings (Gratt, n.d.; Lai, 2014). Over time, this iterative approach will allow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Games to rely less on broad, expensive campaigns and more on precise, content driven promotion that respects and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leverages</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the passion of the Tarkov community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2021). </w:t>
      </w:r>
    </w:p>
    <w:p w:rsidR="54AF7F86" w:rsidP="54AF7F86" w:rsidRDefault="54AF7F86" w14:paraId="35E06E5A" w14:textId="6587D6DB">
      <w:pPr>
        <w:rPr>
          <w:rFonts w:ascii="Times New Roman" w:hAnsi="Times New Roman" w:eastAsia="Times New Roman" w:cs="Times New Roman" w:asciiTheme="minorAscii" w:hAnsiTheme="minorAscii" w:eastAsiaTheme="minorAscii" w:cstheme="minorAscii"/>
        </w:rPr>
      </w:pPr>
    </w:p>
    <w:p w:rsidR="11CA9670" w:rsidP="54AF7F86" w:rsidRDefault="11CA9670" w14:paraId="65FE60B3" w14:textId="3ABD8245">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References</w:t>
      </w:r>
    </w:p>
    <w:p w:rsidR="11CA9670" w:rsidP="54AF7F86" w:rsidRDefault="11CA9670" w14:paraId="0AD40C0E" w14:textId="598C2D50">
      <w:pPr>
        <w:spacing w:before="120" w:beforeAutospacing="off" w:after="120" w:afterAutospacing="off"/>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Content Marketing Institute. (n.d.).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Paid content promotion: Your essential guide.</w:t>
      </w:r>
    </w:p>
    <w:p w:rsidR="11CA9670" w:rsidP="54AF7F86" w:rsidRDefault="11CA9670" w14:paraId="11C8ED83" w14:textId="0C4DAA1A">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GameSpot. (2020, June 14).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Escape From Tarkov gets Twitch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drops,</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viewership numbers surge to above 200K.</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1E3A7831" w14:textId="77062237">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Google. (2011).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Winning the zero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moment of truth</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4093097C" w14:textId="508DB7E1">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Gratt, M. (n.d.).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How to promote your content across owned,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earned</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and paid media.</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Convince and </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Convert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2FC08E02" w14:textId="719A2DD1">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Lai, P. (2014).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Global content marketing.</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McGraw Hill. </w:t>
      </w:r>
    </w:p>
    <w:p w:rsidR="11CA9670" w:rsidP="54AF7F86" w:rsidRDefault="11CA9670" w14:paraId="628948E8" w14:textId="7E4DE8DC">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Lurkit</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(2021, February 11).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How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Battlestate</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Games leverage UGC to boost Escape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From</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Tarkov marketing.</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11CA9670" w:rsidP="54AF7F86" w:rsidRDefault="11CA9670" w14:paraId="7BC2B9FA" w14:textId="4D53A717">
      <w:pPr>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TheGamer</w:t>
      </w: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(2026, January 2).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Escape From Tarkov lead responds to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PvE</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pricing controversy.</w:t>
      </w:r>
    </w:p>
    <w:p w:rsidR="11CA9670" w:rsidP="54AF7F86" w:rsidRDefault="11CA9670" w14:paraId="37626959" w14:textId="5344B84F">
      <w:pPr>
        <w:spacing w:before="240" w:beforeAutospacing="off" w:after="0" w:afterAutospacing="off"/>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pPr>
      <w:r w:rsidRPr="54AF7F86"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Twitch. (n.d.). </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BattlestateGames</w:t>
      </w:r>
      <w:r w:rsidRPr="54AF7F86" w:rsidR="11CA9670">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 Videos.</w:t>
      </w:r>
    </w:p>
    <w:p w:rsidR="54AF7F86" w:rsidP="54AF7F86" w:rsidRDefault="54AF7F86" w14:paraId="4E5FB8DF" w14:textId="101E0AEB">
      <w:pPr>
        <w:pStyle w:val="Normal"/>
        <w:spacing w:before="24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headerReference w:type="default" r:id="Ra24b28a6a32f411e"/>
      <w:footerReference w:type="default" r:id="Ra35a37055dec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511260" w:rsidTr="09511260" w14:paraId="2B895DC9">
      <w:trPr>
        <w:trHeight w:val="300"/>
      </w:trPr>
      <w:tc>
        <w:tcPr>
          <w:tcW w:w="3120" w:type="dxa"/>
          <w:tcMar/>
        </w:tcPr>
        <w:p w:rsidR="09511260" w:rsidP="09511260" w:rsidRDefault="09511260" w14:paraId="77B1F2D2" w14:textId="5409290F">
          <w:pPr>
            <w:pStyle w:val="Header"/>
            <w:bidi w:val="0"/>
            <w:ind w:left="-115"/>
            <w:jc w:val="left"/>
          </w:pPr>
        </w:p>
      </w:tc>
      <w:tc>
        <w:tcPr>
          <w:tcW w:w="3120" w:type="dxa"/>
          <w:tcMar/>
        </w:tcPr>
        <w:p w:rsidR="09511260" w:rsidP="09511260" w:rsidRDefault="09511260" w14:paraId="383B556C" w14:textId="075C25E3">
          <w:pPr>
            <w:pStyle w:val="Header"/>
            <w:bidi w:val="0"/>
            <w:jc w:val="center"/>
          </w:pPr>
        </w:p>
      </w:tc>
      <w:tc>
        <w:tcPr>
          <w:tcW w:w="3120" w:type="dxa"/>
          <w:tcMar/>
        </w:tcPr>
        <w:p w:rsidR="09511260" w:rsidP="09511260" w:rsidRDefault="09511260" w14:paraId="226C9661" w14:textId="38272F82">
          <w:pPr>
            <w:pStyle w:val="Header"/>
            <w:bidi w:val="0"/>
            <w:ind w:right="-115"/>
            <w:jc w:val="right"/>
          </w:pPr>
        </w:p>
      </w:tc>
    </w:tr>
  </w:tbl>
  <w:p w:rsidR="09511260" w:rsidP="09511260" w:rsidRDefault="09511260" w14:paraId="3306717A" w14:textId="7A53DF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70"/>
      <w:gridCol w:w="345"/>
      <w:gridCol w:w="345"/>
    </w:tblGrid>
    <w:tr w:rsidR="09511260" w:rsidTr="54AF7F86" w14:paraId="0C78B9AB">
      <w:trPr>
        <w:trHeight w:val="300"/>
      </w:trPr>
      <w:tc>
        <w:tcPr>
          <w:tcW w:w="8670" w:type="dxa"/>
          <w:tcMar/>
        </w:tcPr>
        <w:p w:rsidR="09511260" w:rsidP="54AF7F86" w:rsidRDefault="09511260" w14:paraId="708F2CFE" w14:textId="2241830D">
          <w:pPr>
            <w:pStyle w:val="Header"/>
            <w:bidi w:val="0"/>
            <w:ind w:left="-115"/>
            <w:jc w:val="left"/>
            <w:rPr>
              <w:noProof w:val="0"/>
              <w:lang w:val="en-US"/>
            </w:rPr>
          </w:pPr>
          <w:r w:rsidRPr="54AF7F86" w:rsidR="54AF7F86">
            <w:rPr>
              <w:rFonts w:ascii="Georgia" w:hAnsi="Georgia" w:eastAsia="Georgia" w:cs="Georgia"/>
              <w:b w:val="1"/>
              <w:bCs w:val="1"/>
              <w:i w:val="0"/>
              <w:iCs w:val="0"/>
              <w:caps w:val="0"/>
              <w:smallCaps w:val="0"/>
              <w:noProof w:val="0"/>
              <w:sz w:val="24"/>
              <w:szCs w:val="24"/>
              <w:lang w:val="en-US"/>
            </w:rPr>
            <w:t>Integrated Promotion Strategy for Escape from Tarkov Across Owned, Earned, and Paid Media</w:t>
          </w:r>
        </w:p>
        <w:p w:rsidR="09511260" w:rsidP="54AF7F86" w:rsidRDefault="09511260" w14:paraId="5DAD645D" w14:textId="28F0D96B">
          <w:pPr>
            <w:pStyle w:val="Header"/>
            <w:bidi w:val="0"/>
            <w:ind w:left="-115"/>
            <w:jc w:val="left"/>
            <w:rPr>
              <w:rFonts w:ascii="Georgia" w:hAnsi="Georgia" w:eastAsia="Georgia" w:cs="Georgia"/>
              <w:b w:val="1"/>
              <w:bCs w:val="1"/>
              <w:i w:val="0"/>
              <w:iCs w:val="0"/>
              <w:caps w:val="0"/>
              <w:smallCaps w:val="0"/>
              <w:noProof w:val="0"/>
              <w:sz w:val="24"/>
              <w:szCs w:val="24"/>
              <w:lang w:val="en-US"/>
            </w:rPr>
          </w:pPr>
        </w:p>
      </w:tc>
      <w:tc>
        <w:tcPr>
          <w:tcW w:w="345" w:type="dxa"/>
          <w:tcMar/>
        </w:tcPr>
        <w:p w:rsidR="09511260" w:rsidP="09511260" w:rsidRDefault="09511260" w14:paraId="56CCC7AD" w14:textId="66F0BE53">
          <w:pPr>
            <w:pStyle w:val="Header"/>
            <w:bidi w:val="0"/>
            <w:jc w:val="center"/>
          </w:pPr>
        </w:p>
      </w:tc>
      <w:tc>
        <w:tcPr>
          <w:tcW w:w="345" w:type="dxa"/>
          <w:tcMar/>
        </w:tcPr>
        <w:p w:rsidR="09511260" w:rsidP="09511260" w:rsidRDefault="09511260" w14:paraId="74C3E26E" w14:textId="725F8CF7">
          <w:pPr>
            <w:pStyle w:val="Header"/>
            <w:bidi w:val="0"/>
            <w:ind w:right="-115"/>
            <w:jc w:val="right"/>
          </w:pPr>
        </w:p>
      </w:tc>
    </w:tr>
  </w:tbl>
  <w:p w:rsidR="09511260" w:rsidP="09511260" w:rsidRDefault="09511260" w14:paraId="680FC2EF" w14:textId="6B5B45A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03367"/>
    <w:rsid w:val="00B3A66E"/>
    <w:rsid w:val="031DFFF8"/>
    <w:rsid w:val="042DEB55"/>
    <w:rsid w:val="09511260"/>
    <w:rsid w:val="0987FD1B"/>
    <w:rsid w:val="0B36AEF4"/>
    <w:rsid w:val="0B4B7EF7"/>
    <w:rsid w:val="0B9B0EA2"/>
    <w:rsid w:val="0EE597C2"/>
    <w:rsid w:val="110487C3"/>
    <w:rsid w:val="11CA9670"/>
    <w:rsid w:val="124C3C75"/>
    <w:rsid w:val="141BCB6E"/>
    <w:rsid w:val="15B9B6C1"/>
    <w:rsid w:val="19543819"/>
    <w:rsid w:val="1CA2EADC"/>
    <w:rsid w:val="1D8B1B79"/>
    <w:rsid w:val="1ED0E3CF"/>
    <w:rsid w:val="1F19C6CD"/>
    <w:rsid w:val="24191916"/>
    <w:rsid w:val="24603367"/>
    <w:rsid w:val="24FC920D"/>
    <w:rsid w:val="26215FCA"/>
    <w:rsid w:val="26551343"/>
    <w:rsid w:val="28A4085C"/>
    <w:rsid w:val="2BF9BEA2"/>
    <w:rsid w:val="2C175741"/>
    <w:rsid w:val="3137048A"/>
    <w:rsid w:val="347FB884"/>
    <w:rsid w:val="378992AE"/>
    <w:rsid w:val="3A2C00A3"/>
    <w:rsid w:val="3B192FB7"/>
    <w:rsid w:val="43FF3528"/>
    <w:rsid w:val="441A8290"/>
    <w:rsid w:val="44BD69E2"/>
    <w:rsid w:val="4667898F"/>
    <w:rsid w:val="4899A6CD"/>
    <w:rsid w:val="4C64DF49"/>
    <w:rsid w:val="4CE0885B"/>
    <w:rsid w:val="4D9C69A2"/>
    <w:rsid w:val="4F17B988"/>
    <w:rsid w:val="5076BD70"/>
    <w:rsid w:val="51F36AA0"/>
    <w:rsid w:val="54AF7F86"/>
    <w:rsid w:val="55EF28D0"/>
    <w:rsid w:val="58C672E9"/>
    <w:rsid w:val="5C9D6059"/>
    <w:rsid w:val="64BB52DB"/>
    <w:rsid w:val="704FDF2A"/>
    <w:rsid w:val="70980092"/>
    <w:rsid w:val="72F09C07"/>
    <w:rsid w:val="731F1855"/>
    <w:rsid w:val="76DC7112"/>
    <w:rsid w:val="7C157992"/>
    <w:rsid w:val="7C8FE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3367"/>
  <w15:chartTrackingRefBased/>
  <w15:docId w15:val="{EB9D916C-F222-4FC8-9F57-3443211DD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2DEB55"/>
    <w:rPr>
      <w:color w:val="467886"/>
      <w:u w:val="single"/>
    </w:rPr>
  </w:style>
  <w:style w:type="paragraph" w:styleId="Header">
    <w:uiPriority w:val="99"/>
    <w:name w:val="header"/>
    <w:basedOn w:val="Normal"/>
    <w:unhideWhenUsed/>
    <w:rsid w:val="09511260"/>
    <w:pPr>
      <w:tabs>
        <w:tab w:val="center" w:leader="none" w:pos="4680"/>
        <w:tab w:val="right" w:leader="none" w:pos="9360"/>
      </w:tabs>
      <w:spacing w:after="0" w:line="240" w:lineRule="auto"/>
    </w:pPr>
  </w:style>
  <w:style w:type="paragraph" w:styleId="Footer">
    <w:uiPriority w:val="99"/>
    <w:name w:val="footer"/>
    <w:basedOn w:val="Normal"/>
    <w:unhideWhenUsed/>
    <w:rsid w:val="09511260"/>
    <w:pPr>
      <w:tabs>
        <w:tab w:val="center" w:leader="none" w:pos="4680"/>
        <w:tab w:val="right" w:leader="none" w:pos="9360"/>
      </w:tabs>
      <w:spacing w:after="0" w:line="240" w:lineRule="auto"/>
    </w:pPr>
  </w:style>
  <w:style w:type="paragraph" w:styleId="Heading1">
    <w:uiPriority w:val="9"/>
    <w:name w:val="heading 1"/>
    <w:basedOn w:val="Normal"/>
    <w:next w:val="Normal"/>
    <w:qFormat/>
    <w:rsid w:val="095112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5112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24b28a6a32f411e" /><Relationship Type="http://schemas.openxmlformats.org/officeDocument/2006/relationships/footer" Target="footer.xml" Id="Ra35a37055dec41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2026-02-26T02:07:46.4660751Z</dcterms:created>
  <dcterms:modified xsi:type="dcterms:W3CDTF">2026-03-13T23:29:15.6051747Z</dcterms:modified>
  <dc:creator>Julio Hernandez</dc:creator>
  <lastModifiedBy>Julio Hernandez</lastModifiedBy>
</coreProperties>
</file>