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Businesses are using virtual reality and gaming more often these days, and depending on how they are employed, they can have both positive and negative outcomes. IKEA's use of augmented reality in their mobile app is one good example. Before making a purchase, IKEA consumers may use mobile phones to virtually arrange furniture in their homes. The intention is to facilitate shopping and boost consumers' confidence in their selections. Furniture buyers are the target market, particularly younger consumers who are tech-savvy.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Customers are better able to comprehend what they are purchasing as a result, which may result in fewer returns and more customer satisfaction. Customers are better able to visualize how products will seem in their environment thanks to this. According to research, augmented reality and other interactive technologies can enhance the shopping experience and assist consumers in making better choices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businesses utilize in-game advertising that is inconsistent with the gaming experience, Fortnite is a bad example. To engage younger audiences, some firms have established partnerships or promotions inside Fortnite. Connecting with gamers and raising brand awareness are the objectives. Teenagers and young adults make up the majority of the target audience. However, some players feel that the commercials disrupt the game, thus this tactic isn't always successful. The encounter may be less pleasurable when marketing seems forced or inappropriate. Because of this, players could disregard the brand or possibly have a bad reaction to it. Research has indicated that when advertising interferes with entertainment, the effectiveness of the message is diminished and user pleasure is decreased.</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things considered, these illustrations demonstrate how businesses may benefit greatly from virtual and game technologies, but only when it enhances the user experience. IKEA's use of augmented reality is effective since it facilitates customers' purchasing. However, if advertising in games like Fortnite seems pointless or obtrusive, it may be counterproductive. This demonstrates that companies should concentrate on developing experiences that are useful and seem natural rather than pushed.</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Evans, N. J. (2018). The effects of advertising in digital games. </w:t>
      </w:r>
      <w:r w:rsidDel="00000000" w:rsidR="00000000" w:rsidRPr="00000000">
        <w:rPr>
          <w:rFonts w:ascii="Times New Roman" w:cs="Times New Roman" w:eastAsia="Times New Roman" w:hAnsi="Times New Roman"/>
          <w:i w:val="1"/>
          <w:iCs w:val="1"/>
          <w:sz w:val="24"/>
          <w:szCs w:val="24"/>
          <w:rtl w:val="0"/>
        </w:rPr>
        <w:t xml:space="preserve">Journal of Interactive Advertising</w:t>
      </w:r>
      <w:r w:rsidDel="00000000" w:rsidR="00000000" w:rsidRPr="00000000">
        <w:rPr>
          <w:rFonts w:ascii="Times New Roman" w:cs="Times New Roman" w:eastAsia="Times New Roman" w:hAnsi="Times New Roman"/>
          <w:sz w:val="24"/>
          <w:szCs w:val="24"/>
          <w:rtl w:val="0"/>
        </w:rPr>
        <w:t xml:space="preserve">, 18(1), 1–15.</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Hilken, T., de Ruyter, K., Chylinski, M., Mahr, D., &amp; Keeling, D. (2017). Augmenting the eye of the beholder: Exploring the strategic potential of augmented reality. </w:t>
      </w:r>
      <w:r w:rsidDel="00000000" w:rsidR="00000000" w:rsidRPr="00000000">
        <w:rPr>
          <w:rFonts w:ascii="Times New Roman" w:cs="Times New Roman" w:eastAsia="Times New Roman" w:hAnsi="Times New Roman"/>
          <w:i w:val="1"/>
          <w:iCs w:val="1"/>
          <w:sz w:val="24"/>
          <w:szCs w:val="24"/>
          <w:rtl w:val="0"/>
        </w:rPr>
        <w:t xml:space="preserve">Journal of the Academy of Marketing Science</w:t>
      </w:r>
      <w:r w:rsidDel="00000000" w:rsidR="00000000" w:rsidRPr="00000000">
        <w:rPr>
          <w:rFonts w:ascii="Times New Roman" w:cs="Times New Roman" w:eastAsia="Times New Roman" w:hAnsi="Times New Roman"/>
          <w:sz w:val="24"/>
          <w:szCs w:val="24"/>
          <w:rtl w:val="0"/>
        </w:rPr>
        <w:t xml:space="preserve">, 45(6), 884–905.</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t xml:space="preserve">Dylan Bates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