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w:rsidR="09511260" w:rsidP="4D56C4FF" w:rsidRDefault="09511260" w14:paraId="506A0B77" w14:textId="23488C29">
      <w:pPr>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1CDD68B1" w14:textId="280DBD83">
      <w:pPr>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1E86B75E" w14:textId="06E24C9D">
      <w:pPr>
        <w:spacing w:line="480" w:lineRule="auto"/>
        <w:jc w:val="center"/>
        <w:rPr>
          <w:rFonts w:ascii="Times New Roman" w:hAnsi="Times New Roman" w:eastAsia="Times New Roman" w:cs="Times New Roman" w:asciiTheme="minorAscii" w:hAnsiTheme="minorAscii" w:eastAsiaTheme="minorAscii" w:cstheme="minorAscii"/>
          <w:b w:val="1"/>
          <w:bCs w:val="1"/>
        </w:rPr>
      </w:pPr>
    </w:p>
    <w:p w:rsidR="7C491E3C" w:rsidP="5BCB2E6A" w:rsidRDefault="7C491E3C" w14:paraId="1AC71911" w14:textId="0C810C08">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5BCB2E6A" w:rsidR="7C491E3C">
        <w:rPr>
          <w:rFonts w:ascii="Times New Roman" w:hAnsi="Times New Roman" w:eastAsia="Times New Roman" w:cs="Times New Roman" w:asciiTheme="minorAscii" w:hAnsiTheme="minorAscii" w:eastAsiaTheme="minorAscii" w:cstheme="minorAscii"/>
          <w:b w:val="1"/>
          <w:bCs w:val="1"/>
        </w:rPr>
        <w:t>MDIA 348 Branded Content and Narrative</w:t>
      </w:r>
    </w:p>
    <w:p w:rsidR="09511260" w:rsidP="4D56C4FF" w:rsidRDefault="09511260" w14:paraId="7E83F985" w14:textId="27532B44">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 </w:t>
      </w:r>
    </w:p>
    <w:p w:rsidR="09511260" w:rsidP="4D56C4FF" w:rsidRDefault="09511260" w14:paraId="6ADF3696" w14:textId="106EAA34">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Julio Hernandez</w:t>
      </w:r>
    </w:p>
    <w:p w:rsidR="09511260" w:rsidP="4D56C4FF" w:rsidRDefault="09511260" w14:paraId="4A34C05F" w14:textId="77555379">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 </w:t>
      </w:r>
    </w:p>
    <w:p w:rsidR="09511260" w:rsidP="4D56C4FF" w:rsidRDefault="09511260" w14:paraId="21A473BC" w14:textId="44798663">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West Virginia University</w:t>
      </w:r>
    </w:p>
    <w:p w:rsidR="09511260" w:rsidP="4D56C4FF" w:rsidRDefault="09511260" w14:paraId="0BFD74B1" w14:textId="4925568E">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 </w:t>
      </w:r>
    </w:p>
    <w:p w:rsidR="09511260" w:rsidP="306D1EC6" w:rsidRDefault="09511260" w14:paraId="6D0EEF72" w14:textId="30090D83">
      <w:pPr>
        <w:pStyle w:val="Normal"/>
        <w:spacing w:line="480" w:lineRule="auto"/>
        <w:jc w:val="center"/>
        <w:rPr>
          <w:rFonts w:ascii="Times New Roman" w:hAnsi="Times New Roman" w:eastAsia="Times New Roman" w:cs="Times New Roman"/>
          <w:noProof w:val="0"/>
          <w:sz w:val="24"/>
          <w:szCs w:val="24"/>
          <w:lang w:val="en-US"/>
        </w:rPr>
      </w:pPr>
      <w:r w:rsidRPr="5BCB2E6A" w:rsidR="338F4954">
        <w:rPr>
          <w:rFonts w:ascii="Times New Roman" w:hAnsi="Times New Roman" w:eastAsia="Times New Roman" w:cs="Times New Roman" w:asciiTheme="minorAscii" w:hAnsiTheme="minorAscii" w:eastAsiaTheme="minorAscii" w:cstheme="minorAscii"/>
          <w:b w:val="1"/>
          <w:bCs w:val="1"/>
        </w:rPr>
        <w:t xml:space="preserve">Instructor: </w:t>
      </w:r>
      <w:r w:rsidRPr="5BCB2E6A" w:rsidR="3393E049">
        <w:rPr>
          <w:rFonts w:ascii="Open Sans" w:hAnsi="Open Sans" w:eastAsia="Open Sans" w:cs="Open Sans"/>
          <w:b w:val="1"/>
          <w:bCs w:val="1"/>
          <w:i w:val="0"/>
          <w:iCs w:val="0"/>
          <w:caps w:val="0"/>
          <w:smallCaps w:val="0"/>
          <w:noProof w:val="0"/>
          <w:color w:val="262626" w:themeColor="text1" w:themeTint="D9" w:themeShade="FF"/>
          <w:sz w:val="21"/>
          <w:szCs w:val="21"/>
          <w:lang w:val="en-US"/>
        </w:rPr>
        <w:t>Michael DeLong</w:t>
      </w:r>
    </w:p>
    <w:p w:rsidR="09511260" w:rsidP="4D56C4FF" w:rsidRDefault="09511260" w14:paraId="111B805D" w14:textId="43DD9B9B">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4D56C4FF" w:rsidR="338F4954">
        <w:rPr>
          <w:rFonts w:ascii="Times New Roman" w:hAnsi="Times New Roman" w:eastAsia="Times New Roman" w:cs="Times New Roman" w:asciiTheme="minorAscii" w:hAnsiTheme="minorAscii" w:eastAsiaTheme="minorAscii" w:cstheme="minorAscii"/>
          <w:b w:val="1"/>
          <w:bCs w:val="1"/>
        </w:rPr>
        <w:t xml:space="preserve"> </w:t>
      </w:r>
    </w:p>
    <w:p w:rsidR="09511260" w:rsidP="4D56C4FF" w:rsidRDefault="09511260" w14:paraId="634CD550" w14:textId="04D81DBC">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r w:rsidRPr="306D1EC6" w:rsidR="338F4954">
        <w:rPr>
          <w:rFonts w:ascii="Times New Roman" w:hAnsi="Times New Roman" w:eastAsia="Times New Roman" w:cs="Times New Roman" w:asciiTheme="minorAscii" w:hAnsiTheme="minorAscii" w:eastAsiaTheme="minorAscii" w:cstheme="minorAscii"/>
          <w:b w:val="1"/>
          <w:bCs w:val="1"/>
        </w:rPr>
        <w:t xml:space="preserve">Date: April </w:t>
      </w:r>
      <w:r w:rsidRPr="306D1EC6" w:rsidR="3465B787">
        <w:rPr>
          <w:rFonts w:ascii="Times New Roman" w:hAnsi="Times New Roman" w:eastAsia="Times New Roman" w:cs="Times New Roman" w:asciiTheme="minorAscii" w:hAnsiTheme="minorAscii" w:eastAsiaTheme="minorAscii" w:cstheme="minorAscii"/>
          <w:b w:val="1"/>
          <w:bCs w:val="1"/>
        </w:rPr>
        <w:t>10</w:t>
      </w:r>
      <w:r w:rsidRPr="306D1EC6" w:rsidR="338F4954">
        <w:rPr>
          <w:rFonts w:ascii="Times New Roman" w:hAnsi="Times New Roman" w:eastAsia="Times New Roman" w:cs="Times New Roman" w:asciiTheme="minorAscii" w:hAnsiTheme="minorAscii" w:eastAsiaTheme="minorAscii" w:cstheme="minorAscii"/>
          <w:b w:val="1"/>
          <w:bCs w:val="1"/>
        </w:rPr>
        <w:t>, 2026</w:t>
      </w:r>
    </w:p>
    <w:p w:rsidR="09511260" w:rsidP="4D56C4FF" w:rsidRDefault="09511260" w14:paraId="64AAEC48" w14:textId="2518E418">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7B653873" w14:textId="45B57780">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09511260" w:rsidP="4D56C4FF" w:rsidRDefault="09511260" w14:paraId="3125B957" w14:textId="2207576A">
      <w:pPr>
        <w:pStyle w:val="Normal"/>
        <w:spacing w:line="480" w:lineRule="auto"/>
        <w:jc w:val="center"/>
        <w:rPr>
          <w:rFonts w:ascii="Times New Roman" w:hAnsi="Times New Roman" w:eastAsia="Times New Roman" w:cs="Times New Roman" w:asciiTheme="minorAscii" w:hAnsiTheme="minorAscii" w:eastAsiaTheme="minorAscii" w:cstheme="minorAscii"/>
          <w:b w:val="1"/>
          <w:bCs w:val="1"/>
        </w:rPr>
      </w:pPr>
    </w:p>
    <w:p w:rsidR="5BCB2E6A" w:rsidP="5BCB2E6A" w:rsidRDefault="5BCB2E6A" w14:paraId="7B2B4DE3" w14:textId="3A78D2FA">
      <w:pPr>
        <w:pStyle w:val="Normal"/>
        <w:spacing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306D1EC6" w:rsidP="5BCB2E6A" w:rsidRDefault="306D1EC6" w14:paraId="5188B25B" w14:textId="6F507C9C">
      <w:pPr>
        <w:pStyle w:val="Normal"/>
        <w:spacing w:before="240" w:beforeAutospacing="off" w:after="120" w:afterAutospacing="off" w:line="480" w:lineRule="auto"/>
        <w:jc w:val="center"/>
        <w:rPr>
          <w:rFonts w:ascii="Times New Roman" w:hAnsi="Times New Roman" w:eastAsia="Times New Roman" w:cs="Times New Roman" w:asciiTheme="minorAscii" w:hAnsiTheme="minorAscii" w:eastAsiaTheme="minorAscii" w:cstheme="minorAscii"/>
          <w:b w:val="1"/>
          <w:bCs w:val="1"/>
        </w:rPr>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Salesforce’s 2026 Super Bowl LX campaign “The Vault,” created in collaboration with YouTube creator MrBeast, offers </w:t>
      </w: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 timely</w:t>
      </w: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example of branded content that uses the Super Bowl as a launchpad for a broader owned‑media experience rather than a standalone TV spot. The commercial presents a one‑million‑dollar prize locked inside a high‑security vault and challenges viewers to decode hidden clues embedded throughout the ad, such as codes on doors, screens in the control room, and environmental details in the set. (USA Today, 2026; Salesforce, 2026c) The spot culminates with a reveal that the entire vault facility forms a scannable QR code when viewed from above, pushing viewers to pause, scan, and enter a digital treasure hunt hosted by Salesforce. (Salesforce, 2026b; SuperBowl‑Ads.com, 2026) Rather than a traditional B2B product demonstration, Salesforce positions the Super Bowl commercial as the first level of an interactive game, aligning with viewers’ expectations for entertainment while borrowing heavily from gaming and creator‑driven challenge formats that are familiar to digital‑native audiences. (Marketing4ecommerce, 2026)</w:t>
      </w:r>
    </w:p>
    <w:p w:rsidR="306D1EC6" w:rsidP="306D1EC6" w:rsidRDefault="306D1EC6" w14:paraId="5659D30D" w14:textId="4F971E83">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From a branded content perspective, “The Vault” is structured around a clear integration of Salesforce’s owned channels, especially a dedicated campaign microsite and corporate editorial content that extends the story beyond the broadcast. Scanning the QR code or visiting mrbeast.salesforce.com leads viewers to a hub that explains the rules of the challenge, eligibility requirements, timing, and prize details, making Salesforce’s website the central node of the experience rather than a passive “learn more” endpoint. (Salesforce, 2026b) Salesforce’s newsroom article “How Slackbot and MrBeast Are Rewriting the Super Bowl Playbook” explicitly frames the effort as “part high‑octane TV commercial, part digital treasure hunt” and connects the vault game to the company’s Agentforce and Slackbot AI assistants. (Salesforce, 2026a) This owned editorial content is crucial from a branded content standpoint because it re‑anchors the spectacle back to Salesforce’s core narrative around AI, productivity, and collaboration, aligning with course concepts of brand voice and narrative coherence across the content ecosystem. (Salesforce, 2026a; Marketing4ecommerce, 2026)</w:t>
      </w:r>
    </w:p>
    <w:p w:rsidR="306D1EC6" w:rsidP="306D1EC6" w:rsidRDefault="306D1EC6" w14:paraId="4841B476" w14:textId="23ACD971">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The campaign also leverages partner and semi‑owned channels through MrBeast’s creator ecosystem to extend reach and deepen engagement. MrBeast promoted the collaboration with TikTok and social content showing the process of “creating a Super Bowl ad with Salesforce,” effectively onboarding his massive creator and gaming‑oriented audience into Salesforce’s experience. (Salesforce, 2026a; TikTok, 2026) Marketing analysis notes that Salesforce effectively “allowed” MrBeast to steer the creative, tapping into his established challenge format—big stakes, fast pacing, and participatory puzzles—to drive organic interest well beyond the in‑game broadcast. (Marketing4ecommerce, 2026) In branded content terms, the combination of Salesforce’s corporate channels with MrBeast’s creator channels illustrates how brands can blend owned, partner, and social distribution while still anchoring the key interactions on a brand‑controlled platform such as the campaign microsite. (Salesforce, 2026b; Marketing4ecommerce, 2026)</w:t>
      </w:r>
    </w:p>
    <w:p w:rsidR="306D1EC6" w:rsidP="306D1EC6" w:rsidRDefault="306D1EC6" w14:paraId="15B3A37C" w14:textId="3D041742">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Viewed through the branded content marketing cycle of planning, production, and promotion, “The Vault” demonstrates how a Super Bowl spot can function as the opening move of a multi‑phase campaign. In the planning phase, Salesforce leadership moved quickly after MrBeast publicly floated the idea of making a Super Bowl ad, recognizing an opportunity to design a challenge‑driven activation that would resonate with younger, creator‑native audiences while still serving a B2B brand. (DesignRush, 2026; USA Today, 2026) Reports from Salesforce’s own channels describe how clues were seeded “everywhere—from videos to websites and even in the real world,” indicating that the Super Bowl commercial was always intended as one entry point into a broader puzzle ecosystem distributed across brand and creator properties. (Salesforce, 2026a) In the production phase, Salesforce and MrBeast combined high‑end TV craft with the visual language of YouTube challenge videos, resulting in a spot that looks and feels like a MrBeast stunt while still meeting Super Bowl creative expectations. (Salesforce, 2026c; Marketing4ecommerce, 2026) Additional assets—including short‑form social clips, behind‑the‑scenes content, and digital clues—were produced to live natively on both Salesforce’s channels and MrBeast’s feeds, ensuring that the narrative was flexible across platforms. (Salesforce, 2026a; TikTok, 2026) During the promotion phase, Salesforce used its microsite, newsroom, and social media accounts to host rules, provide updates, and eventually recap the game, while MrBeast’s posts drove substantial traffic into Salesforce’s owned environment, exemplifying how promotion in the branded content cycle can rely on both brand and creator distribution. (Salesforce, 2026a, 2026b; SuperBowl‑Ads.com, 2026)</w:t>
      </w:r>
    </w:p>
    <w:p w:rsidR="306D1EC6" w:rsidP="306D1EC6" w:rsidRDefault="306D1EC6" w14:paraId="5F789033" w14:textId="63949B6A">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Critically evaluating the campaign, the approach is highly effective at generating engagement and aligning the Salesforce brand with gaming‑ and creator‑style interactivity, but it also introduces strategic trade‑offs. On the positive side, turning a Super Bowl ad into a million‑dollar puzzle converts passive viewership into active participation, which multiple commentators argue is increasingly important as brands compete in a crowded, second‑screen environment. (USA Today, 2026; AOL, 2026) The campaign’s puzzle structure mirrors core features of game design—clear stakes, defined rules, and meaningful rewards—which can be especially compelling for younger audiences accustomed to esports events, in‑game events, and challenge‑based content. (Marketing4ecommerce, 2026) In addition, by placing the challenge mechanics on its own microsite and explicitly connecting the experience to Agentforce and Slackbot in its newsroom content, Salesforce uses its owned media to extend and contextualize the impact of the Super Bowl ad, meeting key course criteria around integration, storytelling, and owned‑channel depth. (Salesforce, 2026a, 2026b)</w:t>
      </w:r>
    </w:p>
    <w:p w:rsidR="306D1EC6" w:rsidP="306D1EC6" w:rsidRDefault="306D1EC6" w14:paraId="1B0CD29C" w14:textId="6E3F47E1">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However, the campaign also demonstrates potential weaknesses of celebrity‑ and creator‑driven spectacle. Critics have pointed out that casual viewers may primarily remember “MrBeast giving away $1 million in a Super Bowl challenge” rather than Salesforce’s core CRM and AI offerings, raising questions about whether the creator’s persona and format overshadow the brand’s product message. (USA Today, 2026; Marketing4ecommerce, 2026) Because the narrative inside the commercial provides minimal explicit product context, viewers who do not scan the QR code or follow the puzzle may enjoy the stunt without gaining a clear understanding of what Salesforce actually does. (USA Today, 2026; Salesforce, 2026a) From a branded content strategy perspective, this suggests that while interactive, creator‑anchored campaigns can powerfully extend a Super Bowl ad through owned and partner channels, brands must ensure that follow‑up website content, email nurturing, and post‑campaign storytelling explicitly reinforce the brand’s core value proposition. (Salesforce, 2026a; Marketing4ecommerce, 2026)</w:t>
      </w:r>
    </w:p>
    <w:p w:rsidR="306D1EC6" w:rsidP="306D1EC6" w:rsidRDefault="306D1EC6" w14:paraId="00F8A272" w14:textId="7C1440D1">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In summary, Salesforce and MrBeast’s “The Vault” demonstrates how a Super Bowl spot can be designed as the first level of a broader branded content game, with owned digital properties and creator ecosystems working together to extend engagement across the planning, production, and promotion stages of the branded content cycle. By using a dedicated microsite, corporate newsroom narratives, and MrBeast’s social reach, Salesforce successfully transforms a traditional 30‑second ad into an integrated content experience that emphasizes audience participation, narrative coherence, and owned‑channel integration. (Salesforce, 2026a, 2026b; Marketing4ecommerce, 2026) At the same time, the campaign highlights the importance of balancing spectacle with clarity: future branded content efforts can build on this model by maintaining the interactive, gaming‑inspired structure while more directly reinforcing the brand’s offerings in every owned touchpoint, ensuring that the extended content journey strengthens both engagement and understanding of the brand. (USA Today, 2026; Salesforce, 2026a)</w:t>
      </w:r>
    </w:p>
    <w:p w:rsidR="306D1EC6" w:rsidP="5BCB2E6A" w:rsidRDefault="306D1EC6" w14:paraId="3120D540" w14:textId="09159729">
      <w:pPr>
        <w:pStyle w:val="Normal"/>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306D1EC6" w:rsidP="306D1EC6" w:rsidRDefault="306D1EC6" w14:paraId="617308E6" w14:textId="214FE246">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References</w:t>
      </w:r>
    </w:p>
    <w:p w:rsidR="306D1EC6" w:rsidP="306D1EC6" w:rsidRDefault="306D1EC6" w14:paraId="133E0393" w14:textId="062FCBEA">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AOL. (2026, February 8). MrBeast just turned his Super Bowl ad into a $1M contest. https://www.aol.com/articles/mrbeast-just-turned-super-bowl-103300977.html</w:t>
      </w:r>
    </w:p>
    <w:p w:rsidR="306D1EC6" w:rsidP="306D1EC6" w:rsidRDefault="306D1EC6" w14:paraId="69ECD55A" w14:textId="602D5DDC">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DesignRush. (2026, January 1). Marc Benioff invites MrBeast for Super Bowl 2026 ad. https://news.designrush.com/salesforce-ceo-marc-benioff-publicly-invites-mrbeast-to-create-super-bowl-2026-ad-2</w:t>
      </w:r>
    </w:p>
    <w:p w:rsidR="306D1EC6" w:rsidP="306D1EC6" w:rsidRDefault="306D1EC6" w14:paraId="4988C3F2" w14:textId="34BDBEB7">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Marketing4ecommerce. (2026, February 8). Salesforce “allows” Mr Beast to create their Superbowl ad. https://marketing4ecommerce.net/en/salesforce-mr-beast-super-bowl/</w:t>
      </w:r>
    </w:p>
    <w:p w:rsidR="306D1EC6" w:rsidP="306D1EC6" w:rsidRDefault="306D1EC6" w14:paraId="116012C6" w14:textId="1AFBE0EE">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Salesforce. (2026a, February 20). How Slackbot and MrBeast are rewriting the Super Bowl playbook. https://www.marketscreener.com/news/the-million-dollar-puzzle-how-slackbot-and-mrbeast-are-rewriting-the-super-bowl-playbook-ce7</w:t>
      </w:r>
    </w:p>
    <w:p w:rsidR="306D1EC6" w:rsidP="306D1EC6" w:rsidRDefault="306D1EC6" w14:paraId="1EBD3E7C" w14:textId="3F391261">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Salesforce. (2026b). MrBeast and Salesforce. https://mrbeast.salesforce.com</w:t>
      </w:r>
    </w:p>
    <w:p w:rsidR="306D1EC6" w:rsidP="306D1EC6" w:rsidRDefault="306D1EC6" w14:paraId="0C2700F3" w14:textId="2A7B8725">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Salesforce. (2026c, February 8). Salesforce Big Game Ad: @MrBeast’s Vault [Video]. YouTube. https://www.youtube.com/watch?v=Lp9OEfkWfLI</w:t>
      </w:r>
    </w:p>
    <w:p w:rsidR="306D1EC6" w:rsidP="306D1EC6" w:rsidRDefault="306D1EC6" w14:paraId="5591D9D7" w14:textId="4DC8F6E8">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SuperBowl‑Ads.com. (2026, February 8). Salesforce Slack Mr Beast “@MrBeast’s Vault.” https://www.superbowl-ads.com/salesforce-slack-mr-beast-watch-my-super-bowl-ad-to-win-1000000/</w:t>
      </w:r>
    </w:p>
    <w:p w:rsidR="306D1EC6" w:rsidP="306D1EC6" w:rsidRDefault="306D1EC6" w14:paraId="6B091A6A" w14:textId="76D951A0">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TikTok. (2026, January 15). Creating a Super Bowl ad with Salesforce [Video]. TikTok. https://www.tiktok.com/@mrbeast/video/7596006307111390495</w:t>
      </w:r>
    </w:p>
    <w:p w:rsidR="306D1EC6" w:rsidP="306D1EC6" w:rsidRDefault="306D1EC6" w14:paraId="5C26E0E6" w14:textId="4C346814">
      <w:pPr>
        <w:pStyle w:val="Normal"/>
        <w:spacing w:before="240" w:beforeAutospacing="off" w:after="120" w:afterAutospacing="off" w:line="480" w:lineRule="auto"/>
        <w:jc w:val="left"/>
      </w:pPr>
      <w:r w:rsidRPr="5BCB2E6A" w:rsidR="258F51F1">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USA Today. (2026, February 8). Exclusive: MrBeast launches “Million Dollar Puzzle” with Super Bowl ad. https://www.usatoday.com/story/entertainment/2026/02/08/mrbeast-million-dollar-puzzle-super-bowl-ad/88553887007/</w:t>
      </w:r>
    </w:p>
    <w:p w:rsidR="306D1EC6" w:rsidP="5BCB2E6A" w:rsidRDefault="306D1EC6" w14:paraId="1DDFB8C9" w14:textId="0C50677B">
      <w:pPr>
        <w:pStyle w:val="Normal"/>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p w:rsidR="306D1EC6" w:rsidP="5BCB2E6A" w:rsidRDefault="306D1EC6" w14:paraId="463383F9" w14:textId="5251B1F7">
      <w:pPr>
        <w:pStyle w:val="Normal"/>
        <w:spacing w:before="240" w:beforeAutospacing="off" w:after="12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pPr>
    </w:p>
    <w:sectPr>
      <w:pgSz w:w="12240" w:h="15840" w:orient="portrait"/>
      <w:pgMar w:top="1440" w:right="1440" w:bottom="1440" w:left="1440" w:header="720" w:footer="720" w:gutter="0"/>
      <w:cols w:space="720"/>
      <w:docGrid w:linePitch="360"/>
      <w:headerReference w:type="default" r:id="Ra24b28a6a32f411e"/>
      <w:footerReference w:type="default" r:id="Ra35a37055dec41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511260" w:rsidTr="09511260" w14:paraId="2B895DC9">
      <w:trPr>
        <w:trHeight w:val="300"/>
      </w:trPr>
      <w:tc>
        <w:tcPr>
          <w:tcW w:w="3120" w:type="dxa"/>
          <w:tcMar/>
        </w:tcPr>
        <w:p w:rsidR="09511260" w:rsidP="09511260" w:rsidRDefault="09511260" w14:paraId="77B1F2D2" w14:textId="5409290F">
          <w:pPr>
            <w:pStyle w:val="Header"/>
            <w:bidi w:val="0"/>
            <w:ind w:left="-115"/>
            <w:jc w:val="left"/>
          </w:pPr>
        </w:p>
      </w:tc>
      <w:tc>
        <w:tcPr>
          <w:tcW w:w="3120" w:type="dxa"/>
          <w:tcMar/>
        </w:tcPr>
        <w:p w:rsidR="09511260" w:rsidP="09511260" w:rsidRDefault="09511260" w14:paraId="383B556C" w14:textId="075C25E3">
          <w:pPr>
            <w:pStyle w:val="Header"/>
            <w:bidi w:val="0"/>
            <w:jc w:val="center"/>
          </w:pPr>
        </w:p>
      </w:tc>
      <w:tc>
        <w:tcPr>
          <w:tcW w:w="3120" w:type="dxa"/>
          <w:tcMar/>
        </w:tcPr>
        <w:p w:rsidR="09511260" w:rsidP="09511260" w:rsidRDefault="09511260" w14:paraId="226C9661" w14:textId="38272F82">
          <w:pPr>
            <w:pStyle w:val="Header"/>
            <w:bidi w:val="0"/>
            <w:ind w:right="-115"/>
            <w:jc w:val="right"/>
          </w:pPr>
        </w:p>
      </w:tc>
    </w:tr>
  </w:tbl>
  <w:p w:rsidR="09511260" w:rsidP="09511260" w:rsidRDefault="09511260" w14:paraId="3306717A" w14:textId="7A53DFD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8670"/>
      <w:gridCol w:w="345"/>
      <w:gridCol w:w="345"/>
    </w:tblGrid>
    <w:tr w:rsidR="09511260" w:rsidTr="5BCB2E6A" w14:paraId="0C78B9AB">
      <w:trPr>
        <w:trHeight w:val="300"/>
      </w:trPr>
      <w:tc>
        <w:tcPr>
          <w:tcW w:w="8670" w:type="dxa"/>
          <w:tcMar/>
        </w:tcPr>
        <w:p w:rsidR="09511260" w:rsidP="4D56C4FF" w:rsidRDefault="09511260" w14:paraId="5DAD645D" w14:textId="2EE5176C">
          <w:pPr>
            <w:pStyle w:val="Normal"/>
            <w:spacing w:line="480" w:lineRule="auto"/>
            <w:ind/>
            <w:jc w:val="center"/>
          </w:pPr>
          <w:r w:rsidRPr="5BCB2E6A" w:rsidR="5BCB2E6A">
            <w:rPr>
              <w:rFonts w:ascii="Times New Roman" w:hAnsi="Times New Roman" w:eastAsia="Times New Roman" w:cs="Times New Roman" w:asciiTheme="minorAscii" w:hAnsiTheme="minorAscii" w:eastAsiaTheme="minorAscii" w:cstheme="minorAscii"/>
              <w:b w:val="1"/>
              <w:bCs w:val="1"/>
            </w:rPr>
            <w:t>Extra Credit Assignment: Super Bowl 2026 Branded Content Integration</w:t>
          </w:r>
        </w:p>
      </w:tc>
      <w:tc>
        <w:tcPr>
          <w:tcW w:w="345" w:type="dxa"/>
          <w:tcMar/>
        </w:tcPr>
        <w:p w:rsidR="09511260" w:rsidP="09511260" w:rsidRDefault="09511260" w14:paraId="56CCC7AD" w14:textId="66F0BE53">
          <w:pPr>
            <w:pStyle w:val="Header"/>
            <w:bidi w:val="0"/>
            <w:jc w:val="center"/>
          </w:pPr>
        </w:p>
      </w:tc>
      <w:tc>
        <w:tcPr>
          <w:tcW w:w="345" w:type="dxa"/>
          <w:tcMar/>
        </w:tcPr>
        <w:p w:rsidR="09511260" w:rsidP="09511260" w:rsidRDefault="09511260" w14:paraId="74C3E26E" w14:textId="725F8CF7">
          <w:pPr>
            <w:pStyle w:val="Header"/>
            <w:bidi w:val="0"/>
            <w:ind w:right="-115"/>
            <w:jc w:val="right"/>
          </w:pPr>
        </w:p>
      </w:tc>
    </w:tr>
  </w:tbl>
  <w:p w:rsidR="09511260" w:rsidP="09511260" w:rsidRDefault="09511260" w14:paraId="680FC2EF" w14:textId="6B5B45AD">
    <w:pPr>
      <w:pStyle w:val="Header"/>
      <w:bidi w:val="0"/>
    </w:pPr>
  </w:p>
</w:hdr>
</file>

<file path=word/numbering.xml><?xml version="1.0" encoding="utf-8"?>
<w:numbering xmlns:w="http://schemas.openxmlformats.org/wordprocessingml/2006/main">
  <w:abstractNum xmlns:w="http://schemas.openxmlformats.org/wordprocessingml/2006/main" w:abstractNumId="4">
    <w:nsid w:val="4a26e2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d2bf9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1aa36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12342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603367"/>
    <w:rsid w:val="00B3A66E"/>
    <w:rsid w:val="0130976E"/>
    <w:rsid w:val="01A0D238"/>
    <w:rsid w:val="01F2528B"/>
    <w:rsid w:val="02CF3457"/>
    <w:rsid w:val="031DFFF8"/>
    <w:rsid w:val="03DC1DE6"/>
    <w:rsid w:val="042DEB55"/>
    <w:rsid w:val="057D17A2"/>
    <w:rsid w:val="0716426B"/>
    <w:rsid w:val="07956B5F"/>
    <w:rsid w:val="08817F82"/>
    <w:rsid w:val="09511260"/>
    <w:rsid w:val="0987FD1B"/>
    <w:rsid w:val="0B2D0561"/>
    <w:rsid w:val="0B36AEF4"/>
    <w:rsid w:val="0B4B7EF7"/>
    <w:rsid w:val="0B4E622A"/>
    <w:rsid w:val="0B9B0EA2"/>
    <w:rsid w:val="0D9A7A23"/>
    <w:rsid w:val="0EE597C2"/>
    <w:rsid w:val="0F55423B"/>
    <w:rsid w:val="10C6E85B"/>
    <w:rsid w:val="110487C3"/>
    <w:rsid w:val="113E8BE0"/>
    <w:rsid w:val="11CA9670"/>
    <w:rsid w:val="124C3C75"/>
    <w:rsid w:val="139F5C68"/>
    <w:rsid w:val="141BCB6E"/>
    <w:rsid w:val="15B9B6C1"/>
    <w:rsid w:val="166D71EE"/>
    <w:rsid w:val="186EA385"/>
    <w:rsid w:val="19543819"/>
    <w:rsid w:val="1A38963D"/>
    <w:rsid w:val="1CA2EADC"/>
    <w:rsid w:val="1D6EDD51"/>
    <w:rsid w:val="1D8B1B79"/>
    <w:rsid w:val="1DF7645D"/>
    <w:rsid w:val="1E26CAAE"/>
    <w:rsid w:val="1ED0E3CF"/>
    <w:rsid w:val="1F19C6CD"/>
    <w:rsid w:val="207C06CD"/>
    <w:rsid w:val="24191916"/>
    <w:rsid w:val="24603367"/>
    <w:rsid w:val="24FC920D"/>
    <w:rsid w:val="25681860"/>
    <w:rsid w:val="258F51F1"/>
    <w:rsid w:val="26215FCA"/>
    <w:rsid w:val="26551343"/>
    <w:rsid w:val="26DBC5A0"/>
    <w:rsid w:val="27C727A4"/>
    <w:rsid w:val="28A4085C"/>
    <w:rsid w:val="28E844B6"/>
    <w:rsid w:val="294BB77E"/>
    <w:rsid w:val="297FDF7C"/>
    <w:rsid w:val="299D9189"/>
    <w:rsid w:val="29FE77B0"/>
    <w:rsid w:val="2A0C33DD"/>
    <w:rsid w:val="2BAD5313"/>
    <w:rsid w:val="2BF9BEA2"/>
    <w:rsid w:val="2C175741"/>
    <w:rsid w:val="2E9B0ED2"/>
    <w:rsid w:val="2FBE1B72"/>
    <w:rsid w:val="306D1EC6"/>
    <w:rsid w:val="3137048A"/>
    <w:rsid w:val="33436AD9"/>
    <w:rsid w:val="338F4954"/>
    <w:rsid w:val="3393E049"/>
    <w:rsid w:val="33ECF7C2"/>
    <w:rsid w:val="3465B787"/>
    <w:rsid w:val="347FB884"/>
    <w:rsid w:val="354AFB66"/>
    <w:rsid w:val="358EC53B"/>
    <w:rsid w:val="378992AE"/>
    <w:rsid w:val="39D013E5"/>
    <w:rsid w:val="3A2C00A3"/>
    <w:rsid w:val="3ACDC9BD"/>
    <w:rsid w:val="3B192FB7"/>
    <w:rsid w:val="40B72C28"/>
    <w:rsid w:val="42D925F1"/>
    <w:rsid w:val="43FF3528"/>
    <w:rsid w:val="441A8290"/>
    <w:rsid w:val="4496D199"/>
    <w:rsid w:val="44BD69E2"/>
    <w:rsid w:val="45541C21"/>
    <w:rsid w:val="45AE5456"/>
    <w:rsid w:val="4615D1D1"/>
    <w:rsid w:val="4667898F"/>
    <w:rsid w:val="46FBCD30"/>
    <w:rsid w:val="47E4DAA4"/>
    <w:rsid w:val="4819D839"/>
    <w:rsid w:val="4827DF42"/>
    <w:rsid w:val="4899A6CD"/>
    <w:rsid w:val="49037857"/>
    <w:rsid w:val="4A7227A9"/>
    <w:rsid w:val="4C64DF49"/>
    <w:rsid w:val="4CE0885B"/>
    <w:rsid w:val="4D56C4FF"/>
    <w:rsid w:val="4D9C69A2"/>
    <w:rsid w:val="4DC2FFEE"/>
    <w:rsid w:val="4DEC1065"/>
    <w:rsid w:val="4EB472D8"/>
    <w:rsid w:val="4F17B988"/>
    <w:rsid w:val="4FB93B27"/>
    <w:rsid w:val="4FF185BE"/>
    <w:rsid w:val="5076BD70"/>
    <w:rsid w:val="51B2510F"/>
    <w:rsid w:val="51F36AA0"/>
    <w:rsid w:val="5250C541"/>
    <w:rsid w:val="52FE43BD"/>
    <w:rsid w:val="54AF7F86"/>
    <w:rsid w:val="55CCFBF1"/>
    <w:rsid w:val="55EF28D0"/>
    <w:rsid w:val="56CC14D2"/>
    <w:rsid w:val="581D491B"/>
    <w:rsid w:val="58571407"/>
    <w:rsid w:val="58C672E9"/>
    <w:rsid w:val="5901C78A"/>
    <w:rsid w:val="5914F68C"/>
    <w:rsid w:val="5A4970FA"/>
    <w:rsid w:val="5BCB2E6A"/>
    <w:rsid w:val="5BCD5A3A"/>
    <w:rsid w:val="5C972A8C"/>
    <w:rsid w:val="5C9D6059"/>
    <w:rsid w:val="5CCE607C"/>
    <w:rsid w:val="5D55023C"/>
    <w:rsid w:val="5E273DF7"/>
    <w:rsid w:val="605E93F4"/>
    <w:rsid w:val="60B7A2E8"/>
    <w:rsid w:val="61492A0E"/>
    <w:rsid w:val="615F54AA"/>
    <w:rsid w:val="6167C6FE"/>
    <w:rsid w:val="6233D44D"/>
    <w:rsid w:val="63416329"/>
    <w:rsid w:val="64BB52DB"/>
    <w:rsid w:val="663FAAD3"/>
    <w:rsid w:val="68980C10"/>
    <w:rsid w:val="6D4E9CF6"/>
    <w:rsid w:val="6DEE9312"/>
    <w:rsid w:val="704FDF2A"/>
    <w:rsid w:val="706F8F95"/>
    <w:rsid w:val="70980092"/>
    <w:rsid w:val="70EC1222"/>
    <w:rsid w:val="72F09C07"/>
    <w:rsid w:val="731F1855"/>
    <w:rsid w:val="74A495B1"/>
    <w:rsid w:val="768A8906"/>
    <w:rsid w:val="76DC7112"/>
    <w:rsid w:val="77AA83BD"/>
    <w:rsid w:val="78611E98"/>
    <w:rsid w:val="7B2BDBA7"/>
    <w:rsid w:val="7C157992"/>
    <w:rsid w:val="7C491E3C"/>
    <w:rsid w:val="7C8FEDDB"/>
    <w:rsid w:val="7DC4ED44"/>
    <w:rsid w:val="7DECA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3367"/>
  <w15:chartTrackingRefBased/>
  <w15:docId w15:val="{EB9D916C-F222-4FC8-9F57-3443211DD2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042DEB55"/>
    <w:rPr>
      <w:color w:val="467886"/>
      <w:u w:val="single"/>
    </w:rPr>
  </w:style>
  <w:style w:type="paragraph" w:styleId="Header">
    <w:uiPriority w:val="99"/>
    <w:name w:val="header"/>
    <w:basedOn w:val="Normal"/>
    <w:unhideWhenUsed/>
    <w:rsid w:val="09511260"/>
    <w:pPr>
      <w:tabs>
        <w:tab w:val="center" w:leader="none" w:pos="4680"/>
        <w:tab w:val="right" w:leader="none" w:pos="9360"/>
      </w:tabs>
      <w:spacing w:after="0" w:line="240" w:lineRule="auto"/>
    </w:pPr>
  </w:style>
  <w:style w:type="paragraph" w:styleId="Footer">
    <w:uiPriority w:val="99"/>
    <w:name w:val="footer"/>
    <w:basedOn w:val="Normal"/>
    <w:unhideWhenUsed/>
    <w:rsid w:val="09511260"/>
    <w:pPr>
      <w:tabs>
        <w:tab w:val="center" w:leader="none" w:pos="4680"/>
        <w:tab w:val="right" w:leader="none" w:pos="9360"/>
      </w:tabs>
      <w:spacing w:after="0" w:line="240" w:lineRule="auto"/>
    </w:pPr>
  </w:style>
  <w:style w:type="paragraph" w:styleId="Heading1">
    <w:uiPriority w:val="9"/>
    <w:name w:val="heading 1"/>
    <w:basedOn w:val="Normal"/>
    <w:next w:val="Normal"/>
    <w:qFormat/>
    <w:rsid w:val="095112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51126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02CF3457"/>
    <w:pPr>
      <w:spacing/>
      <w:ind w:left="720"/>
      <w:contextualSpacing/>
    </w:pPr>
  </w:style>
  <w:style w:type="paragraph" w:styleId="NoSpacing">
    <w:uiPriority w:val="1"/>
    <w:name w:val="No Spacing"/>
    <w:qFormat/>
    <w:rsid w:val="02CF3457"/>
    <w:pPr>
      <w:spacing w:after="0"/>
    </w:pPr>
  </w:style>
  <w:style w:type="character" w:styleId="Strong">
    <w:uiPriority w:val="22"/>
    <w:name w:val="Strong"/>
    <w:basedOn w:val="DefaultParagraphFont"/>
    <w:qFormat/>
    <w:rsid w:val="02CF3457"/>
    <w:rPr>
      <w:b w:val="1"/>
      <w:bCs w:val="1"/>
    </w:rPr>
  </w:style>
  <w:style w:type="paragraph" w:styleId="Heading3">
    <w:uiPriority w:val="9"/>
    <w:name w:val="heading 3"/>
    <w:basedOn w:val="Normal"/>
    <w:next w:val="Normal"/>
    <w:unhideWhenUsed/>
    <w:qFormat/>
    <w:rsid w:val="4D56C4F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D56C4FF"/>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24b28a6a32f411e" /><Relationship Type="http://schemas.openxmlformats.org/officeDocument/2006/relationships/footer" Target="footer.xml" Id="Ra35a37055dec4124" /><Relationship Type="http://schemas.openxmlformats.org/officeDocument/2006/relationships/numbering" Target="numbering.xml" Id="R5871d08465e4427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2026-02-26T02:07:46.4660751Z</dcterms:created>
  <dcterms:modified xsi:type="dcterms:W3CDTF">2026-04-11T00:03:08.8991495Z</dcterms:modified>
  <dc:creator>Julio Hernandez</dc:creator>
  <lastModifiedBy>Julio Hernandez</lastModifiedBy>
</coreProperties>
</file>