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4989A00E" w14:textId="224CA59F" w:rsidR="008747E2" w:rsidRDefault="008747E2" w:rsidP="00CF4FEB">
      <w:pPr>
        <w:pStyle w:val="NormalWeb"/>
        <w:numPr>
          <w:ilvl w:val="0"/>
          <w:numId w:val="2"/>
        </w:numPr>
        <w:spacing w:before="0" w:beforeAutospacing="0" w:after="0" w:afterAutospacing="0"/>
        <w:ind w:left="720" w:hanging="360"/>
        <w:rPr>
          <w:color w:val="000000"/>
        </w:rPr>
      </w:pPr>
      <w:r>
        <w:rPr>
          <w:color w:val="000000"/>
        </w:rPr>
        <w:t xml:space="preserve">Louder, R. </w:t>
      </w:r>
      <w:r>
        <w:rPr>
          <w:i/>
          <w:iCs/>
          <w:color w:val="000000"/>
        </w:rPr>
        <w:t>et al.</w:t>
      </w:r>
      <w:r>
        <w:rPr>
          <w:color w:val="000000"/>
        </w:rPr>
        <w:t xml:space="preserve"> (2024, in press) “</w:t>
      </w:r>
      <w:r w:rsidRPr="008747E2">
        <w:rPr>
          <w:color w:val="000000"/>
        </w:rPr>
        <w:t>Molecular basis of global promoter sensing and nucleosome capture by the SWR1 chromatin remodeler</w:t>
      </w:r>
      <w:r>
        <w:rPr>
          <w:color w:val="000000"/>
        </w:rPr>
        <w:t xml:space="preserve">,” </w:t>
      </w:r>
      <w:r>
        <w:rPr>
          <w:i/>
          <w:iCs/>
          <w:color w:val="000000"/>
        </w:rPr>
        <w:t>Cell</w:t>
      </w:r>
      <w:r>
        <w:rPr>
          <w:color w:val="000000"/>
        </w:rPr>
        <w:t>.</w:t>
      </w:r>
    </w:p>
    <w:p w14:paraId="2BC6F9ED" w14:textId="22664C4B"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18CE566C" w14:textId="77777777" w:rsidR="00B47E5C" w:rsidRDefault="00B47E5C">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2C596481" w14:textId="5FB850C1" w:rsidR="003179F6" w:rsidRDefault="003179F6" w:rsidP="003179F6">
      <w:pPr>
        <w:tabs>
          <w:tab w:val="right" w:pos="9360"/>
        </w:tabs>
        <w:rPr>
          <w:color w:val="000000"/>
          <w:sz w:val="28"/>
          <w:szCs w:val="28"/>
          <w:u w:val="single"/>
        </w:rPr>
      </w:pPr>
      <w:r>
        <w:rPr>
          <w:color w:val="000000"/>
          <w:sz w:val="28"/>
          <w:szCs w:val="28"/>
          <w:u w:val="single"/>
        </w:rPr>
        <w:t>Volunteering</w:t>
      </w:r>
    </w:p>
    <w:p w14:paraId="1DDDFAD0" w14:textId="643EF464" w:rsidR="003179F6" w:rsidRPr="003179F6" w:rsidRDefault="003179F6" w:rsidP="003179F6">
      <w:pPr>
        <w:numPr>
          <w:ilvl w:val="0"/>
          <w:numId w:val="4"/>
        </w:numPr>
        <w:tabs>
          <w:tab w:val="right" w:pos="9360"/>
        </w:tabs>
        <w:ind w:left="720" w:hanging="360"/>
        <w:rPr>
          <w:color w:val="000000"/>
          <w:sz w:val="24"/>
          <w:szCs w:val="24"/>
        </w:rPr>
      </w:pPr>
      <w:r>
        <w:rPr>
          <w:color w:val="000000"/>
          <w:sz w:val="24"/>
          <w:szCs w:val="24"/>
        </w:rPr>
        <w:t xml:space="preserve">African Society for Bioinformatics and Computational Biology (ASBCB) omics </w:t>
      </w:r>
      <w:proofErr w:type="spellStart"/>
      <w:r>
        <w:rPr>
          <w:color w:val="000000"/>
          <w:sz w:val="24"/>
          <w:szCs w:val="24"/>
        </w:rPr>
        <w:t>codeathon</w:t>
      </w:r>
      <w:proofErr w:type="spellEnd"/>
      <w:r>
        <w:rPr>
          <w:color w:val="000000"/>
          <w:sz w:val="24"/>
          <w:szCs w:val="24"/>
        </w:rPr>
        <w:t xml:space="preserve"> judge (2023, 2024)</w:t>
      </w:r>
    </w:p>
    <w:p w14:paraId="5AD09D53" w14:textId="77777777" w:rsidR="003179F6" w:rsidRDefault="003179F6"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0509EF51" w14:textId="3316E907" w:rsidR="008747E2" w:rsidRDefault="008747E2" w:rsidP="009B35B1">
      <w:pPr>
        <w:numPr>
          <w:ilvl w:val="0"/>
          <w:numId w:val="4"/>
        </w:numPr>
        <w:tabs>
          <w:tab w:val="right" w:pos="9360"/>
        </w:tabs>
        <w:ind w:left="720" w:hanging="360"/>
        <w:rPr>
          <w:color w:val="000000"/>
          <w:sz w:val="24"/>
          <w:szCs w:val="24"/>
        </w:rPr>
      </w:pPr>
      <w:r>
        <w:rPr>
          <w:color w:val="000000"/>
          <w:sz w:val="24"/>
          <w:szCs w:val="24"/>
        </w:rPr>
        <w:t>INTERSECT; Princeton, NJ; all expenses paid</w:t>
      </w:r>
    </w:p>
    <w:p w14:paraId="2E81314C" w14:textId="717A89EB"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000000" w:rsidP="00A94DDD">
      <w:pPr>
        <w:pStyle w:val="ListParagraph"/>
        <w:numPr>
          <w:ilvl w:val="0"/>
          <w:numId w:val="1"/>
        </w:numPr>
        <w:rPr>
          <w:color w:val="000000"/>
          <w:sz w:val="24"/>
          <w:szCs w:val="24"/>
        </w:rPr>
      </w:pPr>
      <w:hyperlink r:id="rId6" w:history="1">
        <w:r w:rsidR="00A94DDD" w:rsidRPr="00C54245">
          <w:rPr>
            <w:rStyle w:val="Hyperlink"/>
            <w:sz w:val="24"/>
            <w:szCs w:val="24"/>
          </w:rPr>
          <w:t>https://orcid.org/0000-0001-6026-2211</w:t>
        </w:r>
      </w:hyperlink>
      <w:r w:rsidR="00A94DDD">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6A1549"/>
    <w:multiLevelType w:val="hybridMultilevel"/>
    <w:tmpl w:val="9D1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7"/>
  </w:num>
  <w:num w:numId="5" w16cid:durableId="1785298615">
    <w:abstractNumId w:val="0"/>
  </w:num>
  <w:num w:numId="6" w16cid:durableId="1347749609">
    <w:abstractNumId w:val="1"/>
  </w:num>
  <w:num w:numId="7" w16cid:durableId="921648930">
    <w:abstractNumId w:val="2"/>
  </w:num>
  <w:num w:numId="8" w16cid:durableId="64751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179F6"/>
    <w:rsid w:val="003247A0"/>
    <w:rsid w:val="00471FE5"/>
    <w:rsid w:val="00531872"/>
    <w:rsid w:val="005861A4"/>
    <w:rsid w:val="00594E84"/>
    <w:rsid w:val="005D198A"/>
    <w:rsid w:val="005E5B30"/>
    <w:rsid w:val="00607B45"/>
    <w:rsid w:val="006B4E25"/>
    <w:rsid w:val="007412FC"/>
    <w:rsid w:val="007D022B"/>
    <w:rsid w:val="008747E2"/>
    <w:rsid w:val="00887E83"/>
    <w:rsid w:val="008A2614"/>
    <w:rsid w:val="008E25D0"/>
    <w:rsid w:val="0095426F"/>
    <w:rsid w:val="009708A1"/>
    <w:rsid w:val="009A4EC8"/>
    <w:rsid w:val="009B35B1"/>
    <w:rsid w:val="00A94DDD"/>
    <w:rsid w:val="00B47E5C"/>
    <w:rsid w:val="00B87F81"/>
    <w:rsid w:val="00C3284E"/>
    <w:rsid w:val="00C56D96"/>
    <w:rsid w:val="00CF4FEB"/>
    <w:rsid w:val="00D16D1C"/>
    <w:rsid w:val="00D40B20"/>
    <w:rsid w:val="00D5165A"/>
    <w:rsid w:val="00DA3805"/>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11" Type="http://schemas.openxmlformats.org/officeDocument/2006/relationships/theme" Target="theme/theme1.xml"/><Relationship Id="rId5" Type="http://schemas.openxmlformats.org/officeDocument/2006/relationships/hyperlink" Target="file:///Users/jsc333/Documents/jcha40.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2</cp:revision>
  <cp:lastPrinted>2024-02-13T20:13:00Z</cp:lastPrinted>
  <dcterms:created xsi:type="dcterms:W3CDTF">2024-09-06T19:15:00Z</dcterms:created>
  <dcterms:modified xsi:type="dcterms:W3CDTF">2024-09-06T19:15:00Z</dcterms:modified>
</cp:coreProperties>
</file>