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3CE" w:rsidRDefault="005967F5" w:rsidP="00900940">
      <w:pPr>
        <w:pStyle w:val="Heading2"/>
      </w:pPr>
      <w:r>
        <w:t>M</w:t>
      </w:r>
      <w:r w:rsidR="002F23CE">
        <w:t>acroeconomic scenarios</w:t>
      </w:r>
      <w:r w:rsidR="00FA00E5">
        <w:t xml:space="preserve"> for Solvency Stress Tests</w:t>
      </w:r>
    </w:p>
    <w:p w:rsidR="00C13D72" w:rsidRPr="00C13D72" w:rsidRDefault="00C13D72" w:rsidP="00376333">
      <w:pPr>
        <w:pStyle w:val="ParagraphNumbering"/>
      </w:pPr>
      <w:r>
        <w:rPr>
          <w:b/>
        </w:rPr>
        <w:t>The macroeconomic scenarios include both domestic and international economic and financial variables</w:t>
      </w:r>
      <w:r>
        <w:t xml:space="preserve">. Consistent with the TD STs conducted by the central bank, the set of seven domestic variables include the exchange rate, the rate of the 28-day </w:t>
      </w:r>
      <w:proofErr w:type="spellStart"/>
      <w:r>
        <w:t>Cetes</w:t>
      </w:r>
      <w:proofErr w:type="spellEnd"/>
      <w:r>
        <w:t xml:space="preserve"> (Mexican Federal Treasury Certificates), the Mexican stock index (I PC), the domestic index of economic activity (IGAE), the consumer price index (CPI), </w:t>
      </w:r>
      <w:r w:rsidR="005967F5">
        <w:t xml:space="preserve">commercial </w:t>
      </w:r>
      <w:r>
        <w:t>bank credit</w:t>
      </w:r>
      <w:r w:rsidR="005967F5">
        <w:t xml:space="preserve">, </w:t>
      </w:r>
      <w:r>
        <w:t>and the unemployment rate. The set of international variables include the U.S. industrial production index, the West Texas Intermediate oil price, the U.S. three-month Treasury bill yield, the U.S. 10-year Treasury bond yield, the VIX, and the Dow Jones index.</w:t>
      </w:r>
    </w:p>
    <w:p w:rsidR="00C13D72" w:rsidRDefault="008758F6" w:rsidP="00C13D72">
      <w:pPr>
        <w:pStyle w:val="ParagraphNumbering"/>
      </w:pPr>
      <w:r>
        <w:rPr>
          <w:b/>
        </w:rPr>
        <w:t>We suggest t</w:t>
      </w:r>
      <w:r w:rsidR="002F23CE" w:rsidRPr="00376333">
        <w:rPr>
          <w:b/>
        </w:rPr>
        <w:t xml:space="preserve">he </w:t>
      </w:r>
      <w:r w:rsidR="00311A3B">
        <w:rPr>
          <w:b/>
        </w:rPr>
        <w:t>TD</w:t>
      </w:r>
      <w:r w:rsidR="002F23CE" w:rsidRPr="00376333">
        <w:rPr>
          <w:b/>
        </w:rPr>
        <w:t xml:space="preserve"> solvency stress tests examine two set</w:t>
      </w:r>
      <w:r w:rsidR="00311A3B">
        <w:rPr>
          <w:b/>
        </w:rPr>
        <w:t>s</w:t>
      </w:r>
      <w:r w:rsidR="002F23CE" w:rsidRPr="00376333">
        <w:rPr>
          <w:b/>
        </w:rPr>
        <w:t xml:space="preserve"> of macroeconomic scenarios</w:t>
      </w:r>
      <w:r w:rsidR="00945AFA">
        <w:rPr>
          <w:b/>
        </w:rPr>
        <w:t xml:space="preserve"> over a three-year horizon</w:t>
      </w:r>
      <w:r w:rsidR="002F23CE">
        <w:t xml:space="preserve">. The first set </w:t>
      </w:r>
      <w:r w:rsidR="00376333">
        <w:t xml:space="preserve">of scenarios </w:t>
      </w:r>
      <w:r w:rsidR="002F23CE">
        <w:t xml:space="preserve">corresponds to short-lived adverse conditions, e.g. </w:t>
      </w:r>
      <w:r w:rsidR="00376333">
        <w:t xml:space="preserve">the </w:t>
      </w:r>
      <w:r w:rsidR="002F23CE">
        <w:t>adverse scenarios</w:t>
      </w:r>
      <w:r w:rsidR="00376333">
        <w:t xml:space="preserve"> set</w:t>
      </w:r>
      <w:r w:rsidR="002F23CE">
        <w:t>, where shocks realize during the first year of</w:t>
      </w:r>
      <w:r w:rsidR="00376333">
        <w:t xml:space="preserve"> the stress test</w:t>
      </w:r>
      <w:r w:rsidR="002F23CE">
        <w:t>.</w:t>
      </w:r>
      <w:r w:rsidR="00376333">
        <w:t xml:space="preserve"> The second set of scenarios corresponds to severe, protracted shocks, e.g. the severe scenarios set, where shocks realize gradually during the first two years of the stress test.</w:t>
      </w:r>
      <w:r w:rsidR="00C13D72">
        <w:t xml:space="preserve"> The table below lists the shocks under each set of scenarios</w:t>
      </w:r>
      <w:r w:rsidR="004736B6">
        <w:t>.</w:t>
      </w:r>
      <w:r w:rsidR="00C13D72">
        <w:t xml:space="preserve"> </w:t>
      </w:r>
    </w:p>
    <w:p w:rsidR="008758F6" w:rsidRDefault="008758F6" w:rsidP="008758F6">
      <w:r>
        <w:rPr>
          <w:rFonts w:asciiTheme="minorHAnsi" w:hAnsiTheme="minorHAnsi"/>
          <w:sz w:val="20"/>
          <w:szCs w:val="20"/>
        </w:rPr>
        <w:t xml:space="preserve">Assumptions underlying the sets of </w:t>
      </w:r>
      <w:r w:rsidRPr="008815A6">
        <w:rPr>
          <w:rFonts w:asciiTheme="minorHAnsi" w:hAnsiTheme="minorHAnsi"/>
          <w:sz w:val="20"/>
          <w:szCs w:val="20"/>
        </w:rPr>
        <w:t xml:space="preserve">adverse </w:t>
      </w:r>
      <w:r>
        <w:rPr>
          <w:rFonts w:asciiTheme="minorHAnsi" w:hAnsiTheme="minorHAnsi"/>
          <w:sz w:val="20"/>
          <w:szCs w:val="20"/>
        </w:rPr>
        <w:t xml:space="preserve">and severe </w:t>
      </w:r>
      <w:r w:rsidRPr="008815A6">
        <w:rPr>
          <w:rFonts w:asciiTheme="minorHAnsi" w:hAnsiTheme="minorHAnsi"/>
          <w:sz w:val="20"/>
          <w:szCs w:val="20"/>
        </w:rPr>
        <w:t>scenarios</w:t>
      </w:r>
    </w:p>
    <w:p w:rsidR="00C13D72" w:rsidRDefault="00592F5C" w:rsidP="00C13D72">
      <w:r w:rsidRPr="00592F5C">
        <w:drawing>
          <wp:inline distT="0" distB="0" distL="0" distR="0">
            <wp:extent cx="5715000" cy="149324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15000" cy="1493249"/>
                    </a:xfrm>
                    <a:prstGeom prst="rect">
                      <a:avLst/>
                    </a:prstGeom>
                    <a:noFill/>
                    <a:ln w="9525">
                      <a:noFill/>
                      <a:miter lim="800000"/>
                      <a:headEnd/>
                      <a:tailEnd/>
                    </a:ln>
                  </pic:spPr>
                </pic:pic>
              </a:graphicData>
            </a:graphic>
          </wp:inline>
        </w:drawing>
      </w:r>
    </w:p>
    <w:p w:rsidR="00C13D72" w:rsidRDefault="00C13D72" w:rsidP="00C13D72"/>
    <w:p w:rsidR="00945AFA" w:rsidRDefault="00C13D72" w:rsidP="00F75AFF">
      <w:pPr>
        <w:pStyle w:val="ParagraphNumbering"/>
      </w:pPr>
      <w:r w:rsidRPr="004736B6">
        <w:rPr>
          <w:b/>
        </w:rPr>
        <w:t xml:space="preserve">Vector </w:t>
      </w:r>
      <w:proofErr w:type="spellStart"/>
      <w:r w:rsidRPr="004736B6">
        <w:rPr>
          <w:b/>
        </w:rPr>
        <w:t>autoregression</w:t>
      </w:r>
      <w:proofErr w:type="spellEnd"/>
      <w:r w:rsidRPr="004736B6">
        <w:rPr>
          <w:b/>
        </w:rPr>
        <w:t xml:space="preserve"> (VAR) </w:t>
      </w:r>
      <w:r w:rsidR="00900940">
        <w:rPr>
          <w:b/>
        </w:rPr>
        <w:t xml:space="preserve">models </w:t>
      </w:r>
      <w:r w:rsidRPr="004736B6">
        <w:rPr>
          <w:b/>
        </w:rPr>
        <w:t xml:space="preserve">generated the set of scenarios for the </w:t>
      </w:r>
      <w:r w:rsidR="00900940">
        <w:rPr>
          <w:b/>
        </w:rPr>
        <w:t xml:space="preserve">TD </w:t>
      </w:r>
      <w:r w:rsidRPr="004736B6">
        <w:rPr>
          <w:b/>
        </w:rPr>
        <w:t>STs.</w:t>
      </w:r>
      <w:r>
        <w:t xml:space="preserve"> </w:t>
      </w:r>
      <w:r w:rsidR="004736B6">
        <w:t>Each set comprise 2000 scenarios. A</w:t>
      </w:r>
      <w:r>
        <w:t xml:space="preserve"> VAR model captured the dynamics of the international variables under the open economy assumption that domestic variables did not </w:t>
      </w:r>
      <w:r w:rsidR="004736B6">
        <w:t xml:space="preserve">affect U.S. variables and the price of oil. This model generated three-year forecasts for the international variables under the shock assumptions for the adverse and severe set of scenarios (see table above), and assuming no other shocks realized during the three-year test horizon. Another VAR model, where domestic variables were endogenous and international variables exogenous, generated the three-year forecasts for the paths of the domestic variables. </w:t>
      </w:r>
    </w:p>
    <w:p w:rsidR="00F75AFF" w:rsidRDefault="00945AFA" w:rsidP="00F75AFF">
      <w:pPr>
        <w:pStyle w:val="ParagraphNumbering"/>
      </w:pPr>
      <w:r>
        <w:rPr>
          <w:b/>
        </w:rPr>
        <w:t xml:space="preserve">Scenario simulation was consistent with </w:t>
      </w:r>
      <w:r w:rsidR="005967F5">
        <w:rPr>
          <w:b/>
        </w:rPr>
        <w:t xml:space="preserve">the set of </w:t>
      </w:r>
      <w:r w:rsidR="00007BE2">
        <w:rPr>
          <w:b/>
        </w:rPr>
        <w:t>initial shocks.</w:t>
      </w:r>
      <w:r w:rsidR="00007BE2">
        <w:t xml:space="preserve"> </w:t>
      </w:r>
      <w:r w:rsidR="004736B6">
        <w:t xml:space="preserve">During the initial phase of the stress test, i.e. 2016 for the adverse set of scenarios, and 2016-17 for the severe set of scenarios, innovations to the domestic variables (error terms) were sampled from the </w:t>
      </w:r>
      <w:r w:rsidR="008F7085">
        <w:t>estimated</w:t>
      </w:r>
      <w:r w:rsidR="004736B6">
        <w:t xml:space="preserve"> multivariate distribution such that the innovations were within 80 to 120 percent of the values consistent with the arbitrary paths of the variables. After</w:t>
      </w:r>
      <w:r w:rsidR="00F75AFF">
        <w:t xml:space="preserve"> the initial phase, </w:t>
      </w:r>
      <w:r w:rsidR="00F75AFF">
        <w:lastRenderedPageBreak/>
        <w:t xml:space="preserve">unconstrained innovations </w:t>
      </w:r>
      <w:proofErr w:type="gramStart"/>
      <w:r w:rsidR="00F75AFF">
        <w:t>were</w:t>
      </w:r>
      <w:r w:rsidR="00900940">
        <w:t xml:space="preserve"> </w:t>
      </w:r>
      <w:r w:rsidR="00F75AFF">
        <w:t>used</w:t>
      </w:r>
      <w:proofErr w:type="gramEnd"/>
      <w:r w:rsidR="00F75AFF">
        <w:t xml:space="preserve"> to simulate the path of the variables for the remainder of the ST horizon. </w:t>
      </w:r>
    </w:p>
    <w:p w:rsidR="00311A3B" w:rsidRDefault="00F75AFF" w:rsidP="00311A3B">
      <w:pPr>
        <w:pStyle w:val="ParagraphNumbering"/>
      </w:pPr>
      <w:r w:rsidRPr="00945AFA">
        <w:rPr>
          <w:b/>
        </w:rPr>
        <w:t>The adverse and severe set</w:t>
      </w:r>
      <w:r w:rsidR="00945AFA">
        <w:rPr>
          <w:b/>
        </w:rPr>
        <w:t>s</w:t>
      </w:r>
      <w:r w:rsidRPr="00945AFA">
        <w:rPr>
          <w:b/>
        </w:rPr>
        <w:t xml:space="preserve"> of </w:t>
      </w:r>
      <w:r w:rsidR="00945AFA">
        <w:rPr>
          <w:b/>
        </w:rPr>
        <w:t>ST scenarios</w:t>
      </w:r>
      <w:r w:rsidRPr="00945AFA">
        <w:rPr>
          <w:b/>
        </w:rPr>
        <w:t xml:space="preserve"> </w:t>
      </w:r>
      <w:r w:rsidR="00945AFA" w:rsidRPr="00945AFA">
        <w:rPr>
          <w:b/>
        </w:rPr>
        <w:t xml:space="preserve">are consistent with </w:t>
      </w:r>
      <w:r w:rsidR="00945AFA">
        <w:rPr>
          <w:b/>
        </w:rPr>
        <w:t>historical</w:t>
      </w:r>
      <w:r w:rsidR="00945AFA" w:rsidRPr="00945AFA">
        <w:rPr>
          <w:b/>
        </w:rPr>
        <w:t xml:space="preserve"> distress episodes</w:t>
      </w:r>
      <w:r w:rsidR="00945AFA">
        <w:t>. In particular, the average path of the domestic economic activity index resembles its observed behavior during the 2008 global financial crisis, and the Mexican crisis of 1994, with the average contraction of bank credit harsher in the scenarios than in the past. In both sets of scenarios, the average path of the exchange rate and the unemployment rate reaches level</w:t>
      </w:r>
      <w:r w:rsidR="00311A3B">
        <w:t>s above historical record highs</w:t>
      </w:r>
      <w:r w:rsidR="008815A6">
        <w:t xml:space="preserve"> (Figures 1 and 2)</w:t>
      </w:r>
      <w:r w:rsidR="00311A3B">
        <w:t>.</w:t>
      </w:r>
      <w:r w:rsidR="00592F5C">
        <w:t xml:space="preserve"> </w:t>
      </w:r>
      <w:r w:rsidR="008815A6">
        <w:t xml:space="preserve">The next two tables present summary statistics. </w:t>
      </w:r>
    </w:p>
    <w:p w:rsidR="008815A6" w:rsidRPr="008815A6" w:rsidRDefault="008815A6" w:rsidP="008815A6">
      <w:pPr>
        <w:rPr>
          <w:rFonts w:asciiTheme="minorHAnsi" w:hAnsiTheme="minorHAnsi"/>
          <w:sz w:val="20"/>
          <w:szCs w:val="20"/>
        </w:rPr>
      </w:pPr>
      <w:r w:rsidRPr="008815A6">
        <w:rPr>
          <w:rFonts w:asciiTheme="minorHAnsi" w:hAnsiTheme="minorHAnsi"/>
          <w:sz w:val="20"/>
          <w:szCs w:val="20"/>
        </w:rPr>
        <w:t>Set of adverse scenarios</w:t>
      </w:r>
    </w:p>
    <w:p w:rsidR="008815A6" w:rsidRDefault="008815A6" w:rsidP="008815A6">
      <w:pPr>
        <w:pStyle w:val="ParagraphNumbering"/>
        <w:numPr>
          <w:ilvl w:val="0"/>
          <w:numId w:val="0"/>
        </w:numPr>
      </w:pPr>
      <w:r w:rsidRPr="008815A6">
        <w:drawing>
          <wp:inline distT="0" distB="0" distL="0" distR="0">
            <wp:extent cx="5715000" cy="1672532"/>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15000" cy="1672532"/>
                    </a:xfrm>
                    <a:prstGeom prst="rect">
                      <a:avLst/>
                    </a:prstGeom>
                    <a:noFill/>
                    <a:ln w="9525">
                      <a:noFill/>
                      <a:miter lim="800000"/>
                      <a:headEnd/>
                      <a:tailEnd/>
                    </a:ln>
                  </pic:spPr>
                </pic:pic>
              </a:graphicData>
            </a:graphic>
          </wp:inline>
        </w:drawing>
      </w:r>
    </w:p>
    <w:p w:rsidR="008815A6" w:rsidRDefault="008815A6" w:rsidP="008815A6">
      <w:pPr>
        <w:pStyle w:val="ParagraphNumbering"/>
        <w:numPr>
          <w:ilvl w:val="0"/>
          <w:numId w:val="0"/>
        </w:numPr>
        <w:rPr>
          <w:rFonts w:asciiTheme="minorHAnsi" w:hAnsiTheme="minorHAnsi"/>
          <w:sz w:val="20"/>
          <w:szCs w:val="20"/>
        </w:rPr>
      </w:pPr>
      <w:r w:rsidRPr="008815A6">
        <w:rPr>
          <w:rFonts w:asciiTheme="minorHAnsi" w:hAnsiTheme="minorHAnsi"/>
          <w:sz w:val="20"/>
          <w:szCs w:val="20"/>
        </w:rPr>
        <w:t>Set of severe scenarios</w:t>
      </w:r>
      <w:r w:rsidRPr="008815A6">
        <w:rPr>
          <w:rFonts w:asciiTheme="minorHAnsi" w:hAnsiTheme="minorHAnsi"/>
          <w:sz w:val="20"/>
          <w:szCs w:val="20"/>
        </w:rPr>
        <w:drawing>
          <wp:inline distT="0" distB="0" distL="0" distR="0">
            <wp:extent cx="5715000" cy="1672532"/>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715000" cy="1672532"/>
                    </a:xfrm>
                    <a:prstGeom prst="rect">
                      <a:avLst/>
                    </a:prstGeom>
                    <a:noFill/>
                    <a:ln w="9525">
                      <a:noFill/>
                      <a:miter lim="800000"/>
                      <a:headEnd/>
                      <a:tailEnd/>
                    </a:ln>
                  </pic:spPr>
                </pic:pic>
              </a:graphicData>
            </a:graphic>
          </wp:inline>
        </w:drawing>
      </w:r>
    </w:p>
    <w:p w:rsidR="008815A6" w:rsidRDefault="008815A6" w:rsidP="008815A6">
      <w:pPr>
        <w:pStyle w:val="ParagraphNumbering"/>
        <w:numPr>
          <w:ilvl w:val="0"/>
          <w:numId w:val="0"/>
        </w:numPr>
      </w:pPr>
      <w:r>
        <w:rPr>
          <w:rFonts w:asciiTheme="minorHAnsi" w:hAnsiTheme="minorHAnsi"/>
          <w:sz w:val="20"/>
          <w:szCs w:val="20"/>
        </w:rPr>
        <w:t xml:space="preserve">Source: </w:t>
      </w:r>
      <w:proofErr w:type="spellStart"/>
      <w:r>
        <w:rPr>
          <w:rFonts w:asciiTheme="minorHAnsi" w:hAnsiTheme="minorHAnsi"/>
          <w:sz w:val="20"/>
          <w:szCs w:val="20"/>
        </w:rPr>
        <w:t>Haver</w:t>
      </w:r>
      <w:proofErr w:type="spellEnd"/>
      <w:r>
        <w:rPr>
          <w:rFonts w:asciiTheme="minorHAnsi" w:hAnsiTheme="minorHAnsi"/>
          <w:sz w:val="20"/>
          <w:szCs w:val="20"/>
        </w:rPr>
        <w:t xml:space="preserve"> Analytics and staff calculations.</w:t>
      </w:r>
    </w:p>
    <w:p w:rsidR="008815A6" w:rsidRDefault="008815A6" w:rsidP="008815A6">
      <w:pPr>
        <w:pStyle w:val="ParagraphNumbering"/>
        <w:numPr>
          <w:ilvl w:val="0"/>
          <w:numId w:val="0"/>
        </w:numPr>
      </w:pPr>
      <w:r>
        <w:t xml:space="preserve">These scenarios are similar to the severe scenarios reported by the central bank it its </w:t>
      </w:r>
      <w:r>
        <w:rPr>
          <w:i/>
        </w:rPr>
        <w:t xml:space="preserve">Financial System </w:t>
      </w:r>
      <w:r w:rsidRPr="008815A6">
        <w:rPr>
          <w:i/>
        </w:rPr>
        <w:t>Report</w:t>
      </w:r>
      <w:r w:rsidR="003A2964">
        <w:rPr>
          <w:i/>
        </w:rPr>
        <w:t>, 2015</w:t>
      </w:r>
      <w:r>
        <w:t>, which we reproduce here for convenience:</w:t>
      </w:r>
    </w:p>
    <w:p w:rsidR="00423636" w:rsidRDefault="00423636" w:rsidP="003A2964">
      <w:pPr>
        <w:rPr>
          <w:rFonts w:asciiTheme="minorHAnsi" w:hAnsiTheme="minorHAnsi"/>
          <w:sz w:val="20"/>
          <w:szCs w:val="20"/>
        </w:rPr>
      </w:pPr>
    </w:p>
    <w:p w:rsidR="00423636" w:rsidRDefault="00423636" w:rsidP="003A2964">
      <w:pPr>
        <w:rPr>
          <w:rFonts w:asciiTheme="minorHAnsi" w:hAnsiTheme="minorHAnsi"/>
          <w:sz w:val="20"/>
          <w:szCs w:val="20"/>
        </w:rPr>
      </w:pPr>
    </w:p>
    <w:p w:rsidR="00423636" w:rsidRDefault="00423636" w:rsidP="003A2964">
      <w:pPr>
        <w:rPr>
          <w:rFonts w:asciiTheme="minorHAnsi" w:hAnsiTheme="minorHAnsi"/>
          <w:sz w:val="20"/>
          <w:szCs w:val="20"/>
        </w:rPr>
      </w:pPr>
    </w:p>
    <w:p w:rsidR="00423636" w:rsidRDefault="00423636" w:rsidP="003A2964">
      <w:pPr>
        <w:rPr>
          <w:rFonts w:asciiTheme="minorHAnsi" w:hAnsiTheme="minorHAnsi"/>
          <w:sz w:val="20"/>
          <w:szCs w:val="20"/>
        </w:rPr>
      </w:pPr>
    </w:p>
    <w:p w:rsidR="00423636" w:rsidRDefault="00423636" w:rsidP="003A2964">
      <w:pPr>
        <w:rPr>
          <w:rFonts w:asciiTheme="minorHAnsi" w:hAnsiTheme="minorHAnsi"/>
          <w:sz w:val="20"/>
          <w:szCs w:val="20"/>
        </w:rPr>
      </w:pPr>
    </w:p>
    <w:p w:rsidR="00423636" w:rsidRDefault="00423636" w:rsidP="003A2964">
      <w:pPr>
        <w:rPr>
          <w:rFonts w:asciiTheme="minorHAnsi" w:hAnsiTheme="minorHAnsi"/>
          <w:sz w:val="20"/>
          <w:szCs w:val="20"/>
        </w:rPr>
      </w:pPr>
    </w:p>
    <w:p w:rsidR="003A2964" w:rsidRPr="003A2964" w:rsidRDefault="003A2964" w:rsidP="003A2964">
      <w:pPr>
        <w:rPr>
          <w:rFonts w:asciiTheme="minorHAnsi" w:hAnsiTheme="minorHAnsi"/>
          <w:sz w:val="20"/>
          <w:szCs w:val="20"/>
        </w:rPr>
      </w:pPr>
      <w:proofErr w:type="spellStart"/>
      <w:r w:rsidRPr="003A2964">
        <w:rPr>
          <w:rFonts w:asciiTheme="minorHAnsi" w:hAnsiTheme="minorHAnsi"/>
          <w:sz w:val="20"/>
          <w:szCs w:val="20"/>
        </w:rPr>
        <w:t>Banco</w:t>
      </w:r>
      <w:proofErr w:type="spellEnd"/>
      <w:r w:rsidRPr="003A2964">
        <w:rPr>
          <w:rFonts w:asciiTheme="minorHAnsi" w:hAnsiTheme="minorHAnsi"/>
          <w:sz w:val="20"/>
          <w:szCs w:val="20"/>
        </w:rPr>
        <w:t xml:space="preserve"> de Mexico, Financial System Report, 2015 – Group 2 scenarios</w:t>
      </w:r>
    </w:p>
    <w:p w:rsidR="008815A6" w:rsidRPr="008815A6" w:rsidRDefault="003A2964" w:rsidP="008815A6">
      <w:pPr>
        <w:pStyle w:val="ParagraphNumbering"/>
        <w:numPr>
          <w:ilvl w:val="0"/>
          <w:numId w:val="0"/>
        </w:numPr>
      </w:pPr>
      <w:r w:rsidRPr="003A2964">
        <w:lastRenderedPageBreak/>
        <w:drawing>
          <wp:inline distT="0" distB="0" distL="0" distR="0">
            <wp:extent cx="5715000" cy="1672532"/>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715000" cy="1672532"/>
                    </a:xfrm>
                    <a:prstGeom prst="rect">
                      <a:avLst/>
                    </a:prstGeom>
                    <a:noFill/>
                    <a:ln w="9525">
                      <a:noFill/>
                      <a:miter lim="800000"/>
                      <a:headEnd/>
                      <a:tailEnd/>
                    </a:ln>
                  </pic:spPr>
                </pic:pic>
              </a:graphicData>
            </a:graphic>
          </wp:inline>
        </w:drawing>
      </w:r>
    </w:p>
    <w:p w:rsidR="003A2964" w:rsidRDefault="003A2964" w:rsidP="003A2964">
      <w:pPr>
        <w:pStyle w:val="ParagraphNumbering"/>
        <w:numPr>
          <w:ilvl w:val="0"/>
          <w:numId w:val="0"/>
        </w:numPr>
      </w:pPr>
      <w:r>
        <w:rPr>
          <w:rFonts w:asciiTheme="minorHAnsi" w:hAnsiTheme="minorHAnsi"/>
          <w:sz w:val="20"/>
          <w:szCs w:val="20"/>
        </w:rPr>
        <w:t xml:space="preserve">Source: </w:t>
      </w:r>
      <w:proofErr w:type="spellStart"/>
      <w:r>
        <w:rPr>
          <w:rFonts w:asciiTheme="minorHAnsi" w:hAnsiTheme="minorHAnsi"/>
          <w:sz w:val="20"/>
          <w:szCs w:val="20"/>
        </w:rPr>
        <w:t>Banco</w:t>
      </w:r>
      <w:proofErr w:type="spellEnd"/>
      <w:r>
        <w:rPr>
          <w:rFonts w:asciiTheme="minorHAnsi" w:hAnsiTheme="minorHAnsi"/>
          <w:sz w:val="20"/>
          <w:szCs w:val="20"/>
        </w:rPr>
        <w:t xml:space="preserve"> de Mexico</w:t>
      </w:r>
    </w:p>
    <w:p w:rsidR="00311A3B" w:rsidRDefault="00311A3B" w:rsidP="00311A3B">
      <w:pPr>
        <w:pStyle w:val="ParagraphNumbering"/>
      </w:pPr>
      <w:r w:rsidRPr="005967F5">
        <w:rPr>
          <w:b/>
        </w:rPr>
        <w:t xml:space="preserve">The BU stress </w:t>
      </w:r>
      <w:r w:rsidR="005967F5" w:rsidRPr="005967F5">
        <w:rPr>
          <w:b/>
        </w:rPr>
        <w:t>tests will use</w:t>
      </w:r>
      <w:r w:rsidR="007348AD">
        <w:rPr>
          <w:b/>
        </w:rPr>
        <w:t xml:space="preserve"> a</w:t>
      </w:r>
      <w:r w:rsidR="005967F5" w:rsidRPr="005967F5">
        <w:rPr>
          <w:b/>
        </w:rPr>
        <w:t xml:space="preserve"> single </w:t>
      </w:r>
      <w:r w:rsidR="005967F5">
        <w:rPr>
          <w:b/>
        </w:rPr>
        <w:t xml:space="preserve">adverse </w:t>
      </w:r>
      <w:r w:rsidR="007348AD">
        <w:rPr>
          <w:b/>
        </w:rPr>
        <w:t xml:space="preserve">(severe) </w:t>
      </w:r>
      <w:r w:rsidR="005967F5" w:rsidRPr="005967F5">
        <w:rPr>
          <w:b/>
        </w:rPr>
        <w:t>scenario</w:t>
      </w:r>
      <w:r w:rsidR="00423636">
        <w:rPr>
          <w:b/>
        </w:rPr>
        <w:t xml:space="preserve"> where the path of the variables </w:t>
      </w:r>
      <w:r w:rsidR="008A2AEA">
        <w:rPr>
          <w:b/>
        </w:rPr>
        <w:t xml:space="preserve">will correspond to </w:t>
      </w:r>
      <w:r w:rsidR="005967F5" w:rsidRPr="005967F5">
        <w:rPr>
          <w:b/>
        </w:rPr>
        <w:t xml:space="preserve">the average path of the economic and financial variables under </w:t>
      </w:r>
      <w:r w:rsidR="007348AD">
        <w:rPr>
          <w:b/>
        </w:rPr>
        <w:t>the set of adverse (severe) scenarios.</w:t>
      </w:r>
    </w:p>
    <w:p w:rsidR="00311A3B" w:rsidRDefault="00311A3B" w:rsidP="00311A3B">
      <w:pPr>
        <w:pStyle w:val="ParagraphNumbering"/>
        <w:numPr>
          <w:ilvl w:val="0"/>
          <w:numId w:val="0"/>
        </w:numPr>
      </w:pPr>
    </w:p>
    <w:p w:rsidR="007348AD" w:rsidRDefault="007348AD" w:rsidP="007348AD">
      <w:pPr>
        <w:pStyle w:val="ParagraphNumbering"/>
        <w:sectPr w:rsidR="007348AD" w:rsidSect="00327493">
          <w:headerReference w:type="default" r:id="rId15"/>
          <w:footerReference w:type="default" r:id="rId16"/>
          <w:headerReference w:type="first" r:id="rId17"/>
          <w:footerReference w:type="first" r:id="rId18"/>
          <w:pgSz w:w="12240" w:h="15840" w:code="1"/>
          <w:pgMar w:top="1440" w:right="1440" w:bottom="1440" w:left="1800" w:header="720" w:footer="720" w:gutter="0"/>
          <w:cols w:space="720"/>
          <w:titlePg/>
          <w:docGrid w:linePitch="360"/>
        </w:sectPr>
      </w:pPr>
    </w:p>
    <w:p w:rsidR="001D04CC" w:rsidRPr="00EF27EB" w:rsidRDefault="00F75AFF" w:rsidP="001D04CC">
      <w:pPr>
        <w:keepNext/>
        <w:jc w:val="center"/>
        <w:rPr>
          <w:rFonts w:asciiTheme="minorHAnsi" w:hAnsiTheme="minorHAnsi"/>
        </w:rPr>
      </w:pPr>
      <w:proofErr w:type="gramStart"/>
      <w:r w:rsidRPr="00EF27EB">
        <w:rPr>
          <w:rFonts w:asciiTheme="minorHAnsi" w:hAnsiTheme="minorHAnsi"/>
        </w:rPr>
        <w:lastRenderedPageBreak/>
        <w:t>Figure 1.</w:t>
      </w:r>
      <w:proofErr w:type="gramEnd"/>
      <w:r w:rsidRPr="00EF27EB">
        <w:rPr>
          <w:rFonts w:asciiTheme="minorHAnsi" w:hAnsiTheme="minorHAnsi"/>
        </w:rPr>
        <w:t xml:space="preserve"> </w:t>
      </w:r>
      <w:r w:rsidR="001D04CC" w:rsidRPr="00EF27EB">
        <w:rPr>
          <w:rFonts w:asciiTheme="minorHAnsi" w:hAnsiTheme="minorHAnsi"/>
        </w:rPr>
        <w:t>Adverse scenario</w:t>
      </w:r>
      <w:r w:rsidR="00853EC1" w:rsidRPr="00EF27EB">
        <w:rPr>
          <w:rFonts w:asciiTheme="minorHAnsi" w:hAnsiTheme="minorHAnsi"/>
        </w:rPr>
        <w:t>s set</w:t>
      </w:r>
      <w:r w:rsidR="001D04CC" w:rsidRPr="00EF27EB">
        <w:rPr>
          <w:rFonts w:asciiTheme="minorHAnsi" w:hAnsiTheme="minorHAnsi"/>
        </w:rPr>
        <w:t>: average, maximum, and minimum paths for domestic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176"/>
      </w:tblGrid>
      <w:tr w:rsidR="001D04CC" w:rsidTr="00EF27EB">
        <w:tc>
          <w:tcPr>
            <w:tcW w:w="13176" w:type="dxa"/>
          </w:tcPr>
          <w:p w:rsidR="001D04CC" w:rsidRDefault="001D04CC" w:rsidP="002F23CE">
            <w:pPr>
              <w:keepNext/>
            </w:pPr>
            <w:r>
              <w:rPr>
                <w:noProof/>
              </w:rPr>
              <w:drawing>
                <wp:inline distT="0" distB="0" distL="0" distR="0">
                  <wp:extent cx="8220075" cy="1809750"/>
                  <wp:effectExtent l="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8220075" cy="1809750"/>
                          </a:xfrm>
                          <a:prstGeom prst="rect">
                            <a:avLst/>
                          </a:prstGeom>
                          <a:noFill/>
                          <a:ln w="9525">
                            <a:noFill/>
                            <a:miter lim="800000"/>
                            <a:headEnd/>
                            <a:tailEnd/>
                          </a:ln>
                        </pic:spPr>
                      </pic:pic>
                    </a:graphicData>
                  </a:graphic>
                </wp:inline>
              </w:drawing>
            </w:r>
          </w:p>
        </w:tc>
      </w:tr>
      <w:tr w:rsidR="001D04CC" w:rsidTr="00EF27EB">
        <w:tc>
          <w:tcPr>
            <w:tcW w:w="13176" w:type="dxa"/>
          </w:tcPr>
          <w:p w:rsidR="001D04CC" w:rsidRDefault="001D04CC" w:rsidP="002F23CE">
            <w:pPr>
              <w:keepNext/>
            </w:pPr>
            <w:r>
              <w:rPr>
                <w:noProof/>
              </w:rPr>
              <w:drawing>
                <wp:inline distT="0" distB="0" distL="0" distR="0">
                  <wp:extent cx="8229600" cy="1819275"/>
                  <wp:effectExtent l="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8229600" cy="1819275"/>
                          </a:xfrm>
                          <a:prstGeom prst="rect">
                            <a:avLst/>
                          </a:prstGeom>
                          <a:noFill/>
                          <a:ln w="9525">
                            <a:noFill/>
                            <a:miter lim="800000"/>
                            <a:headEnd/>
                            <a:tailEnd/>
                          </a:ln>
                        </pic:spPr>
                      </pic:pic>
                    </a:graphicData>
                  </a:graphic>
                </wp:inline>
              </w:drawing>
            </w:r>
          </w:p>
        </w:tc>
      </w:tr>
      <w:tr w:rsidR="001D04CC" w:rsidTr="00EF27EB">
        <w:tc>
          <w:tcPr>
            <w:tcW w:w="13176" w:type="dxa"/>
          </w:tcPr>
          <w:p w:rsidR="001D04CC" w:rsidRDefault="001D04CC" w:rsidP="002F23CE">
            <w:pPr>
              <w:keepNext/>
            </w:pPr>
            <w:r w:rsidRPr="001D04CC">
              <w:rPr>
                <w:noProof/>
              </w:rPr>
              <w:drawing>
                <wp:inline distT="0" distB="0" distL="0" distR="0">
                  <wp:extent cx="8220075" cy="1819275"/>
                  <wp:effectExtent l="0" t="0" r="0" b="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8220075" cy="1819275"/>
                          </a:xfrm>
                          <a:prstGeom prst="rect">
                            <a:avLst/>
                          </a:prstGeom>
                          <a:noFill/>
                          <a:ln w="9525">
                            <a:noFill/>
                            <a:miter lim="800000"/>
                            <a:headEnd/>
                            <a:tailEnd/>
                          </a:ln>
                        </pic:spPr>
                      </pic:pic>
                    </a:graphicData>
                  </a:graphic>
                </wp:inline>
              </w:drawing>
            </w:r>
          </w:p>
        </w:tc>
      </w:tr>
      <w:tr w:rsidR="00EF27EB" w:rsidTr="00EF27EB">
        <w:tc>
          <w:tcPr>
            <w:tcW w:w="13176" w:type="dxa"/>
          </w:tcPr>
          <w:p w:rsidR="00EF27EB" w:rsidRPr="001D04CC" w:rsidRDefault="00EF27EB" w:rsidP="00EF27EB">
            <w:pPr>
              <w:keepNext/>
              <w:jc w:val="center"/>
              <w:rPr>
                <w:noProof/>
              </w:rPr>
            </w:pPr>
            <w:proofErr w:type="gramStart"/>
            <w:r w:rsidRPr="00EF27EB">
              <w:rPr>
                <w:rFonts w:asciiTheme="minorHAnsi" w:hAnsiTheme="minorHAnsi"/>
              </w:rPr>
              <w:lastRenderedPageBreak/>
              <w:t>Figure 1.</w:t>
            </w:r>
            <w:proofErr w:type="gramEnd"/>
            <w:r w:rsidRPr="00EF27EB">
              <w:rPr>
                <w:rFonts w:asciiTheme="minorHAnsi" w:hAnsiTheme="minorHAnsi"/>
              </w:rPr>
              <w:t xml:space="preserve"> Adverse scenarios set: average, maximum, and minimum paths for domestic variables</w:t>
            </w:r>
            <w:r>
              <w:rPr>
                <w:rFonts w:asciiTheme="minorHAnsi" w:hAnsiTheme="minorHAnsi"/>
              </w:rPr>
              <w:t xml:space="preserve"> (cont.)</w:t>
            </w:r>
          </w:p>
        </w:tc>
      </w:tr>
      <w:tr w:rsidR="001D04CC" w:rsidTr="00EF27EB">
        <w:tc>
          <w:tcPr>
            <w:tcW w:w="13176" w:type="dxa"/>
          </w:tcPr>
          <w:p w:rsidR="001D04CC" w:rsidRDefault="001D04CC" w:rsidP="002F23CE">
            <w:pPr>
              <w:keepNext/>
            </w:pPr>
            <w:r w:rsidRPr="001D04CC">
              <w:rPr>
                <w:noProof/>
              </w:rPr>
              <w:drawing>
                <wp:inline distT="0" distB="0" distL="0" distR="0">
                  <wp:extent cx="8220075" cy="1828800"/>
                  <wp:effectExtent l="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8220075" cy="1828800"/>
                          </a:xfrm>
                          <a:prstGeom prst="rect">
                            <a:avLst/>
                          </a:prstGeom>
                          <a:noFill/>
                          <a:ln w="9525">
                            <a:noFill/>
                            <a:miter lim="800000"/>
                            <a:headEnd/>
                            <a:tailEnd/>
                          </a:ln>
                        </pic:spPr>
                      </pic:pic>
                    </a:graphicData>
                  </a:graphic>
                </wp:inline>
              </w:drawing>
            </w:r>
          </w:p>
        </w:tc>
      </w:tr>
      <w:tr w:rsidR="001D04CC" w:rsidTr="00EF27EB">
        <w:tc>
          <w:tcPr>
            <w:tcW w:w="13176" w:type="dxa"/>
          </w:tcPr>
          <w:p w:rsidR="001D04CC" w:rsidRDefault="001D04CC" w:rsidP="002F23CE">
            <w:pPr>
              <w:keepNext/>
            </w:pPr>
            <w:r w:rsidRPr="001D04CC">
              <w:rPr>
                <w:noProof/>
              </w:rPr>
              <w:drawing>
                <wp:inline distT="0" distB="0" distL="0" distR="0">
                  <wp:extent cx="8220075" cy="1819275"/>
                  <wp:effectExtent l="0" t="0" r="0" b="0"/>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a:stretch>
                            <a:fillRect/>
                          </a:stretch>
                        </pic:blipFill>
                        <pic:spPr bwMode="auto">
                          <a:xfrm>
                            <a:off x="0" y="0"/>
                            <a:ext cx="8220075" cy="1819275"/>
                          </a:xfrm>
                          <a:prstGeom prst="rect">
                            <a:avLst/>
                          </a:prstGeom>
                          <a:noFill/>
                          <a:ln w="9525">
                            <a:noFill/>
                            <a:miter lim="800000"/>
                            <a:headEnd/>
                            <a:tailEnd/>
                          </a:ln>
                        </pic:spPr>
                      </pic:pic>
                    </a:graphicData>
                  </a:graphic>
                </wp:inline>
              </w:drawing>
            </w:r>
          </w:p>
        </w:tc>
      </w:tr>
      <w:tr w:rsidR="001D04CC" w:rsidTr="00EF27EB">
        <w:tc>
          <w:tcPr>
            <w:tcW w:w="13176" w:type="dxa"/>
          </w:tcPr>
          <w:p w:rsidR="001D04CC" w:rsidRDefault="001D04CC" w:rsidP="002F23CE">
            <w:pPr>
              <w:keepNext/>
              <w:rPr>
                <w:noProof/>
              </w:rPr>
            </w:pPr>
            <w:r w:rsidRPr="001D04CC">
              <w:rPr>
                <w:noProof/>
              </w:rPr>
              <w:drawing>
                <wp:inline distT="0" distB="0" distL="0" distR="0">
                  <wp:extent cx="8229600" cy="1819275"/>
                  <wp:effectExtent l="0" t="0" r="0" b="0"/>
                  <wp:docPr id="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srcRect/>
                          <a:stretch>
                            <a:fillRect/>
                          </a:stretch>
                        </pic:blipFill>
                        <pic:spPr bwMode="auto">
                          <a:xfrm>
                            <a:off x="0" y="0"/>
                            <a:ext cx="8229600" cy="1819275"/>
                          </a:xfrm>
                          <a:prstGeom prst="rect">
                            <a:avLst/>
                          </a:prstGeom>
                          <a:noFill/>
                          <a:ln w="9525">
                            <a:noFill/>
                            <a:miter lim="800000"/>
                            <a:headEnd/>
                            <a:tailEnd/>
                          </a:ln>
                        </pic:spPr>
                      </pic:pic>
                    </a:graphicData>
                  </a:graphic>
                </wp:inline>
              </w:drawing>
            </w:r>
          </w:p>
        </w:tc>
      </w:tr>
      <w:tr w:rsidR="00EF27EB" w:rsidTr="00EF27EB">
        <w:tc>
          <w:tcPr>
            <w:tcW w:w="13176" w:type="dxa"/>
          </w:tcPr>
          <w:p w:rsidR="00EF27EB" w:rsidRPr="001D04CC" w:rsidRDefault="00EF27EB" w:rsidP="00D85BCB">
            <w:pPr>
              <w:keepNext/>
              <w:jc w:val="center"/>
              <w:rPr>
                <w:noProof/>
              </w:rPr>
            </w:pPr>
            <w:proofErr w:type="gramStart"/>
            <w:r w:rsidRPr="00EF27EB">
              <w:rPr>
                <w:rFonts w:asciiTheme="minorHAnsi" w:hAnsiTheme="minorHAnsi"/>
              </w:rPr>
              <w:lastRenderedPageBreak/>
              <w:t>Figure 1.</w:t>
            </w:r>
            <w:proofErr w:type="gramEnd"/>
            <w:r w:rsidRPr="00EF27EB">
              <w:rPr>
                <w:rFonts w:asciiTheme="minorHAnsi" w:hAnsiTheme="minorHAnsi"/>
              </w:rPr>
              <w:t xml:space="preserve"> Adverse scenarios set: average, maximum, and minimum paths for domestic variables</w:t>
            </w:r>
            <w:r>
              <w:rPr>
                <w:rFonts w:asciiTheme="minorHAnsi" w:hAnsiTheme="minorHAnsi"/>
              </w:rPr>
              <w:t xml:space="preserve"> (cont.)</w:t>
            </w:r>
          </w:p>
        </w:tc>
      </w:tr>
      <w:tr w:rsidR="00EF27EB" w:rsidTr="00EF27EB">
        <w:tc>
          <w:tcPr>
            <w:tcW w:w="13176" w:type="dxa"/>
          </w:tcPr>
          <w:p w:rsidR="00EF27EB" w:rsidRDefault="00EF27EB" w:rsidP="002F23CE">
            <w:pPr>
              <w:keepNext/>
              <w:rPr>
                <w:noProof/>
              </w:rPr>
            </w:pPr>
            <w:r w:rsidRPr="001D04CC">
              <w:rPr>
                <w:noProof/>
              </w:rPr>
              <w:drawing>
                <wp:inline distT="0" distB="0" distL="0" distR="0">
                  <wp:extent cx="8229600" cy="1819275"/>
                  <wp:effectExtent l="0" t="0" r="0" b="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srcRect/>
                          <a:stretch>
                            <a:fillRect/>
                          </a:stretch>
                        </pic:blipFill>
                        <pic:spPr bwMode="auto">
                          <a:xfrm>
                            <a:off x="0" y="0"/>
                            <a:ext cx="8229600" cy="1819275"/>
                          </a:xfrm>
                          <a:prstGeom prst="rect">
                            <a:avLst/>
                          </a:prstGeom>
                          <a:noFill/>
                          <a:ln w="9525">
                            <a:noFill/>
                            <a:miter lim="800000"/>
                            <a:headEnd/>
                            <a:tailEnd/>
                          </a:ln>
                        </pic:spPr>
                      </pic:pic>
                    </a:graphicData>
                  </a:graphic>
                </wp:inline>
              </w:drawing>
            </w:r>
          </w:p>
        </w:tc>
      </w:tr>
    </w:tbl>
    <w:p w:rsidR="00EF27EB" w:rsidRDefault="00EF27EB" w:rsidP="008F2691">
      <w:pPr>
        <w:keepNext/>
        <w:rPr>
          <w:sz w:val="20"/>
          <w:szCs w:val="20"/>
        </w:rPr>
      </w:pPr>
    </w:p>
    <w:p w:rsidR="0068580C" w:rsidRDefault="00853EC1" w:rsidP="008F2691">
      <w:pPr>
        <w:keepNext/>
        <w:rPr>
          <w:sz w:val="20"/>
          <w:szCs w:val="20"/>
        </w:rPr>
      </w:pPr>
      <w:r w:rsidRPr="00853EC1">
        <w:rPr>
          <w:sz w:val="20"/>
          <w:szCs w:val="20"/>
        </w:rPr>
        <w:t xml:space="preserve">Note: The figure reports the average path (blue line), and the maximum and minimum paths (red lines) </w:t>
      </w:r>
      <w:r>
        <w:rPr>
          <w:sz w:val="20"/>
          <w:szCs w:val="20"/>
        </w:rPr>
        <w:t>f</w:t>
      </w:r>
      <w:r w:rsidR="003A1D52">
        <w:rPr>
          <w:sz w:val="20"/>
          <w:szCs w:val="20"/>
        </w:rPr>
        <w:t>or a set of 2000 simulated scenarios. The adverse scenarios c</w:t>
      </w:r>
      <w:r w:rsidR="00C27940">
        <w:rPr>
          <w:sz w:val="20"/>
          <w:szCs w:val="20"/>
        </w:rPr>
        <w:t>onsider</w:t>
      </w:r>
      <w:r w:rsidR="00F75AFF">
        <w:rPr>
          <w:sz w:val="20"/>
          <w:szCs w:val="20"/>
        </w:rPr>
        <w:t xml:space="preserve"> industrial production in the U.S. growing 2 percent annually, and the </w:t>
      </w:r>
      <w:r w:rsidR="003A1D52">
        <w:rPr>
          <w:sz w:val="20"/>
          <w:szCs w:val="20"/>
        </w:rPr>
        <w:t>following initial shocks: a 100 bps increase in the U.S. 3-month Treasury bill rate, a 200 bps increase in the U.S. 10-year Treasury bond rate</w:t>
      </w:r>
      <w:r w:rsidR="00C27940">
        <w:rPr>
          <w:sz w:val="20"/>
          <w:szCs w:val="20"/>
        </w:rPr>
        <w:t xml:space="preserve">, a two-standard deviation shock to the IGAE, and a rise in the unemployment rate </w:t>
      </w:r>
      <w:r w:rsidR="00230BD8">
        <w:rPr>
          <w:sz w:val="20"/>
          <w:szCs w:val="20"/>
        </w:rPr>
        <w:t xml:space="preserve">to </w:t>
      </w:r>
      <w:r w:rsidR="0068580C">
        <w:rPr>
          <w:sz w:val="20"/>
          <w:szCs w:val="20"/>
        </w:rPr>
        <w:t xml:space="preserve">5 ½ percent. The shocks to the remaining variables are set equal to </w:t>
      </w:r>
      <w:r w:rsidR="00F75AFF">
        <w:rPr>
          <w:sz w:val="20"/>
          <w:szCs w:val="20"/>
        </w:rPr>
        <w:t xml:space="preserve">a </w:t>
      </w:r>
      <w:r w:rsidR="0068580C">
        <w:rPr>
          <w:sz w:val="20"/>
          <w:szCs w:val="20"/>
        </w:rPr>
        <w:t>one-standard deviation.</w:t>
      </w:r>
      <w:r w:rsidR="009E4B0B">
        <w:rPr>
          <w:sz w:val="20"/>
          <w:szCs w:val="20"/>
        </w:rPr>
        <w:t xml:space="preserve"> </w:t>
      </w:r>
      <w:r w:rsidR="0068580C">
        <w:rPr>
          <w:sz w:val="20"/>
          <w:szCs w:val="20"/>
        </w:rPr>
        <w:t>All shocks realize gradually during the last three quarters of 2016.</w:t>
      </w:r>
    </w:p>
    <w:p w:rsidR="001D04CC" w:rsidRPr="00853EC1" w:rsidRDefault="00853EC1" w:rsidP="008F2691">
      <w:pPr>
        <w:keepNext/>
        <w:rPr>
          <w:sz w:val="20"/>
          <w:szCs w:val="20"/>
        </w:rPr>
      </w:pPr>
      <w:r w:rsidRPr="00853EC1">
        <w:rPr>
          <w:sz w:val="20"/>
          <w:szCs w:val="20"/>
        </w:rPr>
        <w:t xml:space="preserve">Source: </w:t>
      </w:r>
      <w:proofErr w:type="spellStart"/>
      <w:proofErr w:type="gramStart"/>
      <w:r w:rsidRPr="00853EC1">
        <w:rPr>
          <w:sz w:val="20"/>
          <w:szCs w:val="20"/>
        </w:rPr>
        <w:t>Haver</w:t>
      </w:r>
      <w:proofErr w:type="spellEnd"/>
      <w:proofErr w:type="gramEnd"/>
      <w:r w:rsidRPr="00853EC1">
        <w:rPr>
          <w:sz w:val="20"/>
          <w:szCs w:val="20"/>
        </w:rPr>
        <w:t xml:space="preserve"> Analytics, and staff calculations. </w:t>
      </w:r>
    </w:p>
    <w:p w:rsidR="001D04CC" w:rsidRDefault="001D04CC">
      <w:r>
        <w:br w:type="page"/>
      </w:r>
    </w:p>
    <w:p w:rsidR="00853EC1" w:rsidRPr="00EF27EB" w:rsidRDefault="00F75AFF" w:rsidP="00853EC1">
      <w:pPr>
        <w:keepNext/>
        <w:jc w:val="center"/>
        <w:rPr>
          <w:rFonts w:asciiTheme="minorHAnsi" w:hAnsiTheme="minorHAnsi"/>
        </w:rPr>
      </w:pPr>
      <w:proofErr w:type="gramStart"/>
      <w:r w:rsidRPr="00EF27EB">
        <w:rPr>
          <w:rFonts w:asciiTheme="minorHAnsi" w:hAnsiTheme="minorHAnsi"/>
        </w:rPr>
        <w:lastRenderedPageBreak/>
        <w:t>Figure 2.</w:t>
      </w:r>
      <w:proofErr w:type="gramEnd"/>
      <w:r w:rsidRPr="00EF27EB">
        <w:rPr>
          <w:rFonts w:asciiTheme="minorHAnsi" w:hAnsiTheme="minorHAnsi"/>
        </w:rPr>
        <w:t xml:space="preserve"> </w:t>
      </w:r>
      <w:r w:rsidR="00853EC1" w:rsidRPr="00EF27EB">
        <w:rPr>
          <w:rFonts w:asciiTheme="minorHAnsi" w:hAnsiTheme="minorHAnsi"/>
        </w:rPr>
        <w:t>Severe scenarios set: average, maximum, and minimum paths for domestic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176"/>
      </w:tblGrid>
      <w:tr w:rsidR="00853EC1" w:rsidTr="00EF27EB">
        <w:tc>
          <w:tcPr>
            <w:tcW w:w="13176" w:type="dxa"/>
          </w:tcPr>
          <w:p w:rsidR="00853EC1" w:rsidRDefault="0068580C" w:rsidP="002F23CE">
            <w:pPr>
              <w:keepNext/>
            </w:pPr>
            <w:r>
              <w:rPr>
                <w:noProof/>
              </w:rPr>
              <w:drawing>
                <wp:inline distT="0" distB="0" distL="0" distR="0">
                  <wp:extent cx="8229600" cy="1828800"/>
                  <wp:effectExtent l="0" t="0" r="0" b="0"/>
                  <wp:docPr id="5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cstate="print"/>
                          <a:srcRect/>
                          <a:stretch>
                            <a:fillRect/>
                          </a:stretch>
                        </pic:blipFill>
                        <pic:spPr bwMode="auto">
                          <a:xfrm>
                            <a:off x="0" y="0"/>
                            <a:ext cx="8229600" cy="1828800"/>
                          </a:xfrm>
                          <a:prstGeom prst="rect">
                            <a:avLst/>
                          </a:prstGeom>
                          <a:noFill/>
                          <a:ln w="9525">
                            <a:noFill/>
                            <a:miter lim="800000"/>
                            <a:headEnd/>
                            <a:tailEnd/>
                          </a:ln>
                        </pic:spPr>
                      </pic:pic>
                    </a:graphicData>
                  </a:graphic>
                </wp:inline>
              </w:drawing>
            </w:r>
          </w:p>
        </w:tc>
      </w:tr>
      <w:tr w:rsidR="00853EC1" w:rsidTr="00EF27EB">
        <w:tc>
          <w:tcPr>
            <w:tcW w:w="13176" w:type="dxa"/>
          </w:tcPr>
          <w:p w:rsidR="00853EC1" w:rsidRDefault="0068580C" w:rsidP="002F23CE">
            <w:pPr>
              <w:keepNext/>
            </w:pPr>
            <w:r>
              <w:rPr>
                <w:noProof/>
              </w:rPr>
              <w:drawing>
                <wp:inline distT="0" distB="0" distL="0" distR="0">
                  <wp:extent cx="8220075" cy="1819275"/>
                  <wp:effectExtent l="0" t="0" r="0" b="0"/>
                  <wp:docPr id="5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cstate="print"/>
                          <a:srcRect/>
                          <a:stretch>
                            <a:fillRect/>
                          </a:stretch>
                        </pic:blipFill>
                        <pic:spPr bwMode="auto">
                          <a:xfrm>
                            <a:off x="0" y="0"/>
                            <a:ext cx="8220075" cy="1819275"/>
                          </a:xfrm>
                          <a:prstGeom prst="rect">
                            <a:avLst/>
                          </a:prstGeom>
                          <a:noFill/>
                          <a:ln w="9525">
                            <a:noFill/>
                            <a:miter lim="800000"/>
                            <a:headEnd/>
                            <a:tailEnd/>
                          </a:ln>
                        </pic:spPr>
                      </pic:pic>
                    </a:graphicData>
                  </a:graphic>
                </wp:inline>
              </w:drawing>
            </w:r>
          </w:p>
        </w:tc>
      </w:tr>
      <w:tr w:rsidR="00853EC1" w:rsidTr="00EF27EB">
        <w:tc>
          <w:tcPr>
            <w:tcW w:w="13176" w:type="dxa"/>
          </w:tcPr>
          <w:p w:rsidR="00853EC1" w:rsidRDefault="00230BD8" w:rsidP="002F23CE">
            <w:pPr>
              <w:keepNext/>
            </w:pPr>
            <w:r>
              <w:rPr>
                <w:noProof/>
              </w:rPr>
              <w:drawing>
                <wp:inline distT="0" distB="0" distL="0" distR="0">
                  <wp:extent cx="8220075" cy="1819275"/>
                  <wp:effectExtent l="0" t="0" r="0" b="0"/>
                  <wp:docPr id="4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cstate="print"/>
                          <a:srcRect/>
                          <a:stretch>
                            <a:fillRect/>
                          </a:stretch>
                        </pic:blipFill>
                        <pic:spPr bwMode="auto">
                          <a:xfrm>
                            <a:off x="0" y="0"/>
                            <a:ext cx="8220075" cy="1819275"/>
                          </a:xfrm>
                          <a:prstGeom prst="rect">
                            <a:avLst/>
                          </a:prstGeom>
                          <a:noFill/>
                          <a:ln w="9525">
                            <a:noFill/>
                            <a:miter lim="800000"/>
                            <a:headEnd/>
                            <a:tailEnd/>
                          </a:ln>
                        </pic:spPr>
                      </pic:pic>
                    </a:graphicData>
                  </a:graphic>
                </wp:inline>
              </w:drawing>
            </w:r>
          </w:p>
        </w:tc>
      </w:tr>
      <w:tr w:rsidR="00EF27EB" w:rsidTr="00EF27EB">
        <w:tc>
          <w:tcPr>
            <w:tcW w:w="13176" w:type="dxa"/>
          </w:tcPr>
          <w:p w:rsidR="00EF27EB" w:rsidRDefault="00EF27EB" w:rsidP="00EF27EB">
            <w:pPr>
              <w:keepNext/>
              <w:jc w:val="center"/>
              <w:rPr>
                <w:noProof/>
              </w:rPr>
            </w:pPr>
            <w:proofErr w:type="gramStart"/>
            <w:r w:rsidRPr="00EF27EB">
              <w:rPr>
                <w:rFonts w:asciiTheme="minorHAnsi" w:hAnsiTheme="minorHAnsi"/>
              </w:rPr>
              <w:lastRenderedPageBreak/>
              <w:t>Figure 2.</w:t>
            </w:r>
            <w:proofErr w:type="gramEnd"/>
            <w:r w:rsidRPr="00EF27EB">
              <w:rPr>
                <w:rFonts w:asciiTheme="minorHAnsi" w:hAnsiTheme="minorHAnsi"/>
              </w:rPr>
              <w:t xml:space="preserve"> Severe scenarios set: average, maximum, and minimum paths for domestic variables</w:t>
            </w:r>
            <w:r>
              <w:rPr>
                <w:rFonts w:asciiTheme="minorHAnsi" w:hAnsiTheme="minorHAnsi"/>
              </w:rPr>
              <w:t xml:space="preserve"> (cont.)</w:t>
            </w:r>
          </w:p>
        </w:tc>
      </w:tr>
      <w:tr w:rsidR="00853EC1" w:rsidTr="00EF27EB">
        <w:tc>
          <w:tcPr>
            <w:tcW w:w="13176" w:type="dxa"/>
          </w:tcPr>
          <w:p w:rsidR="00853EC1" w:rsidRDefault="0068580C" w:rsidP="002F23CE">
            <w:pPr>
              <w:keepNext/>
            </w:pPr>
            <w:r>
              <w:rPr>
                <w:noProof/>
              </w:rPr>
              <w:drawing>
                <wp:inline distT="0" distB="0" distL="0" distR="0">
                  <wp:extent cx="8229600" cy="1828800"/>
                  <wp:effectExtent l="0" t="0" r="0" b="0"/>
                  <wp:docPr id="5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cstate="print"/>
                          <a:srcRect/>
                          <a:stretch>
                            <a:fillRect/>
                          </a:stretch>
                        </pic:blipFill>
                        <pic:spPr bwMode="auto">
                          <a:xfrm>
                            <a:off x="0" y="0"/>
                            <a:ext cx="8229600" cy="1828800"/>
                          </a:xfrm>
                          <a:prstGeom prst="rect">
                            <a:avLst/>
                          </a:prstGeom>
                          <a:noFill/>
                          <a:ln w="9525">
                            <a:noFill/>
                            <a:miter lim="800000"/>
                            <a:headEnd/>
                            <a:tailEnd/>
                          </a:ln>
                        </pic:spPr>
                      </pic:pic>
                    </a:graphicData>
                  </a:graphic>
                </wp:inline>
              </w:drawing>
            </w:r>
          </w:p>
        </w:tc>
      </w:tr>
      <w:tr w:rsidR="00853EC1" w:rsidTr="00EF27EB">
        <w:tc>
          <w:tcPr>
            <w:tcW w:w="13176" w:type="dxa"/>
          </w:tcPr>
          <w:p w:rsidR="00853EC1" w:rsidRDefault="0068580C" w:rsidP="002F23CE">
            <w:pPr>
              <w:keepNext/>
            </w:pPr>
            <w:r>
              <w:rPr>
                <w:noProof/>
              </w:rPr>
              <w:drawing>
                <wp:inline distT="0" distB="0" distL="0" distR="0">
                  <wp:extent cx="8229600" cy="1828800"/>
                  <wp:effectExtent l="0" t="0" r="0" b="0"/>
                  <wp:docPr id="5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cstate="print"/>
                          <a:srcRect/>
                          <a:stretch>
                            <a:fillRect/>
                          </a:stretch>
                        </pic:blipFill>
                        <pic:spPr bwMode="auto">
                          <a:xfrm>
                            <a:off x="0" y="0"/>
                            <a:ext cx="8229600" cy="1828800"/>
                          </a:xfrm>
                          <a:prstGeom prst="rect">
                            <a:avLst/>
                          </a:prstGeom>
                          <a:noFill/>
                          <a:ln w="9525">
                            <a:noFill/>
                            <a:miter lim="800000"/>
                            <a:headEnd/>
                            <a:tailEnd/>
                          </a:ln>
                        </pic:spPr>
                      </pic:pic>
                    </a:graphicData>
                  </a:graphic>
                </wp:inline>
              </w:drawing>
            </w:r>
          </w:p>
        </w:tc>
      </w:tr>
      <w:tr w:rsidR="00853EC1" w:rsidTr="00EF27EB">
        <w:tc>
          <w:tcPr>
            <w:tcW w:w="13176" w:type="dxa"/>
          </w:tcPr>
          <w:p w:rsidR="00853EC1" w:rsidRDefault="0068580C" w:rsidP="002F23CE">
            <w:pPr>
              <w:keepNext/>
              <w:rPr>
                <w:noProof/>
              </w:rPr>
            </w:pPr>
            <w:r>
              <w:rPr>
                <w:noProof/>
              </w:rPr>
              <w:drawing>
                <wp:inline distT="0" distB="0" distL="0" distR="0">
                  <wp:extent cx="8229600" cy="1828800"/>
                  <wp:effectExtent l="0" t="0" r="0" b="0"/>
                  <wp:docPr id="5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cstate="print"/>
                          <a:srcRect/>
                          <a:stretch>
                            <a:fillRect/>
                          </a:stretch>
                        </pic:blipFill>
                        <pic:spPr bwMode="auto">
                          <a:xfrm>
                            <a:off x="0" y="0"/>
                            <a:ext cx="8229600" cy="1828800"/>
                          </a:xfrm>
                          <a:prstGeom prst="rect">
                            <a:avLst/>
                          </a:prstGeom>
                          <a:noFill/>
                          <a:ln w="9525">
                            <a:noFill/>
                            <a:miter lim="800000"/>
                            <a:headEnd/>
                            <a:tailEnd/>
                          </a:ln>
                        </pic:spPr>
                      </pic:pic>
                    </a:graphicData>
                  </a:graphic>
                </wp:inline>
              </w:drawing>
            </w:r>
          </w:p>
        </w:tc>
      </w:tr>
      <w:tr w:rsidR="00EF27EB" w:rsidTr="00EF27EB">
        <w:tc>
          <w:tcPr>
            <w:tcW w:w="13176" w:type="dxa"/>
          </w:tcPr>
          <w:p w:rsidR="00EF27EB" w:rsidRDefault="00EF27EB" w:rsidP="00EF27EB">
            <w:pPr>
              <w:keepNext/>
              <w:jc w:val="center"/>
              <w:rPr>
                <w:noProof/>
              </w:rPr>
            </w:pPr>
            <w:proofErr w:type="gramStart"/>
            <w:r w:rsidRPr="00EF27EB">
              <w:rPr>
                <w:rFonts w:asciiTheme="minorHAnsi" w:hAnsiTheme="minorHAnsi"/>
              </w:rPr>
              <w:lastRenderedPageBreak/>
              <w:t>Figure 2.</w:t>
            </w:r>
            <w:proofErr w:type="gramEnd"/>
            <w:r w:rsidRPr="00EF27EB">
              <w:rPr>
                <w:rFonts w:asciiTheme="minorHAnsi" w:hAnsiTheme="minorHAnsi"/>
              </w:rPr>
              <w:t xml:space="preserve"> Severe scenarios set: average, maximum, and minimum paths for domestic variables</w:t>
            </w:r>
            <w:r>
              <w:rPr>
                <w:rFonts w:asciiTheme="minorHAnsi" w:hAnsiTheme="minorHAnsi"/>
              </w:rPr>
              <w:t xml:space="preserve"> (cont.)</w:t>
            </w:r>
          </w:p>
        </w:tc>
      </w:tr>
      <w:tr w:rsidR="00853EC1" w:rsidTr="00EF27EB">
        <w:tc>
          <w:tcPr>
            <w:tcW w:w="13176" w:type="dxa"/>
          </w:tcPr>
          <w:p w:rsidR="00853EC1" w:rsidRDefault="0068580C" w:rsidP="002F23CE">
            <w:pPr>
              <w:keepNext/>
              <w:rPr>
                <w:noProof/>
              </w:rPr>
            </w:pPr>
            <w:r>
              <w:rPr>
                <w:noProof/>
              </w:rPr>
              <w:drawing>
                <wp:inline distT="0" distB="0" distL="0" distR="0">
                  <wp:extent cx="8220075" cy="1819275"/>
                  <wp:effectExtent l="0" t="0" r="0" b="0"/>
                  <wp:docPr id="5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2" cstate="print"/>
                          <a:srcRect/>
                          <a:stretch>
                            <a:fillRect/>
                          </a:stretch>
                        </pic:blipFill>
                        <pic:spPr bwMode="auto">
                          <a:xfrm>
                            <a:off x="0" y="0"/>
                            <a:ext cx="8220075" cy="1819275"/>
                          </a:xfrm>
                          <a:prstGeom prst="rect">
                            <a:avLst/>
                          </a:prstGeom>
                          <a:noFill/>
                          <a:ln w="9525">
                            <a:noFill/>
                            <a:miter lim="800000"/>
                            <a:headEnd/>
                            <a:tailEnd/>
                          </a:ln>
                        </pic:spPr>
                      </pic:pic>
                    </a:graphicData>
                  </a:graphic>
                </wp:inline>
              </w:drawing>
            </w:r>
          </w:p>
        </w:tc>
      </w:tr>
    </w:tbl>
    <w:p w:rsidR="00EF27EB" w:rsidRDefault="00EF27EB" w:rsidP="00F75AFF">
      <w:pPr>
        <w:keepNext/>
        <w:rPr>
          <w:sz w:val="20"/>
          <w:szCs w:val="20"/>
        </w:rPr>
      </w:pPr>
    </w:p>
    <w:p w:rsidR="00F75AFF" w:rsidRDefault="00F75AFF" w:rsidP="00F75AFF">
      <w:pPr>
        <w:keepNext/>
        <w:rPr>
          <w:sz w:val="20"/>
          <w:szCs w:val="20"/>
        </w:rPr>
      </w:pPr>
      <w:r w:rsidRPr="00853EC1">
        <w:rPr>
          <w:sz w:val="20"/>
          <w:szCs w:val="20"/>
        </w:rPr>
        <w:t xml:space="preserve">Note: The figure reports the average path (blue line), and the maximum and minimum paths (red lines) </w:t>
      </w:r>
      <w:r>
        <w:rPr>
          <w:sz w:val="20"/>
          <w:szCs w:val="20"/>
        </w:rPr>
        <w:t>for a set of 2000 simulated scenarios. The adverse scenarios consider industrial production in the U.S. growing 1 percent annually, and the following initial shocks: a 200 bps increase in the U.S. 3-month Treasury bill rate, a 400 bps increase in the U.S. 10-year Treasury bond rate, a three-standard deviation shock to the IGAE, and a rise in the unemployment rate to 5 ½ percent. The shocks to the remaining variables are set equal to a two-standard deviation. All shocks realize gradually during the years 2016 and 2017.</w:t>
      </w:r>
    </w:p>
    <w:p w:rsidR="0068580C" w:rsidRPr="00853EC1" w:rsidRDefault="0068580C" w:rsidP="0068580C">
      <w:pPr>
        <w:keepNext/>
        <w:rPr>
          <w:sz w:val="20"/>
          <w:szCs w:val="20"/>
        </w:rPr>
      </w:pPr>
      <w:r w:rsidRPr="00853EC1">
        <w:rPr>
          <w:sz w:val="20"/>
          <w:szCs w:val="20"/>
        </w:rPr>
        <w:t xml:space="preserve">Source: </w:t>
      </w:r>
      <w:proofErr w:type="spellStart"/>
      <w:proofErr w:type="gramStart"/>
      <w:r w:rsidRPr="00853EC1">
        <w:rPr>
          <w:sz w:val="20"/>
          <w:szCs w:val="20"/>
        </w:rPr>
        <w:t>Haver</w:t>
      </w:r>
      <w:proofErr w:type="spellEnd"/>
      <w:proofErr w:type="gramEnd"/>
      <w:r w:rsidRPr="00853EC1">
        <w:rPr>
          <w:sz w:val="20"/>
          <w:szCs w:val="20"/>
        </w:rPr>
        <w:t xml:space="preserve"> Analytics, and staff calculations. </w:t>
      </w:r>
    </w:p>
    <w:p w:rsidR="00912105" w:rsidRPr="00C410E7" w:rsidRDefault="00912105" w:rsidP="008F2691">
      <w:pPr>
        <w:keepNext/>
      </w:pPr>
    </w:p>
    <w:sectPr w:rsidR="00912105" w:rsidRPr="00C410E7" w:rsidSect="00867927">
      <w:pgSz w:w="15840" w:h="12240" w:orient="landscape" w:code="1"/>
      <w:pgMar w:top="180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5AFA" w:rsidRDefault="00945AFA">
      <w:r>
        <w:separator/>
      </w:r>
    </w:p>
  </w:endnote>
  <w:endnote w:type="continuationSeparator" w:id="0">
    <w:p w:rsidR="00945AFA" w:rsidRDefault="00945AF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AFA" w:rsidRDefault="00945AFA">
    <w:pPr>
      <w:pStyle w:val="Footer"/>
      <w:tabs>
        <w:tab w:val="clear" w:pos="8640"/>
        <w:tab w:val="right" w:pos="900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AFA" w:rsidRDefault="00945AFA">
    <w:pPr>
      <w:pStyle w:val="Footer"/>
      <w:tabs>
        <w:tab w:val="clear" w:pos="8640"/>
        <w:tab w:val="right" w:pos="90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5AFA" w:rsidRDefault="00945AFA">
      <w:r>
        <w:separator/>
      </w:r>
    </w:p>
  </w:footnote>
  <w:footnote w:type="continuationSeparator" w:id="0">
    <w:p w:rsidR="00945AFA" w:rsidRDefault="00945AFA">
      <w:r>
        <w:continuationSeparator/>
      </w:r>
    </w:p>
  </w:footnote>
  <w:footnote w:type="continuationNotice" w:id="1">
    <w:p w:rsidR="00945AFA" w:rsidRDefault="00945AFA">
      <w:pPr>
        <w:jc w:val="right"/>
      </w:pPr>
      <w:r>
        <w:t>(</w:t>
      </w:r>
      <w:proofErr w:type="gramStart"/>
      <w:r>
        <w:t>continued</w:t>
      </w:r>
      <w:proofErr w:type="gramEnd"/>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96811"/>
      <w:docPartObj>
        <w:docPartGallery w:val="Page Numbers (Top of Page)"/>
        <w:docPartUnique/>
      </w:docPartObj>
    </w:sdtPr>
    <w:sdtContent>
      <w:p w:rsidR="00945AFA" w:rsidRDefault="00B75C68">
        <w:pPr>
          <w:pStyle w:val="Header"/>
          <w:jc w:val="center"/>
        </w:pPr>
        <w:fldSimple w:instr=" PAGE   \* MERGEFORMAT ">
          <w:r w:rsidR="00FA00E5">
            <w:rPr>
              <w:noProof/>
            </w:rPr>
            <w:t>2</w:t>
          </w:r>
        </w:fldSimple>
      </w:p>
    </w:sdtContent>
  </w:sdt>
  <w:p w:rsidR="00945AFA" w:rsidRDefault="00945AF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AFA" w:rsidRPr="00246060" w:rsidRDefault="00945AFA" w:rsidP="00246060">
    <w:pPr>
      <w:pStyle w:val="Header"/>
      <w:tabs>
        <w:tab w:val="clear" w:pos="4320"/>
        <w:tab w:val="clear" w:pos="8640"/>
        <w:tab w:val="right" w:pos="9000"/>
      </w:tabs>
      <w:rPr>
        <w:sz w:val="22"/>
      </w:rPr>
    </w:pPr>
    <w:r>
      <w:rPr>
        <w:sz w:val="22"/>
      </w:rPr>
      <w:tab/>
    </w:r>
  </w:p>
  <w:p w:rsidR="00945AFA" w:rsidRDefault="00945AFA">
    <w:pPr>
      <w:pStyle w:val="Header"/>
      <w:tabs>
        <w:tab w:val="clear" w:pos="8640"/>
        <w:tab w:val="right" w:pos="900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9E44308"/>
    <w:lvl w:ilvl="0">
      <w:start w:val="1"/>
      <w:numFmt w:val="decimal"/>
      <w:lvlText w:val="%1."/>
      <w:lvlJc w:val="left"/>
      <w:pPr>
        <w:tabs>
          <w:tab w:val="num" w:pos="1800"/>
        </w:tabs>
        <w:ind w:left="1800" w:hanging="360"/>
      </w:pPr>
    </w:lvl>
  </w:abstractNum>
  <w:abstractNum w:abstractNumId="1">
    <w:nsid w:val="FFFFFF7D"/>
    <w:multiLevelType w:val="singleLevel"/>
    <w:tmpl w:val="5D5C179A"/>
    <w:lvl w:ilvl="0">
      <w:start w:val="1"/>
      <w:numFmt w:val="decimal"/>
      <w:lvlText w:val="%1."/>
      <w:lvlJc w:val="left"/>
      <w:pPr>
        <w:tabs>
          <w:tab w:val="num" w:pos="1440"/>
        </w:tabs>
        <w:ind w:left="1440" w:hanging="360"/>
      </w:pPr>
    </w:lvl>
  </w:abstractNum>
  <w:abstractNum w:abstractNumId="2">
    <w:nsid w:val="FFFFFF7E"/>
    <w:multiLevelType w:val="singleLevel"/>
    <w:tmpl w:val="DC321FD6"/>
    <w:lvl w:ilvl="0">
      <w:start w:val="1"/>
      <w:numFmt w:val="decimal"/>
      <w:lvlText w:val="%1."/>
      <w:lvlJc w:val="left"/>
      <w:pPr>
        <w:tabs>
          <w:tab w:val="num" w:pos="1080"/>
        </w:tabs>
        <w:ind w:left="1080" w:hanging="360"/>
      </w:pPr>
    </w:lvl>
  </w:abstractNum>
  <w:abstractNum w:abstractNumId="3">
    <w:nsid w:val="FFFFFF7F"/>
    <w:multiLevelType w:val="singleLevel"/>
    <w:tmpl w:val="1092FA42"/>
    <w:lvl w:ilvl="0">
      <w:start w:val="1"/>
      <w:numFmt w:val="decimal"/>
      <w:lvlText w:val="%1."/>
      <w:lvlJc w:val="left"/>
      <w:pPr>
        <w:tabs>
          <w:tab w:val="num" w:pos="720"/>
        </w:tabs>
        <w:ind w:left="720" w:hanging="360"/>
      </w:pPr>
    </w:lvl>
  </w:abstractNum>
  <w:abstractNum w:abstractNumId="4">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9">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10">
    <w:nsid w:val="0773775B"/>
    <w:multiLevelType w:val="hybridMultilevel"/>
    <w:tmpl w:val="56709E74"/>
    <w:lvl w:ilvl="0" w:tplc="33FE2298">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F44048"/>
    <w:multiLevelType w:val="hybridMultilevel"/>
    <w:tmpl w:val="AB8A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8C3FE3"/>
    <w:multiLevelType w:val="hybridMultilevel"/>
    <w:tmpl w:val="74B0E852"/>
    <w:lvl w:ilvl="0" w:tplc="33FE2298">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61F47F0"/>
    <w:multiLevelType w:val="hybridMultilevel"/>
    <w:tmpl w:val="E94CB1F0"/>
    <w:lvl w:ilvl="0" w:tplc="33FE2298">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8F065A"/>
    <w:multiLevelType w:val="hybridMultilevel"/>
    <w:tmpl w:val="BA32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D85E71"/>
    <w:multiLevelType w:val="hybridMultilevel"/>
    <w:tmpl w:val="993044AE"/>
    <w:lvl w:ilvl="0" w:tplc="8148212E">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7A5699"/>
    <w:multiLevelType w:val="hybridMultilevel"/>
    <w:tmpl w:val="E7CAC4BC"/>
    <w:lvl w:ilvl="0" w:tplc="33FE2298">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E04012"/>
    <w:multiLevelType w:val="hybridMultilevel"/>
    <w:tmpl w:val="7DBC3CDA"/>
    <w:lvl w:ilvl="0" w:tplc="33FE2298">
      <w:start w:val="1"/>
      <w:numFmt w:val="bullet"/>
      <w:lvlRestart w:val="0"/>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7B524FD"/>
    <w:multiLevelType w:val="hybridMultilevel"/>
    <w:tmpl w:val="6234BA24"/>
    <w:lvl w:ilvl="0" w:tplc="33FE2298">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C5526A"/>
    <w:multiLevelType w:val="hybridMultilevel"/>
    <w:tmpl w:val="EEE8CFCA"/>
    <w:lvl w:ilvl="0" w:tplc="33FE2298">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005C0C"/>
    <w:multiLevelType w:val="hybridMultilevel"/>
    <w:tmpl w:val="22E89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295B39"/>
    <w:multiLevelType w:val="hybridMultilevel"/>
    <w:tmpl w:val="E99A7834"/>
    <w:lvl w:ilvl="0" w:tplc="33FE2298">
      <w:start w:val="1"/>
      <w:numFmt w:val="bullet"/>
      <w:lvlRestart w:val="0"/>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6C022C7"/>
    <w:multiLevelType w:val="hybridMultilevel"/>
    <w:tmpl w:val="D31E9D92"/>
    <w:lvl w:ilvl="0" w:tplc="33FE2298">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EA15A1"/>
    <w:multiLevelType w:val="multilevel"/>
    <w:tmpl w:val="FAA42BFC"/>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25">
    <w:nsid w:val="76666ADB"/>
    <w:multiLevelType w:val="hybridMultilevel"/>
    <w:tmpl w:val="4B403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AB259B"/>
    <w:multiLevelType w:val="hybridMultilevel"/>
    <w:tmpl w:val="CEB6C390"/>
    <w:lvl w:ilvl="0" w:tplc="33FE2298">
      <w:start w:val="1"/>
      <w:numFmt w:val="bullet"/>
      <w:lvlRestart w:val="0"/>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4"/>
  </w:num>
  <w:num w:numId="14">
    <w:abstractNumId w:val="24"/>
  </w:num>
  <w:num w:numId="15">
    <w:abstractNumId w:val="9"/>
  </w:num>
  <w:num w:numId="16">
    <w:abstractNumId w:val="7"/>
  </w:num>
  <w:num w:numId="17">
    <w:abstractNumId w:val="6"/>
  </w:num>
  <w:num w:numId="18">
    <w:abstractNumId w:val="5"/>
  </w:num>
  <w:num w:numId="19">
    <w:abstractNumId w:val="4"/>
  </w:num>
  <w:num w:numId="20">
    <w:abstractNumId w:val="13"/>
  </w:num>
  <w:num w:numId="21">
    <w:abstractNumId w:val="13"/>
  </w:num>
  <w:num w:numId="22">
    <w:abstractNumId w:val="25"/>
  </w:num>
  <w:num w:numId="23">
    <w:abstractNumId w:val="15"/>
  </w:num>
  <w:num w:numId="24">
    <w:abstractNumId w:val="11"/>
  </w:num>
  <w:num w:numId="25">
    <w:abstractNumId w:val="16"/>
  </w:num>
  <w:num w:numId="26">
    <w:abstractNumId w:val="21"/>
  </w:num>
  <w:num w:numId="27">
    <w:abstractNumId w:val="18"/>
  </w:num>
  <w:num w:numId="28">
    <w:abstractNumId w:val="10"/>
  </w:num>
  <w:num w:numId="29">
    <w:abstractNumId w:val="19"/>
  </w:num>
  <w:num w:numId="30">
    <w:abstractNumId w:val="12"/>
  </w:num>
  <w:num w:numId="31">
    <w:abstractNumId w:val="17"/>
  </w:num>
  <w:num w:numId="32">
    <w:abstractNumId w:val="23"/>
  </w:num>
  <w:num w:numId="33">
    <w:abstractNumId w:val="14"/>
  </w:num>
  <w:num w:numId="34">
    <w:abstractNumId w:val="22"/>
  </w:num>
  <w:num w:numId="35">
    <w:abstractNumId w:val="26"/>
  </w:num>
  <w:num w:numId="3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2"/>
  <w:noPunctuationKerning/>
  <w:characterSpacingControl w:val="doNotCompress"/>
  <w:hdrShapeDefaults>
    <o:shapedefaults v:ext="edit" spidmax="246785"/>
  </w:hdrShapeDefaults>
  <w:footnotePr>
    <w:footnote w:id="-1"/>
    <w:footnote w:id="0"/>
    <w:footnote w:id="1"/>
  </w:footnotePr>
  <w:endnotePr>
    <w:endnote w:id="-1"/>
    <w:endnote w:id="0"/>
  </w:endnotePr>
  <w:compat/>
  <w:rsids>
    <w:rsidRoot w:val="003A411F"/>
    <w:rsid w:val="00007BE2"/>
    <w:rsid w:val="00037366"/>
    <w:rsid w:val="00040D64"/>
    <w:rsid w:val="00047A8E"/>
    <w:rsid w:val="0006211B"/>
    <w:rsid w:val="00062C54"/>
    <w:rsid w:val="0007400D"/>
    <w:rsid w:val="000926EA"/>
    <w:rsid w:val="000A7E0C"/>
    <w:rsid w:val="000C0E90"/>
    <w:rsid w:val="000D3B7E"/>
    <w:rsid w:val="000E4648"/>
    <w:rsid w:val="000F2CB0"/>
    <w:rsid w:val="0012222E"/>
    <w:rsid w:val="001224D0"/>
    <w:rsid w:val="001264C2"/>
    <w:rsid w:val="001304B1"/>
    <w:rsid w:val="00137D76"/>
    <w:rsid w:val="001420E0"/>
    <w:rsid w:val="00151A90"/>
    <w:rsid w:val="0015268B"/>
    <w:rsid w:val="00152D21"/>
    <w:rsid w:val="00154F8C"/>
    <w:rsid w:val="001762DA"/>
    <w:rsid w:val="001777FF"/>
    <w:rsid w:val="001903B2"/>
    <w:rsid w:val="001B03EF"/>
    <w:rsid w:val="001B41F6"/>
    <w:rsid w:val="001C2A4F"/>
    <w:rsid w:val="001C513B"/>
    <w:rsid w:val="001C641C"/>
    <w:rsid w:val="001D04CC"/>
    <w:rsid w:val="001E04DD"/>
    <w:rsid w:val="001E5D39"/>
    <w:rsid w:val="001E781A"/>
    <w:rsid w:val="001E7986"/>
    <w:rsid w:val="00201536"/>
    <w:rsid w:val="00213962"/>
    <w:rsid w:val="002200CD"/>
    <w:rsid w:val="002221C9"/>
    <w:rsid w:val="00222A65"/>
    <w:rsid w:val="002279AB"/>
    <w:rsid w:val="00230BD8"/>
    <w:rsid w:val="00245EF4"/>
    <w:rsid w:val="00246060"/>
    <w:rsid w:val="00257BE1"/>
    <w:rsid w:val="0026790C"/>
    <w:rsid w:val="00282BE6"/>
    <w:rsid w:val="002871FC"/>
    <w:rsid w:val="002963CE"/>
    <w:rsid w:val="002A00C5"/>
    <w:rsid w:val="002B0FAB"/>
    <w:rsid w:val="002D67E6"/>
    <w:rsid w:val="002E0D6C"/>
    <w:rsid w:val="002F23CE"/>
    <w:rsid w:val="00300DF2"/>
    <w:rsid w:val="00311A3B"/>
    <w:rsid w:val="00311FF7"/>
    <w:rsid w:val="00327493"/>
    <w:rsid w:val="0036474F"/>
    <w:rsid w:val="003647D8"/>
    <w:rsid w:val="0037124D"/>
    <w:rsid w:val="00376333"/>
    <w:rsid w:val="0038082B"/>
    <w:rsid w:val="0038706B"/>
    <w:rsid w:val="0039115C"/>
    <w:rsid w:val="00394D24"/>
    <w:rsid w:val="00397D2F"/>
    <w:rsid w:val="003A1D52"/>
    <w:rsid w:val="003A2964"/>
    <w:rsid w:val="003A411F"/>
    <w:rsid w:val="003B76D1"/>
    <w:rsid w:val="003C02B9"/>
    <w:rsid w:val="003C6BB9"/>
    <w:rsid w:val="003D1BF5"/>
    <w:rsid w:val="003D3FB7"/>
    <w:rsid w:val="003D4042"/>
    <w:rsid w:val="003D47D4"/>
    <w:rsid w:val="003E166B"/>
    <w:rsid w:val="003E16E8"/>
    <w:rsid w:val="003E3F0D"/>
    <w:rsid w:val="003E6803"/>
    <w:rsid w:val="003E7BE2"/>
    <w:rsid w:val="003F62BA"/>
    <w:rsid w:val="00401A75"/>
    <w:rsid w:val="00404689"/>
    <w:rsid w:val="00412EE5"/>
    <w:rsid w:val="004141ED"/>
    <w:rsid w:val="004167DF"/>
    <w:rsid w:val="00423636"/>
    <w:rsid w:val="004346C3"/>
    <w:rsid w:val="004351BD"/>
    <w:rsid w:val="00467C82"/>
    <w:rsid w:val="004736B6"/>
    <w:rsid w:val="00475AC6"/>
    <w:rsid w:val="00476959"/>
    <w:rsid w:val="00483CAC"/>
    <w:rsid w:val="004845A6"/>
    <w:rsid w:val="004872AE"/>
    <w:rsid w:val="00492BC3"/>
    <w:rsid w:val="004A6302"/>
    <w:rsid w:val="004B2C14"/>
    <w:rsid w:val="004F4425"/>
    <w:rsid w:val="004F452C"/>
    <w:rsid w:val="004F71BF"/>
    <w:rsid w:val="005145A6"/>
    <w:rsid w:val="00526C8B"/>
    <w:rsid w:val="005301E7"/>
    <w:rsid w:val="005303E2"/>
    <w:rsid w:val="005340A4"/>
    <w:rsid w:val="00540B79"/>
    <w:rsid w:val="00541726"/>
    <w:rsid w:val="00547CDC"/>
    <w:rsid w:val="0055575B"/>
    <w:rsid w:val="005837EA"/>
    <w:rsid w:val="00592F5C"/>
    <w:rsid w:val="005967F5"/>
    <w:rsid w:val="00596ECB"/>
    <w:rsid w:val="005A33E8"/>
    <w:rsid w:val="005A6A0E"/>
    <w:rsid w:val="005C5B16"/>
    <w:rsid w:val="005C708C"/>
    <w:rsid w:val="005C7ED3"/>
    <w:rsid w:val="005D0EE8"/>
    <w:rsid w:val="005D76B2"/>
    <w:rsid w:val="005E43E2"/>
    <w:rsid w:val="005F60AB"/>
    <w:rsid w:val="00600162"/>
    <w:rsid w:val="00604030"/>
    <w:rsid w:val="00610463"/>
    <w:rsid w:val="006176C4"/>
    <w:rsid w:val="00621BFB"/>
    <w:rsid w:val="00630481"/>
    <w:rsid w:val="006307DE"/>
    <w:rsid w:val="006336D6"/>
    <w:rsid w:val="00637FDD"/>
    <w:rsid w:val="00647B6E"/>
    <w:rsid w:val="006573CD"/>
    <w:rsid w:val="0066301D"/>
    <w:rsid w:val="0066323E"/>
    <w:rsid w:val="00664862"/>
    <w:rsid w:val="006752DE"/>
    <w:rsid w:val="0068580C"/>
    <w:rsid w:val="00686CF0"/>
    <w:rsid w:val="006A2D37"/>
    <w:rsid w:val="006A6138"/>
    <w:rsid w:val="006B7E88"/>
    <w:rsid w:val="006D189D"/>
    <w:rsid w:val="006D2BCA"/>
    <w:rsid w:val="006E58C4"/>
    <w:rsid w:val="00703112"/>
    <w:rsid w:val="00704CF5"/>
    <w:rsid w:val="007141E9"/>
    <w:rsid w:val="007348AD"/>
    <w:rsid w:val="00734BA9"/>
    <w:rsid w:val="007376A5"/>
    <w:rsid w:val="00745953"/>
    <w:rsid w:val="007555CB"/>
    <w:rsid w:val="0076126E"/>
    <w:rsid w:val="007817BF"/>
    <w:rsid w:val="00791184"/>
    <w:rsid w:val="00793705"/>
    <w:rsid w:val="007B11AD"/>
    <w:rsid w:val="007D6B5A"/>
    <w:rsid w:val="007E0A22"/>
    <w:rsid w:val="007E74D2"/>
    <w:rsid w:val="007F5131"/>
    <w:rsid w:val="007F6AC9"/>
    <w:rsid w:val="00801BE9"/>
    <w:rsid w:val="00811951"/>
    <w:rsid w:val="00823B0E"/>
    <w:rsid w:val="00840E44"/>
    <w:rsid w:val="00850254"/>
    <w:rsid w:val="00853EC1"/>
    <w:rsid w:val="00860616"/>
    <w:rsid w:val="00867927"/>
    <w:rsid w:val="00870061"/>
    <w:rsid w:val="008758F6"/>
    <w:rsid w:val="008815A6"/>
    <w:rsid w:val="00884199"/>
    <w:rsid w:val="00890E49"/>
    <w:rsid w:val="008A2AEA"/>
    <w:rsid w:val="008A5E8C"/>
    <w:rsid w:val="008B295B"/>
    <w:rsid w:val="008D5BB1"/>
    <w:rsid w:val="008E02B4"/>
    <w:rsid w:val="008E3FCD"/>
    <w:rsid w:val="008F2691"/>
    <w:rsid w:val="008F7085"/>
    <w:rsid w:val="00900940"/>
    <w:rsid w:val="0090621A"/>
    <w:rsid w:val="00911A3B"/>
    <w:rsid w:val="00912105"/>
    <w:rsid w:val="00936583"/>
    <w:rsid w:val="00945AFA"/>
    <w:rsid w:val="00952688"/>
    <w:rsid w:val="009534A3"/>
    <w:rsid w:val="00957AC7"/>
    <w:rsid w:val="00967072"/>
    <w:rsid w:val="00983994"/>
    <w:rsid w:val="00992232"/>
    <w:rsid w:val="009926FB"/>
    <w:rsid w:val="00994A05"/>
    <w:rsid w:val="009A02B5"/>
    <w:rsid w:val="009A6646"/>
    <w:rsid w:val="009B5CEC"/>
    <w:rsid w:val="009C3FDE"/>
    <w:rsid w:val="009C61BE"/>
    <w:rsid w:val="009C77CB"/>
    <w:rsid w:val="009D2E12"/>
    <w:rsid w:val="009E4B0B"/>
    <w:rsid w:val="009F4DBC"/>
    <w:rsid w:val="009F51CE"/>
    <w:rsid w:val="009F6EFC"/>
    <w:rsid w:val="009F7991"/>
    <w:rsid w:val="00A00641"/>
    <w:rsid w:val="00A258CC"/>
    <w:rsid w:val="00A40434"/>
    <w:rsid w:val="00A549F0"/>
    <w:rsid w:val="00A641B3"/>
    <w:rsid w:val="00A64F27"/>
    <w:rsid w:val="00A8205A"/>
    <w:rsid w:val="00A9049F"/>
    <w:rsid w:val="00A95015"/>
    <w:rsid w:val="00AA26D2"/>
    <w:rsid w:val="00AB117A"/>
    <w:rsid w:val="00AB12CC"/>
    <w:rsid w:val="00AD270F"/>
    <w:rsid w:val="00AE6827"/>
    <w:rsid w:val="00AE6C05"/>
    <w:rsid w:val="00AF2128"/>
    <w:rsid w:val="00AF36FB"/>
    <w:rsid w:val="00AF7A85"/>
    <w:rsid w:val="00B07FC3"/>
    <w:rsid w:val="00B22249"/>
    <w:rsid w:val="00B560A3"/>
    <w:rsid w:val="00B637D0"/>
    <w:rsid w:val="00B75C68"/>
    <w:rsid w:val="00B77FB9"/>
    <w:rsid w:val="00B85654"/>
    <w:rsid w:val="00B925B1"/>
    <w:rsid w:val="00B95EFB"/>
    <w:rsid w:val="00B96733"/>
    <w:rsid w:val="00BB19D3"/>
    <w:rsid w:val="00BC0948"/>
    <w:rsid w:val="00BD0AB0"/>
    <w:rsid w:val="00BD1820"/>
    <w:rsid w:val="00BD267A"/>
    <w:rsid w:val="00BF2A23"/>
    <w:rsid w:val="00BF3B37"/>
    <w:rsid w:val="00C0277F"/>
    <w:rsid w:val="00C054CE"/>
    <w:rsid w:val="00C0595C"/>
    <w:rsid w:val="00C13D72"/>
    <w:rsid w:val="00C16A44"/>
    <w:rsid w:val="00C17EBA"/>
    <w:rsid w:val="00C27940"/>
    <w:rsid w:val="00C410E7"/>
    <w:rsid w:val="00C62511"/>
    <w:rsid w:val="00C6679F"/>
    <w:rsid w:val="00C77B19"/>
    <w:rsid w:val="00C9360F"/>
    <w:rsid w:val="00CB02AD"/>
    <w:rsid w:val="00CB18D5"/>
    <w:rsid w:val="00CB3CFA"/>
    <w:rsid w:val="00CD017B"/>
    <w:rsid w:val="00CD05FF"/>
    <w:rsid w:val="00CD2290"/>
    <w:rsid w:val="00CD7B0F"/>
    <w:rsid w:val="00CE1640"/>
    <w:rsid w:val="00CF3346"/>
    <w:rsid w:val="00CF4132"/>
    <w:rsid w:val="00D16A6A"/>
    <w:rsid w:val="00D23293"/>
    <w:rsid w:val="00D26BB7"/>
    <w:rsid w:val="00D404A5"/>
    <w:rsid w:val="00D47014"/>
    <w:rsid w:val="00D701EF"/>
    <w:rsid w:val="00D73297"/>
    <w:rsid w:val="00D84A0F"/>
    <w:rsid w:val="00D8554A"/>
    <w:rsid w:val="00D925F8"/>
    <w:rsid w:val="00DB0089"/>
    <w:rsid w:val="00DB7192"/>
    <w:rsid w:val="00DC05CF"/>
    <w:rsid w:val="00DC7EB4"/>
    <w:rsid w:val="00DD08C2"/>
    <w:rsid w:val="00DE48EF"/>
    <w:rsid w:val="00DF2984"/>
    <w:rsid w:val="00DF3307"/>
    <w:rsid w:val="00E234F7"/>
    <w:rsid w:val="00E2383A"/>
    <w:rsid w:val="00E37720"/>
    <w:rsid w:val="00E438D6"/>
    <w:rsid w:val="00E46358"/>
    <w:rsid w:val="00E5132E"/>
    <w:rsid w:val="00E636CF"/>
    <w:rsid w:val="00E77E0C"/>
    <w:rsid w:val="00E85A2D"/>
    <w:rsid w:val="00E910D4"/>
    <w:rsid w:val="00E919BF"/>
    <w:rsid w:val="00E97043"/>
    <w:rsid w:val="00EA1CC0"/>
    <w:rsid w:val="00EA597F"/>
    <w:rsid w:val="00EC1B4B"/>
    <w:rsid w:val="00EC50F2"/>
    <w:rsid w:val="00EC67A0"/>
    <w:rsid w:val="00EF1CB4"/>
    <w:rsid w:val="00EF27EB"/>
    <w:rsid w:val="00EF7959"/>
    <w:rsid w:val="00F02EEC"/>
    <w:rsid w:val="00F056FC"/>
    <w:rsid w:val="00F0638B"/>
    <w:rsid w:val="00F16997"/>
    <w:rsid w:val="00F2553D"/>
    <w:rsid w:val="00F27E7E"/>
    <w:rsid w:val="00F3380E"/>
    <w:rsid w:val="00F34135"/>
    <w:rsid w:val="00F43A4E"/>
    <w:rsid w:val="00F75AFF"/>
    <w:rsid w:val="00F77AE5"/>
    <w:rsid w:val="00F8028C"/>
    <w:rsid w:val="00F8166B"/>
    <w:rsid w:val="00FA00E5"/>
    <w:rsid w:val="00FD3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67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pPr>
        <w:spacing w:line="264"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Normal Indent" w:uiPriority="8"/>
    <w:lsdException w:name="annotation text" w:uiPriority="8"/>
    <w:lsdException w:name="header" w:uiPriority="99"/>
    <w:lsdException w:name="index heading" w:uiPriority="8"/>
    <w:lsdException w:name="caption" w:semiHidden="1" w:uiPriority="8" w:unhideWhenUsed="1" w:qFormat="1"/>
    <w:lsdException w:name="table of figures" w:uiPriority="8"/>
    <w:lsdException w:name="envelope address" w:uiPriority="8"/>
    <w:lsdException w:name="envelope return" w:uiPriority="8"/>
    <w:lsdException w:name="annotation reference" w:uiPriority="8"/>
    <w:lsdException w:name="line number" w:uiPriority="8"/>
    <w:lsdException w:name="page number" w:uiPriority="8"/>
    <w:lsdException w:name="endnote reference" w:uiPriority="8"/>
    <w:lsdException w:name="endnote text" w:uiPriority="8"/>
    <w:lsdException w:name="table of authorities" w:uiPriority="8"/>
    <w:lsdException w:name="macro" w:uiPriority="8"/>
    <w:lsdException w:name="toa heading" w:uiPriority="8"/>
    <w:lsdException w:name="List" w:uiPriority="8"/>
    <w:lsdException w:name="List Bullet" w:qFormat="1"/>
    <w:lsdException w:name="List Number" w:uiPriority="8"/>
    <w:lsdException w:name="List 2" w:uiPriority="8"/>
    <w:lsdException w:name="List 3" w:uiPriority="8"/>
    <w:lsdException w:name="List 4" w:uiPriority="8"/>
    <w:lsdException w:name="List 5" w:uiPriority="8"/>
    <w:lsdException w:name="List Number 2" w:uiPriority="8"/>
    <w:lsdException w:name="List Number 3" w:uiPriority="8"/>
    <w:lsdException w:name="List Number 4" w:uiPriority="8"/>
    <w:lsdException w:name="List Number 5" w:uiPriority="8"/>
    <w:lsdException w:name="Closing" w:uiPriority="8"/>
    <w:lsdException w:name="Signature" w:uiPriority="8"/>
    <w:lsdException w:name="Body Text" w:uiPriority="8"/>
    <w:lsdException w:name="Body Text Indent" w:uiPriority="8"/>
    <w:lsdException w:name="List Continue" w:uiPriority="8"/>
    <w:lsdException w:name="List Continue 2" w:uiPriority="8"/>
    <w:lsdException w:name="List Continue 3" w:uiPriority="8"/>
    <w:lsdException w:name="List Continue 4" w:uiPriority="8"/>
    <w:lsdException w:name="List Continue 5" w:uiPriority="8"/>
    <w:lsdException w:name="Message Header" w:uiPriority="8"/>
    <w:lsdException w:name="Subtitle" w:uiPriority="8"/>
    <w:lsdException w:name="Salutation" w:uiPriority="8"/>
    <w:lsdException w:name="Date" w:uiPriority="8"/>
    <w:lsdException w:name="Body Text First Indent" w:uiPriority="8"/>
    <w:lsdException w:name="Body Text First Indent 2" w:uiPriority="8"/>
    <w:lsdException w:name="Note Heading" w:uiPriority="8"/>
    <w:lsdException w:name="Body Text 2" w:uiPriority="8"/>
    <w:lsdException w:name="Body Text 3" w:uiPriority="8"/>
    <w:lsdException w:name="Body Text Indent 2" w:uiPriority="8"/>
    <w:lsdException w:name="Body Text Indent 3" w:uiPriority="8"/>
    <w:lsdException w:name="Block Text" w:uiPriority="8"/>
    <w:lsdException w:name="Hyperlink" w:uiPriority="8"/>
    <w:lsdException w:name="FollowedHyperlink" w:uiPriority="8"/>
    <w:lsdException w:name="Strong" w:uiPriority="8" w:qFormat="1"/>
    <w:lsdException w:name="Emphasis" w:uiPriority="8" w:qFormat="1"/>
    <w:lsdException w:name="Document Map" w:uiPriority="8"/>
    <w:lsdException w:name="Plain Text" w:uiPriority="8"/>
    <w:lsdException w:name="E-mail Signature" w:uiPriority="8"/>
    <w:lsdException w:name="Normal (Web)" w:uiPriority="8"/>
    <w:lsdException w:name="HTML Acronym" w:uiPriority="8"/>
    <w:lsdException w:name="HTML Address" w:uiPriority="8"/>
    <w:lsdException w:name="HTML Cite" w:uiPriority="8"/>
    <w:lsdException w:name="HTML Code" w:uiPriority="8"/>
    <w:lsdException w:name="HTML Definition" w:uiPriority="8"/>
    <w:lsdException w:name="HTML Keyboard" w:uiPriority="8"/>
    <w:lsdException w:name="HTML Preformatted" w:uiPriority="8"/>
    <w:lsdException w:name="HTML Sample" w:uiPriority="8"/>
    <w:lsdException w:name="HTML Typewriter" w:uiPriority="8"/>
    <w:lsdException w:name="HTML Variable" w:uiPriority="8"/>
    <w:lsdException w:name="annotation subject" w:uiPriority="8"/>
    <w:lsdException w:name="Balloon Text" w:uiPriority="8"/>
    <w:lsdException w:name="Placeholder Text" w:semiHidden="1" w:uiPriority="99"/>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42"/>
    <w:lsdException w:name="Quote" w:uiPriority="37" w:qFormat="1"/>
    <w:lsdException w:name="Intense Quote" w:uiPriority="3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7"/>
    <w:lsdException w:name="Intense Emphasis" w:uiPriority="29"/>
    <w:lsdException w:name="Subtle Reference" w:uiPriority="39"/>
    <w:lsdException w:name="Intense Reference" w:uiPriority="40"/>
    <w:lsdException w:name="Book Title" w:uiPriority="41" w:qFormat="1"/>
    <w:lsdException w:name="Bibliography" w:semiHidden="1" w:uiPriority="45" w:unhideWhenUsed="1"/>
    <w:lsdException w:name="TOC Heading" w:semiHidden="1" w:uiPriority="47" w:unhideWhenUsed="1" w:qFormat="1"/>
  </w:latentStyles>
  <w:style w:type="paragraph" w:default="1" w:styleId="Normal">
    <w:name w:val="Normal"/>
    <w:qFormat/>
    <w:rsid w:val="003647D8"/>
    <w:rPr>
      <w:sz w:val="24"/>
      <w:szCs w:val="24"/>
    </w:rPr>
  </w:style>
  <w:style w:type="paragraph" w:styleId="Heading1">
    <w:name w:val="heading 1"/>
    <w:basedOn w:val="Normal"/>
    <w:next w:val="Normal"/>
    <w:uiPriority w:val="3"/>
    <w:qFormat/>
    <w:rsid w:val="00327493"/>
    <w:pPr>
      <w:keepNext/>
      <w:numPr>
        <w:numId w:val="14"/>
      </w:numPr>
      <w:spacing w:after="240"/>
      <w:jc w:val="center"/>
      <w:outlineLvl w:val="0"/>
    </w:pPr>
    <w:rPr>
      <w:rFonts w:cs="Arial"/>
      <w:b/>
      <w:bCs/>
      <w:smallCaps/>
      <w:kern w:val="28"/>
      <w:szCs w:val="32"/>
    </w:rPr>
  </w:style>
  <w:style w:type="paragraph" w:styleId="Heading2">
    <w:name w:val="heading 2"/>
    <w:basedOn w:val="Normal"/>
    <w:next w:val="Normal"/>
    <w:uiPriority w:val="4"/>
    <w:qFormat/>
    <w:rsid w:val="00327493"/>
    <w:pPr>
      <w:keepNext/>
      <w:numPr>
        <w:ilvl w:val="1"/>
        <w:numId w:val="14"/>
      </w:numPr>
      <w:spacing w:after="240"/>
      <w:jc w:val="center"/>
      <w:outlineLvl w:val="1"/>
    </w:pPr>
    <w:rPr>
      <w:rFonts w:cs="Arial"/>
      <w:b/>
      <w:bCs/>
      <w:iCs/>
      <w:szCs w:val="28"/>
    </w:rPr>
  </w:style>
  <w:style w:type="paragraph" w:styleId="Heading3">
    <w:name w:val="heading 3"/>
    <w:basedOn w:val="Normal"/>
    <w:next w:val="Normal"/>
    <w:uiPriority w:val="5"/>
    <w:qFormat/>
    <w:rsid w:val="00327493"/>
    <w:pPr>
      <w:keepNext/>
      <w:spacing w:after="240"/>
      <w:outlineLvl w:val="2"/>
    </w:pPr>
    <w:rPr>
      <w:rFonts w:cs="Arial"/>
      <w:b/>
      <w:bCs/>
      <w:szCs w:val="26"/>
    </w:rPr>
  </w:style>
  <w:style w:type="paragraph" w:styleId="Heading4">
    <w:name w:val="heading 4"/>
    <w:basedOn w:val="Normal"/>
    <w:next w:val="Normal"/>
    <w:uiPriority w:val="6"/>
    <w:qFormat/>
    <w:rsid w:val="00327493"/>
    <w:pPr>
      <w:keepNext/>
      <w:spacing w:after="240"/>
      <w:outlineLvl w:val="3"/>
    </w:pPr>
    <w:rPr>
      <w:b/>
      <w:bCs/>
      <w:i/>
      <w:szCs w:val="28"/>
    </w:rPr>
  </w:style>
  <w:style w:type="paragraph" w:styleId="Heading5">
    <w:name w:val="heading 5"/>
    <w:basedOn w:val="Normal"/>
    <w:next w:val="Normal"/>
    <w:uiPriority w:val="7"/>
    <w:qFormat/>
    <w:rsid w:val="00327493"/>
    <w:pPr>
      <w:keepNext/>
      <w:spacing w:after="240"/>
      <w:outlineLvl w:val="4"/>
    </w:pPr>
    <w:rPr>
      <w:bCs/>
      <w:i/>
      <w:iCs/>
      <w:szCs w:val="26"/>
    </w:rPr>
  </w:style>
  <w:style w:type="paragraph" w:styleId="Heading6">
    <w:name w:val="heading 6"/>
    <w:basedOn w:val="Normal"/>
    <w:next w:val="Normal"/>
    <w:uiPriority w:val="8"/>
    <w:rsid w:val="00327493"/>
    <w:pPr>
      <w:outlineLvl w:val="5"/>
    </w:pPr>
    <w:rPr>
      <w:bCs/>
      <w:szCs w:val="22"/>
    </w:rPr>
  </w:style>
  <w:style w:type="paragraph" w:styleId="Heading7">
    <w:name w:val="heading 7"/>
    <w:basedOn w:val="Normal"/>
    <w:next w:val="Normal"/>
    <w:uiPriority w:val="8"/>
    <w:rsid w:val="00327493"/>
    <w:pPr>
      <w:outlineLvl w:val="6"/>
    </w:pPr>
  </w:style>
  <w:style w:type="paragraph" w:styleId="Heading8">
    <w:name w:val="heading 8"/>
    <w:basedOn w:val="Normal"/>
    <w:next w:val="Normal"/>
    <w:uiPriority w:val="8"/>
    <w:rsid w:val="00327493"/>
    <w:pPr>
      <w:outlineLvl w:val="7"/>
    </w:pPr>
    <w:rPr>
      <w:iCs/>
    </w:rPr>
  </w:style>
  <w:style w:type="paragraph" w:styleId="Heading9">
    <w:name w:val="heading 9"/>
    <w:basedOn w:val="Normal"/>
    <w:next w:val="Normal"/>
    <w:uiPriority w:val="8"/>
    <w:rsid w:val="00327493"/>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27493"/>
    <w:pPr>
      <w:tabs>
        <w:tab w:val="center" w:pos="4320"/>
        <w:tab w:val="right" w:pos="8640"/>
      </w:tabs>
    </w:pPr>
  </w:style>
  <w:style w:type="paragraph" w:styleId="FootnoteText">
    <w:name w:val="footnote text"/>
    <w:basedOn w:val="Normal"/>
    <w:uiPriority w:val="8"/>
    <w:rsid w:val="00327493"/>
    <w:pPr>
      <w:spacing w:after="200"/>
    </w:pPr>
    <w:rPr>
      <w:sz w:val="20"/>
      <w:szCs w:val="20"/>
    </w:rPr>
  </w:style>
  <w:style w:type="paragraph" w:customStyle="1" w:styleId="ParagraphNumbering">
    <w:name w:val="Paragraph Numbering"/>
    <w:basedOn w:val="Normal"/>
    <w:uiPriority w:val="1"/>
    <w:qFormat/>
    <w:rsid w:val="00952688"/>
    <w:pPr>
      <w:numPr>
        <w:numId w:val="21"/>
      </w:numPr>
      <w:spacing w:after="240"/>
    </w:pPr>
  </w:style>
  <w:style w:type="paragraph" w:styleId="Footer">
    <w:name w:val="footer"/>
    <w:basedOn w:val="Normal"/>
    <w:uiPriority w:val="8"/>
    <w:rsid w:val="00327493"/>
    <w:pPr>
      <w:tabs>
        <w:tab w:val="center" w:pos="4320"/>
        <w:tab w:val="right" w:pos="8640"/>
      </w:tabs>
    </w:pPr>
  </w:style>
  <w:style w:type="character" w:styleId="FootnoteReference">
    <w:name w:val="footnote reference"/>
    <w:basedOn w:val="DefaultParagraphFont"/>
    <w:uiPriority w:val="8"/>
    <w:rsid w:val="00327493"/>
    <w:rPr>
      <w:sz w:val="20"/>
      <w:vertAlign w:val="superscript"/>
    </w:rPr>
  </w:style>
  <w:style w:type="paragraph" w:customStyle="1" w:styleId="Appendix">
    <w:name w:val="Appendix"/>
    <w:basedOn w:val="Normal"/>
    <w:uiPriority w:val="8"/>
    <w:qFormat/>
    <w:rsid w:val="00327493"/>
    <w:pPr>
      <w:jc w:val="center"/>
    </w:pPr>
    <w:rPr>
      <w:b/>
    </w:rPr>
  </w:style>
  <w:style w:type="paragraph" w:styleId="ListBullet">
    <w:name w:val="List Bullet"/>
    <w:basedOn w:val="Normal"/>
    <w:uiPriority w:val="2"/>
    <w:qFormat/>
    <w:rsid w:val="00327493"/>
    <w:pPr>
      <w:numPr>
        <w:numId w:val="15"/>
      </w:numPr>
      <w:spacing w:after="240"/>
    </w:pPr>
  </w:style>
  <w:style w:type="paragraph" w:styleId="TOC1">
    <w:name w:val="toc 1"/>
    <w:basedOn w:val="Normal"/>
    <w:next w:val="Normal"/>
    <w:uiPriority w:val="8"/>
    <w:rsid w:val="00327493"/>
  </w:style>
  <w:style w:type="paragraph" w:styleId="TOC2">
    <w:name w:val="toc 2"/>
    <w:basedOn w:val="Normal"/>
    <w:next w:val="Normal"/>
    <w:uiPriority w:val="8"/>
    <w:rsid w:val="00327493"/>
    <w:pPr>
      <w:ind w:left="240"/>
    </w:pPr>
  </w:style>
  <w:style w:type="paragraph" w:styleId="TOC3">
    <w:name w:val="toc 3"/>
    <w:basedOn w:val="Normal"/>
    <w:next w:val="Normal"/>
    <w:uiPriority w:val="8"/>
    <w:rsid w:val="00327493"/>
    <w:pPr>
      <w:ind w:left="480"/>
    </w:pPr>
  </w:style>
  <w:style w:type="paragraph" w:styleId="TOC4">
    <w:name w:val="toc 4"/>
    <w:basedOn w:val="Normal"/>
    <w:next w:val="Normal"/>
    <w:uiPriority w:val="8"/>
    <w:rsid w:val="00327493"/>
    <w:pPr>
      <w:ind w:left="720"/>
    </w:pPr>
  </w:style>
  <w:style w:type="paragraph" w:styleId="TOC5">
    <w:name w:val="toc 5"/>
    <w:basedOn w:val="Normal"/>
    <w:next w:val="Normal"/>
    <w:uiPriority w:val="8"/>
    <w:rsid w:val="00327493"/>
    <w:pPr>
      <w:ind w:left="960"/>
    </w:pPr>
  </w:style>
  <w:style w:type="paragraph" w:styleId="TOC6">
    <w:name w:val="toc 6"/>
    <w:basedOn w:val="Normal"/>
    <w:next w:val="Normal"/>
    <w:uiPriority w:val="8"/>
    <w:rsid w:val="00327493"/>
    <w:pPr>
      <w:ind w:left="1200"/>
    </w:pPr>
  </w:style>
  <w:style w:type="paragraph" w:styleId="TOC7">
    <w:name w:val="toc 7"/>
    <w:basedOn w:val="Normal"/>
    <w:next w:val="Normal"/>
    <w:uiPriority w:val="8"/>
    <w:rsid w:val="00327493"/>
    <w:pPr>
      <w:ind w:left="1440"/>
    </w:pPr>
  </w:style>
  <w:style w:type="paragraph" w:styleId="TOC8">
    <w:name w:val="toc 8"/>
    <w:basedOn w:val="Normal"/>
    <w:next w:val="Normal"/>
    <w:uiPriority w:val="8"/>
    <w:rsid w:val="00327493"/>
    <w:pPr>
      <w:ind w:left="1680"/>
    </w:pPr>
  </w:style>
  <w:style w:type="paragraph" w:styleId="TOC9">
    <w:name w:val="toc 9"/>
    <w:basedOn w:val="Normal"/>
    <w:next w:val="Normal"/>
    <w:uiPriority w:val="8"/>
    <w:rsid w:val="00327493"/>
    <w:pPr>
      <w:ind w:left="1920"/>
    </w:pPr>
  </w:style>
  <w:style w:type="paragraph" w:styleId="Index1">
    <w:name w:val="index 1"/>
    <w:basedOn w:val="Normal"/>
    <w:next w:val="Normal"/>
    <w:uiPriority w:val="8"/>
    <w:rsid w:val="00327493"/>
    <w:pPr>
      <w:ind w:left="240" w:hanging="240"/>
    </w:pPr>
  </w:style>
  <w:style w:type="paragraph" w:styleId="Index2">
    <w:name w:val="index 2"/>
    <w:basedOn w:val="Normal"/>
    <w:next w:val="Normal"/>
    <w:uiPriority w:val="8"/>
    <w:rsid w:val="00327493"/>
    <w:pPr>
      <w:ind w:left="480" w:hanging="240"/>
    </w:pPr>
  </w:style>
  <w:style w:type="paragraph" w:styleId="Index3">
    <w:name w:val="index 3"/>
    <w:basedOn w:val="Normal"/>
    <w:next w:val="Normal"/>
    <w:uiPriority w:val="8"/>
    <w:rsid w:val="00327493"/>
    <w:pPr>
      <w:ind w:left="720" w:hanging="240"/>
    </w:pPr>
  </w:style>
  <w:style w:type="paragraph" w:styleId="Index4">
    <w:name w:val="index 4"/>
    <w:basedOn w:val="Normal"/>
    <w:next w:val="Normal"/>
    <w:uiPriority w:val="8"/>
    <w:rsid w:val="00327493"/>
    <w:pPr>
      <w:ind w:left="960" w:hanging="240"/>
    </w:pPr>
  </w:style>
  <w:style w:type="paragraph" w:styleId="Index5">
    <w:name w:val="index 5"/>
    <w:basedOn w:val="Normal"/>
    <w:next w:val="Normal"/>
    <w:uiPriority w:val="8"/>
    <w:rsid w:val="00327493"/>
    <w:pPr>
      <w:ind w:left="1200" w:hanging="240"/>
    </w:pPr>
  </w:style>
  <w:style w:type="paragraph" w:styleId="Index6">
    <w:name w:val="index 6"/>
    <w:basedOn w:val="Normal"/>
    <w:next w:val="Normal"/>
    <w:uiPriority w:val="8"/>
    <w:rsid w:val="00327493"/>
    <w:pPr>
      <w:ind w:left="1440" w:hanging="240"/>
    </w:pPr>
  </w:style>
  <w:style w:type="paragraph" w:styleId="Index7">
    <w:name w:val="index 7"/>
    <w:basedOn w:val="Normal"/>
    <w:next w:val="Normal"/>
    <w:uiPriority w:val="8"/>
    <w:rsid w:val="00327493"/>
    <w:pPr>
      <w:ind w:left="1680" w:hanging="240"/>
    </w:pPr>
  </w:style>
  <w:style w:type="paragraph" w:styleId="Index8">
    <w:name w:val="index 8"/>
    <w:basedOn w:val="Normal"/>
    <w:next w:val="Normal"/>
    <w:uiPriority w:val="8"/>
    <w:rsid w:val="00327493"/>
    <w:pPr>
      <w:ind w:left="1920" w:hanging="240"/>
    </w:pPr>
  </w:style>
  <w:style w:type="paragraph" w:styleId="Index9">
    <w:name w:val="index 9"/>
    <w:basedOn w:val="Normal"/>
    <w:next w:val="Normal"/>
    <w:uiPriority w:val="8"/>
    <w:rsid w:val="00327493"/>
    <w:pPr>
      <w:ind w:left="2160" w:hanging="240"/>
    </w:pPr>
  </w:style>
  <w:style w:type="paragraph" w:styleId="ListBullet2">
    <w:name w:val="List Bullet 2"/>
    <w:basedOn w:val="Normal"/>
    <w:uiPriority w:val="8"/>
    <w:rsid w:val="00327493"/>
    <w:pPr>
      <w:numPr>
        <w:numId w:val="16"/>
      </w:numPr>
    </w:pPr>
  </w:style>
  <w:style w:type="paragraph" w:styleId="ListBullet3">
    <w:name w:val="List Bullet 3"/>
    <w:basedOn w:val="Normal"/>
    <w:uiPriority w:val="8"/>
    <w:rsid w:val="00327493"/>
    <w:pPr>
      <w:numPr>
        <w:numId w:val="17"/>
      </w:numPr>
    </w:pPr>
  </w:style>
  <w:style w:type="paragraph" w:styleId="ListBullet4">
    <w:name w:val="List Bullet 4"/>
    <w:basedOn w:val="Normal"/>
    <w:uiPriority w:val="8"/>
    <w:rsid w:val="00327493"/>
    <w:pPr>
      <w:numPr>
        <w:numId w:val="18"/>
      </w:numPr>
    </w:pPr>
  </w:style>
  <w:style w:type="paragraph" w:styleId="ListBullet5">
    <w:name w:val="List Bullet 5"/>
    <w:basedOn w:val="Normal"/>
    <w:uiPriority w:val="8"/>
    <w:rsid w:val="00327493"/>
    <w:pPr>
      <w:numPr>
        <w:numId w:val="19"/>
      </w:numPr>
    </w:pPr>
  </w:style>
  <w:style w:type="paragraph" w:styleId="Title">
    <w:name w:val="Title"/>
    <w:basedOn w:val="Normal"/>
    <w:uiPriority w:val="8"/>
    <w:rsid w:val="00327493"/>
    <w:pPr>
      <w:spacing w:before="240" w:after="60"/>
      <w:jc w:val="center"/>
      <w:outlineLvl w:val="0"/>
    </w:pPr>
    <w:rPr>
      <w:rFonts w:ascii="Arial" w:hAnsi="Arial" w:cs="Arial"/>
      <w:b/>
      <w:bCs/>
      <w:kern w:val="28"/>
      <w:sz w:val="32"/>
      <w:szCs w:val="32"/>
    </w:rPr>
  </w:style>
  <w:style w:type="paragraph" w:customStyle="1" w:styleId="Indent">
    <w:name w:val="Indent"/>
    <w:basedOn w:val="Normal"/>
    <w:uiPriority w:val="8"/>
    <w:qFormat/>
    <w:rsid w:val="00327493"/>
    <w:pPr>
      <w:ind w:left="720" w:hanging="720"/>
    </w:pPr>
  </w:style>
  <w:style w:type="paragraph" w:customStyle="1" w:styleId="UnNumberedHeading1">
    <w:name w:val="UnNumbered Heading 1"/>
    <w:basedOn w:val="Normal"/>
    <w:next w:val="Normal"/>
    <w:uiPriority w:val="8"/>
    <w:rsid w:val="00327493"/>
    <w:pPr>
      <w:jc w:val="center"/>
    </w:pPr>
    <w:rPr>
      <w:b/>
      <w:smallCaps/>
    </w:rPr>
  </w:style>
  <w:style w:type="character" w:customStyle="1" w:styleId="HeaderChar">
    <w:name w:val="Header Char"/>
    <w:basedOn w:val="DefaultParagraphFont"/>
    <w:link w:val="Header"/>
    <w:uiPriority w:val="99"/>
    <w:rsid w:val="00492BC3"/>
    <w:rPr>
      <w:sz w:val="24"/>
      <w:szCs w:val="24"/>
    </w:rPr>
  </w:style>
  <w:style w:type="paragraph" w:styleId="ListParagraph">
    <w:name w:val="List Paragraph"/>
    <w:basedOn w:val="Normal"/>
    <w:uiPriority w:val="42"/>
    <w:rsid w:val="005E43E2"/>
    <w:pPr>
      <w:ind w:left="720"/>
      <w:contextualSpacing/>
    </w:pPr>
  </w:style>
  <w:style w:type="paragraph" w:styleId="BodyText">
    <w:name w:val="Body Text"/>
    <w:basedOn w:val="Normal"/>
    <w:link w:val="BodyTextChar"/>
    <w:uiPriority w:val="8"/>
    <w:rsid w:val="00A9049F"/>
    <w:pPr>
      <w:spacing w:after="120"/>
    </w:pPr>
  </w:style>
  <w:style w:type="character" w:customStyle="1" w:styleId="BodyTextChar">
    <w:name w:val="Body Text Char"/>
    <w:basedOn w:val="DefaultParagraphFont"/>
    <w:link w:val="BodyText"/>
    <w:uiPriority w:val="8"/>
    <w:rsid w:val="00A9049F"/>
    <w:rPr>
      <w:sz w:val="24"/>
      <w:szCs w:val="24"/>
    </w:rPr>
  </w:style>
  <w:style w:type="paragraph" w:styleId="ListNumber">
    <w:name w:val="List Number"/>
    <w:basedOn w:val="Normal"/>
    <w:uiPriority w:val="8"/>
    <w:rsid w:val="00C410E7"/>
    <w:pPr>
      <w:numPr>
        <w:numId w:val="8"/>
      </w:numPr>
      <w:contextualSpacing/>
    </w:pPr>
  </w:style>
  <w:style w:type="table" w:styleId="TableGrid">
    <w:name w:val="Table Grid"/>
    <w:basedOn w:val="TableNormal"/>
    <w:rsid w:val="0086792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8"/>
    <w:rsid w:val="008679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8"/>
    <w:rsid w:val="008679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3016143">
      <w:bodyDiv w:val="1"/>
      <w:marLeft w:val="0"/>
      <w:marRight w:val="0"/>
      <w:marTop w:val="0"/>
      <w:marBottom w:val="0"/>
      <w:divBdr>
        <w:top w:val="none" w:sz="0" w:space="0" w:color="auto"/>
        <w:left w:val="none" w:sz="0" w:space="0" w:color="auto"/>
        <w:bottom w:val="none" w:sz="0" w:space="0" w:color="auto"/>
        <w:right w:val="none" w:sz="0" w:space="0" w:color="auto"/>
      </w:divBdr>
    </w:div>
    <w:div w:id="93547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wmf"/><Relationship Id="rId18" Type="http://schemas.openxmlformats.org/officeDocument/2006/relationships/footer" Target="footer2.xml"/><Relationship Id="rId26" Type="http://schemas.openxmlformats.org/officeDocument/2006/relationships/image" Target="media/image12.wmf"/><Relationship Id="rId3" Type="http://schemas.openxmlformats.org/officeDocument/2006/relationships/customXml" Target="../customXml/item3.xml"/><Relationship Id="rId21" Type="http://schemas.openxmlformats.org/officeDocument/2006/relationships/image" Target="media/image7.wmf"/><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header" Target="header2.xml"/><Relationship Id="rId25" Type="http://schemas.openxmlformats.org/officeDocument/2006/relationships/image" Target="media/image11.w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6.wmf"/><Relationship Id="rId29"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10.wmf"/><Relationship Id="rId32" Type="http://schemas.openxmlformats.org/officeDocument/2006/relationships/image" Target="media/image18.wmf"/><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9.wmf"/><Relationship Id="rId28" Type="http://schemas.openxmlformats.org/officeDocument/2006/relationships/image" Target="media/image14.wmf"/><Relationship Id="rId10" Type="http://schemas.openxmlformats.org/officeDocument/2006/relationships/endnotes" Target="endnotes.xml"/><Relationship Id="rId19" Type="http://schemas.openxmlformats.org/officeDocument/2006/relationships/image" Target="media/image5.emf"/><Relationship Id="rId31" Type="http://schemas.openxmlformats.org/officeDocument/2006/relationships/image" Target="media/image17.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3.wmf"/><Relationship Id="rId30" Type="http://schemas.openxmlformats.org/officeDocument/2006/relationships/image" Target="media/image1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Frequently_x0020_Used xmlns="34f70b63-4224-473b-ac88-56a1c963a1d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C9067CECD75F6488A011E7E877B7216" ma:contentTypeVersion="1" ma:contentTypeDescription="Create a new document." ma:contentTypeScope="" ma:versionID="085814069315b0c3f5edc5f8f65a052c">
  <xsd:schema xmlns:xsd="http://www.w3.org/2001/XMLSchema" xmlns:p="http://schemas.microsoft.com/office/2006/metadata/properties" xmlns:ns2="34f70b63-4224-473b-ac88-56a1c963a1de" targetNamespace="http://schemas.microsoft.com/office/2006/metadata/properties" ma:root="true" ma:fieldsID="8552011bbdbb6b9c782f1c1e7d1bee65" ns2:_="">
    <xsd:import namespace="34f70b63-4224-473b-ac88-56a1c963a1de"/>
    <xsd:element name="properties">
      <xsd:complexType>
        <xsd:sequence>
          <xsd:element name="documentManagement">
            <xsd:complexType>
              <xsd:all>
                <xsd:element ref="ns2:Frequently_x0020_Used" minOccurs="0"/>
              </xsd:all>
            </xsd:complexType>
          </xsd:element>
        </xsd:sequence>
      </xsd:complexType>
    </xsd:element>
  </xsd:schema>
  <xsd:schema xmlns:xsd="http://www.w3.org/2001/XMLSchema" xmlns:dms="http://schemas.microsoft.com/office/2006/documentManagement/types" targetNamespace="34f70b63-4224-473b-ac88-56a1c963a1de" elementFormDefault="qualified">
    <xsd:import namespace="http://schemas.microsoft.com/office/2006/documentManagement/types"/>
    <xsd:element name="Frequently_x0020_Used" ma:index="8" nillable="true" ma:displayName="Frequently Used" ma:description="Templates Used most often." ma:internalName="Frequently_x0020_Used">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4B78A-6F47-48B5-8411-3EFE2022F02B}">
  <ds:schemaRefs>
    <ds:schemaRef ds:uri="http://schemas.microsoft.com/office/2006/metadata/properties"/>
    <ds:schemaRef ds:uri="34f70b63-4224-473b-ac88-56a1c963a1de"/>
  </ds:schemaRefs>
</ds:datastoreItem>
</file>

<file path=customXml/itemProps2.xml><?xml version="1.0" encoding="utf-8"?>
<ds:datastoreItem xmlns:ds="http://schemas.openxmlformats.org/officeDocument/2006/customXml" ds:itemID="{4911C8D1-2F4F-4C13-A8EA-D9469E8B8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f70b63-4224-473b-ac88-56a1c963a1d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4486E50-4BFE-4B05-B44F-CAC882C86AAA}">
  <ds:schemaRefs>
    <ds:schemaRef ds:uri="http://schemas.microsoft.com/sharepoint/v3/contenttype/forms"/>
  </ds:schemaRefs>
</ds:datastoreItem>
</file>

<file path=customXml/itemProps4.xml><?xml version="1.0" encoding="utf-8"?>
<ds:datastoreItem xmlns:ds="http://schemas.openxmlformats.org/officeDocument/2006/customXml" ds:itemID="{24A76F40-2229-455F-8BD0-344403D28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886</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Normal</vt:lpstr>
    </vt:vector>
  </TitlesOfParts>
  <Company>International Monetary Fund - Work At Home License</Company>
  <LinksUpToDate>false</LinksUpToDate>
  <CharactersWithSpaces>5724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c:title>
  <dc:creator>LocalAdmin</dc:creator>
  <cp:keywords>IMF</cp:keywords>
  <cp:lastModifiedBy>LocalAdmin</cp:lastModifiedBy>
  <cp:revision>4</cp:revision>
  <dcterms:created xsi:type="dcterms:W3CDTF">2016-04-12T19:07:00Z</dcterms:created>
  <dcterms:modified xsi:type="dcterms:W3CDTF">2016-04-12T19:08:00Z</dcterms:modified>
</cp:coreProperties>
</file>