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CAF1" w14:textId="5FCB33F2" w:rsidR="00A67C96" w:rsidRPr="00C02973" w:rsidRDefault="00A67C96">
      <w:pPr>
        <w:rPr>
          <w:b/>
          <w:bCs/>
        </w:rPr>
      </w:pPr>
      <w:r w:rsidRPr="00C02973">
        <w:rPr>
          <w:b/>
          <w:bCs/>
        </w:rPr>
        <w:t xml:space="preserve">Texto: </w:t>
      </w:r>
    </w:p>
    <w:p w14:paraId="1889CAFE" w14:textId="1D967932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br/>
        <w:t>1) Binance Coin (BNB)</w:t>
      </w:r>
    </w:p>
    <w:p w14:paraId="793D2632" w14:textId="77777777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t>BNB se lanzó a través de una oferta inicial de monedas en 2017, 11 días antes de que el exchange de criptomonedas Binance se pusiera en marcha. Originalmente se emitió como un token ERC-20 que se ejecutaba en la red de Ethereum, con un suministro total limitado a 200 millones de monedas y 100 millones de BNB ofrecidos en la ICO. El precio actual es de $450 cada uno</w:t>
      </w:r>
    </w:p>
    <w:p w14:paraId="39EF47A6" w14:textId="77777777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t>BNB tuvo una bajada del 60% en las ultimas 24 horas!</w:t>
      </w:r>
    </w:p>
    <w:p w14:paraId="2B9C6BF8" w14:textId="77777777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t>2) Cardano (ADA)</w:t>
      </w:r>
    </w:p>
    <w:p w14:paraId="2AE6D991" w14:textId="77777777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t>Cardano es una plataforma de blockchain de prueba de participación cuyo objetivo es permitir que los usuarios que sean "pioneros, innovadores y visionarios" traigan consigo un cambio global positivo a la red. Este proyecto de código abierto también pretende “redistribuir el poder de las estructuras contables entre los individuos marginados". El precio actual es de $2.52 cada uno</w:t>
      </w:r>
    </w:p>
    <w:p w14:paraId="75356CA9" w14:textId="77777777" w:rsidR="00A67C96" w:rsidRDefault="00A67C96" w:rsidP="00A67C96">
      <w:pPr>
        <w:pStyle w:val="NormalWeb"/>
        <w:spacing w:before="0" w:beforeAutospacing="0"/>
        <w:rPr>
          <w:rFonts w:ascii="Fira Sans" w:hAnsi="Fira Sans"/>
          <w:color w:val="495057"/>
          <w:sz w:val="21"/>
          <w:szCs w:val="21"/>
        </w:rPr>
      </w:pPr>
      <w:r>
        <w:rPr>
          <w:rFonts w:ascii="Fira Sans" w:hAnsi="Fira Sans"/>
          <w:color w:val="495057"/>
          <w:sz w:val="21"/>
          <w:szCs w:val="21"/>
        </w:rPr>
        <w:t>ADA tuvo una subida del 30% en las ultimas 24 horas!</w:t>
      </w:r>
    </w:p>
    <w:p w14:paraId="704AB1FB" w14:textId="77777777" w:rsidR="00A67C96" w:rsidRPr="00A67C96" w:rsidRDefault="00A67C96"/>
    <w:sectPr w:rsidR="00A67C96" w:rsidRPr="00A67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96"/>
    <w:rsid w:val="004635CA"/>
    <w:rsid w:val="00A67C96"/>
    <w:rsid w:val="00C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0D0679"/>
  <w15:chartTrackingRefBased/>
  <w15:docId w15:val="{AC5E43FA-D8AF-3442-82B6-7E7EC76F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C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Alexander Adauto Ortiz</dc:creator>
  <cp:keywords/>
  <dc:description/>
  <cp:lastModifiedBy>Rodrigo Alexander Adauto Ortiz</cp:lastModifiedBy>
  <cp:revision>3</cp:revision>
  <dcterms:created xsi:type="dcterms:W3CDTF">2023-03-28T19:33:00Z</dcterms:created>
  <dcterms:modified xsi:type="dcterms:W3CDTF">2023-03-28T19:34:00Z</dcterms:modified>
</cp:coreProperties>
</file>