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CREDIT CARD FRAUD DETECTION</w:t>
      </w:r>
    </w:p>
    <w:p>
      <w:pPr>
        <w:jc w:val="center"/>
      </w:pPr>
      <w:r>
        <w:rPr>
          <w:i/>
        </w:rPr>
        <w:t>Minor Project Report — Random Forest and SMOTE</w:t>
      </w:r>
    </w:p>
    <w:p>
      <w:pPr>
        <w:pStyle w:val="Heading2"/>
      </w:pPr>
      <w:r>
        <w:t>Abstract</w:t>
      </w:r>
    </w:p>
    <w:p>
      <w:r>
        <w:t>Binary classification prototype for identifying legitimate (Class 0) and fraudulent (Class 1) transactions using a Random Forest classifier. SMOTE is applied only to the training split. The notebook evaluates predictions on an untouched stratified test split.</w:t>
      </w:r>
    </w:p>
    <w:p>
      <w:pPr>
        <w:pStyle w:val="Heading2"/>
      </w:pPr>
      <w:r>
        <w:t>Dataset</w:t>
      </w:r>
    </w:p>
    <w:p>
      <w:r>
        <w:t>The notebook downloads the commonly used creditcard.csv dataset from the GitHub URL embedded in its data-loading cell. It validates the Class target, inspects nulls and duplicates, removes duplicate rows and retains numeric predictors including Time and Amount when present.</w:t>
      </w:r>
    </w:p>
    <w:p>
      <w:pPr>
        <w:pStyle w:val="Heading2"/>
      </w:pPr>
      <w:r>
        <w:t>Methodology</w:t>
      </w:r>
    </w:p>
    <w:p>
      <w:pPr>
        <w:pStyle w:val="ListBullet"/>
      </w:pPr>
      <w:r>
        <w:t>Separate X = all columns except Class and y = Class.</w:t>
      </w:r>
    </w:p>
    <w:p>
      <w:pPr>
        <w:pStyle w:val="ListBullet"/>
      </w:pPr>
      <w:r>
        <w:t>Stratified 80/20 train/test split, random_state=42.</w:t>
      </w:r>
    </w:p>
    <w:p>
      <w:pPr>
        <w:pStyle w:val="ListBullet"/>
      </w:pPr>
      <w:r>
        <w:t>SMOTE on training data only; the held-out test data is not oversampled.</w:t>
      </w:r>
    </w:p>
    <w:p>
      <w:pPr>
        <w:pStyle w:val="ListBullet"/>
      </w:pPr>
      <w:r>
        <w:t>RandomForestClassifier: 200 trees, random_state=42, n_jobs=-1.</w:t>
      </w:r>
    </w:p>
    <w:p>
      <w:pPr>
        <w:pStyle w:val="ListBullet"/>
      </w:pPr>
      <w:r>
        <w:t>Compute accuracy, fraud precision, fraud recall, F1, ROC-AUC, average precision and confusion matrix.</w:t>
      </w:r>
    </w:p>
    <w:p>
      <w:pPr>
        <w:pStyle w:val="ListBullet"/>
      </w:pPr>
      <w:r>
        <w:t>Export model bundle, evaluation CSV and fraud_evaluation_metrics.json.</w:t>
      </w:r>
    </w:p>
    <w:p>
      <w:pPr>
        <w:pStyle w:val="Heading2"/>
      </w:pPr>
      <w:r>
        <w:t>Evaluation Results</w:t>
      </w:r>
    </w:p>
    <w:p>
      <w:r>
        <w:t>No numeric evaluation results are claimed in this report because the notebook could not be executed in this environment: outbound network/DNS access to the dataset host was unavailable. Run the final notebook from the top in Google Colab with internet access. The inserted evaluation cell exports fraud_evaluation_metrics.json; transfer its measured values here.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Metric</w:t>
            </w:r>
          </w:p>
        </w:tc>
        <w:tc>
          <w:tcPr>
            <w:tcW w:type="dxa" w:w="5040"/>
          </w:tcPr>
          <w:p>
            <w:r>
              <w:t>Observed held-out test value</w:t>
            </w:r>
          </w:p>
        </w:tc>
      </w:tr>
      <w:tr>
        <w:tc>
          <w:tcPr>
            <w:tcW w:type="dxa" w:w="5040"/>
          </w:tcPr>
          <w:p>
            <w:r>
              <w:t>Accuracy</w:t>
            </w:r>
          </w:p>
        </w:tc>
        <w:tc>
          <w:tcPr>
            <w:tcW w:type="dxa" w:w="5040"/>
          </w:tcPr>
          <w:p>
            <w:r>
              <w:t>Pending notebook execution</w:t>
            </w:r>
          </w:p>
        </w:tc>
      </w:tr>
      <w:tr>
        <w:tc>
          <w:tcPr>
            <w:tcW w:type="dxa" w:w="5040"/>
          </w:tcPr>
          <w:p>
            <w:r>
              <w:t>Precision (fraud)</w:t>
            </w:r>
          </w:p>
        </w:tc>
        <w:tc>
          <w:tcPr>
            <w:tcW w:type="dxa" w:w="5040"/>
          </w:tcPr>
          <w:p>
            <w:r>
              <w:t>Pending notebook execution</w:t>
            </w:r>
          </w:p>
        </w:tc>
      </w:tr>
      <w:tr>
        <w:tc>
          <w:tcPr>
            <w:tcW w:type="dxa" w:w="5040"/>
          </w:tcPr>
          <w:p>
            <w:r>
              <w:t>Recall (fraud)</w:t>
            </w:r>
          </w:p>
        </w:tc>
        <w:tc>
          <w:tcPr>
            <w:tcW w:type="dxa" w:w="5040"/>
          </w:tcPr>
          <w:p>
            <w:r>
              <w:t>Pending notebook execution</w:t>
            </w:r>
          </w:p>
        </w:tc>
      </w:tr>
      <w:tr>
        <w:tc>
          <w:tcPr>
            <w:tcW w:type="dxa" w:w="5040"/>
          </w:tcPr>
          <w:p>
            <w:r>
              <w:t>F1-score (fraud)</w:t>
            </w:r>
          </w:p>
        </w:tc>
        <w:tc>
          <w:tcPr>
            <w:tcW w:type="dxa" w:w="5040"/>
          </w:tcPr>
          <w:p>
            <w:r>
              <w:t>Pending notebook execution</w:t>
            </w:r>
          </w:p>
        </w:tc>
      </w:tr>
      <w:tr>
        <w:tc>
          <w:tcPr>
            <w:tcW w:type="dxa" w:w="5040"/>
          </w:tcPr>
          <w:p>
            <w:r>
              <w:t>ROC-AUC</w:t>
            </w:r>
          </w:p>
        </w:tc>
        <w:tc>
          <w:tcPr>
            <w:tcW w:type="dxa" w:w="5040"/>
          </w:tcPr>
          <w:p>
            <w:r>
              <w:t>Pending notebook execution</w:t>
            </w:r>
          </w:p>
        </w:tc>
      </w:tr>
      <w:tr>
        <w:tc>
          <w:tcPr>
            <w:tcW w:type="dxa" w:w="5040"/>
          </w:tcPr>
          <w:p>
            <w:r>
              <w:t>Average precision / PR-AUC</w:t>
            </w:r>
          </w:p>
        </w:tc>
        <w:tc>
          <w:tcPr>
            <w:tcW w:type="dxa" w:w="5040"/>
          </w:tcPr>
          <w:p>
            <w:r>
              <w:t>Pending notebook execution</w:t>
            </w:r>
          </w:p>
        </w:tc>
      </w:tr>
      <w:tr>
        <w:tc>
          <w:tcPr>
            <w:tcW w:type="dxa" w:w="5040"/>
          </w:tcPr>
          <w:p>
            <w:r>
              <w:t>Confusion matrix (TN, FP, FN, TP)</w:t>
            </w:r>
          </w:p>
        </w:tc>
        <w:tc>
          <w:tcPr>
            <w:tcW w:type="dxa" w:w="5040"/>
          </w:tcPr>
          <w:p>
            <w:r>
              <w:t>Pending notebook execution</w:t>
            </w:r>
          </w:p>
        </w:tc>
      </w:tr>
    </w:tbl>
    <w:p>
      <w:pPr>
        <w:pStyle w:val="Heading2"/>
      </w:pPr>
      <w:r>
        <w:t>Functionality and Limitations</w:t>
      </w:r>
    </w:p>
    <w:p>
      <w:r>
        <w:t>predict_transaction requires every numeric feature used during training and returns class, label, fraud probability and action at threshold 0.50. This threshold is a demonstration default, not a validated banking threshold. The notebook is a research/educational prototype, not a production fraud-control system.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