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_kix"/>
      </w:pPr>
      <w:r>
        <w:t>1. INDEMNIFICATION AND SURVIVAL (Lost ARTICLE VIII Roman Heading &amp; Centering)</w:t>
      </w:r>
    </w:p>
    <w:p>
      <w:pPr>
        <w:pStyle w:val="Normal_kix"/>
      </w:pPr>
      <w:r>
        <w:t>1. Limitation on Indemnification. (Reset from Section 8.02 to flat 1.)</w:t>
      </w:r>
    </w:p>
    <w:p>
      <w:pPr>
        <w:pStyle w:val="Normal_kix"/>
      </w:pPr>
      <w:r>
        <w:t>a. Seller Parties shall have no liability under [Error! Reference source not found.] until Losses exceed 0.50% True Deductible ($21,000,000). (36pt hanging indent collapsed; native Track Changes &lt;w:ins&gt;/&lt;w:del&gt; flattened; all 120 pages flag as modified in Litera Compare!)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styleId="Normal_kix">
    <w:name w:val="Normal"/>
    <w:rPr>
      <w:rFonts w:ascii="Arial"/>
      <w:sz w:val="22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