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88EF6" w14:textId="66FA60D0" w:rsidR="00FC22D3" w:rsidRDefault="00FC22D3" w:rsidP="00FC22D3">
      <w:pPr>
        <w:rPr>
          <w:b/>
        </w:rPr>
      </w:pPr>
      <w:r>
        <w:rPr>
          <w:b/>
        </w:rPr>
        <w:t>Supplementary Note</w:t>
      </w:r>
    </w:p>
    <w:p w14:paraId="42013AC6" w14:textId="77777777" w:rsidR="00FC22D3" w:rsidRDefault="00FC22D3" w:rsidP="00FC22D3">
      <w:pPr>
        <w:rPr>
          <w:b/>
        </w:rPr>
      </w:pPr>
    </w:p>
    <w:p w14:paraId="44389BBD" w14:textId="77777777" w:rsidR="00FC22D3" w:rsidRPr="00AA1248" w:rsidRDefault="00FC22D3" w:rsidP="00FC22D3">
      <w:pPr>
        <w:rPr>
          <w:b/>
        </w:rPr>
      </w:pPr>
      <w:r w:rsidRPr="00AA1248">
        <w:rPr>
          <w:b/>
        </w:rPr>
        <w:t xml:space="preserve">Supplementary Text </w:t>
      </w:r>
    </w:p>
    <w:p w14:paraId="4ABB8B62" w14:textId="77777777" w:rsidR="00FC22D3" w:rsidRDefault="00FC22D3" w:rsidP="00FC22D3">
      <w:pPr>
        <w:rPr>
          <w:b/>
        </w:rPr>
      </w:pPr>
    </w:p>
    <w:p w14:paraId="17DF13C2" w14:textId="77777777" w:rsidR="00FC22D3" w:rsidRPr="00CA0328" w:rsidRDefault="00FC22D3" w:rsidP="00FC22D3">
      <w:pPr>
        <w:rPr>
          <w:u w:val="single"/>
        </w:rPr>
      </w:pPr>
      <w:r w:rsidRPr="00CA0328">
        <w:rPr>
          <w:u w:val="single"/>
        </w:rPr>
        <w:t>Method Details</w:t>
      </w:r>
    </w:p>
    <w:p w14:paraId="6405B531" w14:textId="77777777" w:rsidR="00FC22D3" w:rsidRDefault="00FC22D3" w:rsidP="00FC22D3">
      <w:pPr>
        <w:rPr>
          <w:b/>
        </w:rPr>
      </w:pPr>
    </w:p>
    <w:p w14:paraId="214EB2AC" w14:textId="618ECE7F" w:rsidR="00FC22D3" w:rsidRPr="008221A5" w:rsidRDefault="00FC22D3" w:rsidP="008221A5">
      <w:pPr>
        <w:pStyle w:val="NormalWeb"/>
        <w:shd w:val="clear" w:color="auto" w:fill="FFFFFF"/>
        <w:spacing w:before="0" w:beforeAutospacing="0" w:after="0" w:afterAutospacing="0"/>
        <w:rPr>
          <w:rFonts w:ascii="Arial" w:hAnsi="Arial" w:cs="Arial"/>
        </w:rPr>
      </w:pPr>
      <w:r>
        <w:rPr>
          <w:rFonts w:ascii="Arial" w:hAnsi="Arial" w:cs="Arial"/>
        </w:rPr>
        <w:t>T</w:t>
      </w:r>
      <w:r w:rsidRPr="00A87978">
        <w:rPr>
          <w:rFonts w:ascii="Arial" w:hAnsi="Arial" w:cs="Arial"/>
        </w:rPr>
        <w:t xml:space="preserve">echnical details – about </w:t>
      </w:r>
      <w:r>
        <w:rPr>
          <w:rFonts w:ascii="Arial" w:hAnsi="Arial" w:cs="Arial"/>
        </w:rPr>
        <w:t xml:space="preserve">BVSR </w:t>
      </w:r>
      <w:r w:rsidRPr="00A87978">
        <w:rPr>
          <w:rFonts w:ascii="Arial" w:hAnsi="Arial" w:cs="Arial"/>
        </w:rPr>
        <w:t>model, EM-MCMC, how the summary statistics are used in MCMC</w:t>
      </w:r>
      <w:r>
        <w:rPr>
          <w:rFonts w:ascii="Arial" w:hAnsi="Arial" w:cs="Arial"/>
        </w:rPr>
        <w:t>, example computation time, and C++ tool you developed.</w:t>
      </w:r>
    </w:p>
    <w:p w14:paraId="6329387D" w14:textId="77777777" w:rsidR="00FC22D3" w:rsidRDefault="00FC22D3" w:rsidP="00FC22D3">
      <w:pPr>
        <w:rPr>
          <w:b/>
        </w:rPr>
      </w:pPr>
    </w:p>
    <w:p w14:paraId="3F69029B" w14:textId="77777777" w:rsidR="00FC22D3" w:rsidRPr="00CA0328" w:rsidRDefault="00FC22D3" w:rsidP="00FC22D3">
      <w:pPr>
        <w:rPr>
          <w:u w:val="single"/>
        </w:rPr>
      </w:pPr>
      <w:r w:rsidRPr="00CA0328">
        <w:rPr>
          <w:u w:val="single"/>
        </w:rPr>
        <w:t>Data Description</w:t>
      </w:r>
    </w:p>
    <w:p w14:paraId="3A95BD11" w14:textId="77777777" w:rsidR="00FC22D3" w:rsidRPr="00E02EBC" w:rsidRDefault="00FC22D3" w:rsidP="00FC22D3">
      <w:pPr>
        <w:rPr>
          <w:b/>
        </w:rPr>
      </w:pPr>
    </w:p>
    <w:p w14:paraId="1D82F6F7" w14:textId="77777777" w:rsidR="00FC22D3" w:rsidRPr="00A87978" w:rsidRDefault="00FC22D3" w:rsidP="00FC22D3">
      <w:pPr>
        <w:rPr>
          <w:rFonts w:ascii="Arial" w:hAnsi="Arial" w:cs="Arial"/>
          <w:u w:val="single"/>
        </w:rPr>
      </w:pPr>
      <w:commentRangeStart w:id="0"/>
      <w:r w:rsidRPr="00A87978">
        <w:rPr>
          <w:rFonts w:ascii="Arial" w:hAnsi="Arial" w:cs="Arial"/>
          <w:u w:val="single"/>
        </w:rPr>
        <w:t>The Religious Orders Study (ROS)</w:t>
      </w:r>
    </w:p>
    <w:p w14:paraId="444927A3" w14:textId="77777777" w:rsidR="00FC22D3" w:rsidRPr="00A87978" w:rsidRDefault="00FC22D3" w:rsidP="00FC22D3">
      <w:pPr>
        <w:rPr>
          <w:rFonts w:ascii="Arial" w:hAnsi="Arial" w:cs="Arial"/>
        </w:rPr>
      </w:pPr>
      <w:r w:rsidRPr="00A87978">
        <w:rPr>
          <w:rFonts w:ascii="Arial" w:hAnsi="Arial" w:cs="Arial"/>
        </w:rPr>
        <w:t>ROS is a longitudinal clinical-pathologic cohort study of aging and Alzheimer's disease (AD) run from Rush University that enrolled individuals from religious communities for longitudinal clinical analysis and brain donation. Participants were enrolled from more than 40 groups of religious orders (nuns, priests, brothers) across the United States. Enrollment required no known signed of dementia. Medical conditions are documented starting in 1994 by clinical evaluation or self-report. Alzheimer's Disease status was determined by a computer algorithm based on cognitive test performance with a series of discrete clinical judgments made in series by a neuropsychologist and a clinician. Persons were categorized as no cognitive impairment (NCI) if diagnosed without dementia or mild cognitive impairment (MCI). Diagnoses of dementia and AD conform to standard definitions. A clinician reviewed all cases determined by this algorithm. In addition to dementia, five other diagnoses were determined by this approach including stroke, cognitive impairment due to stroke, parkinsonism, Parkinson's disease, and depression. Most other diagnoses are by self-report. In addition, a battery of 21 cognitive performance tests is administered each year to assess cognitive abilities and determine these diagnostic classifications. Upon death, a post-mortem neuropathologic evaluation is performed that includes a uniform structured assessment of AD pathology, cerebral infarcts, Lewy body disease, and other pathologies common in aging and dementia. The procedures follow those outlined by the pathologic dataset recommended by the National Alzheimer’s Disease Coordinating Center and pathologic diagnoses of AD use NIA-Reagan and modified CERAD criteria, and the staging of neurofibrillary pathology uses Braak Staging. The ROS study is described in detail in this Bennett et. al. 2012 article. [1]</w:t>
      </w:r>
    </w:p>
    <w:p w14:paraId="4582841D" w14:textId="77777777" w:rsidR="00FC22D3" w:rsidRPr="00A87978" w:rsidRDefault="00FC22D3" w:rsidP="00FC22D3">
      <w:pPr>
        <w:rPr>
          <w:rFonts w:ascii="Arial" w:hAnsi="Arial" w:cs="Arial"/>
        </w:rPr>
      </w:pPr>
    </w:p>
    <w:p w14:paraId="3B131597" w14:textId="77777777" w:rsidR="00FC22D3" w:rsidRPr="00A87978" w:rsidRDefault="00FC22D3" w:rsidP="00FC22D3">
      <w:pPr>
        <w:rPr>
          <w:rFonts w:ascii="Arial" w:hAnsi="Arial" w:cs="Arial"/>
          <w:u w:val="single"/>
        </w:rPr>
      </w:pPr>
      <w:r w:rsidRPr="00A87978">
        <w:rPr>
          <w:rFonts w:ascii="Arial" w:hAnsi="Arial" w:cs="Arial"/>
          <w:u w:val="single"/>
        </w:rPr>
        <w:t>The Memory and Aging Project (MAP)</w:t>
      </w:r>
    </w:p>
    <w:p w14:paraId="66301F84" w14:textId="77777777" w:rsidR="00FC22D3" w:rsidRPr="00A87978" w:rsidRDefault="00FC22D3" w:rsidP="00FC22D3">
      <w:pPr>
        <w:rPr>
          <w:rFonts w:ascii="Arial" w:hAnsi="Arial" w:cs="Arial"/>
        </w:rPr>
      </w:pPr>
      <w:r w:rsidRPr="00A87978">
        <w:rPr>
          <w:rFonts w:ascii="Arial" w:hAnsi="Arial" w:cs="Arial"/>
        </w:rPr>
        <w:t xml:space="preserve">MAP is a longitudinal, epidemiologic clinical-pathologic cohort study of common chronic conditions of aging with an emphasis on decline in cognitive and motor function and risk of Alzheimer’s disease that began in 1997 and is run from Rush University. This study was designed to complement the ROS study by enrolling individuals with a wider range of life experiences and socioeconomic status into a study of similar structure and design as ROS. The study enrolls older individuals without any signs of dementia, primarily recruiting from continuous care retirement communities throughout northeastern Illinois, USA. Diagnoses of dementia and AD are performed in an identical manner to the ROS </w:t>
      </w:r>
      <w:r w:rsidRPr="00A87978">
        <w:rPr>
          <w:rFonts w:ascii="Arial" w:hAnsi="Arial" w:cs="Arial"/>
        </w:rPr>
        <w:lastRenderedPageBreak/>
        <w:t>study (described above). The MAP study is described in detail in this Bennett et. al 2012. [2]</w:t>
      </w:r>
    </w:p>
    <w:p w14:paraId="5F35E6BD" w14:textId="77777777" w:rsidR="00FC22D3" w:rsidRPr="00A87978" w:rsidRDefault="00FC22D3" w:rsidP="00FC22D3">
      <w:pPr>
        <w:ind w:left="720"/>
        <w:rPr>
          <w:rStyle w:val="inlinewidgetcontainer"/>
          <w:rFonts w:ascii="Arial" w:hAnsi="Arial" w:cs="Arial"/>
          <w:color w:val="000000"/>
          <w:shd w:val="clear" w:color="auto" w:fill="FFFFFF"/>
        </w:rPr>
      </w:pPr>
      <w:r w:rsidRPr="00A87978">
        <w:rPr>
          <w:rFonts w:ascii="Arial" w:hAnsi="Arial" w:cs="Arial"/>
          <w:color w:val="000000"/>
          <w:shd w:val="clear" w:color="auto" w:fill="FFFFFF"/>
        </w:rPr>
        <w:t>[1] Bennett et. al. </w:t>
      </w:r>
      <w:hyperlink r:id="rId6" w:tgtFrame="_blank" w:history="1">
        <w:r w:rsidRPr="00A87978">
          <w:rPr>
            <w:rStyle w:val="Hyperlink"/>
            <w:rFonts w:ascii="Arial" w:hAnsi="Arial" w:cs="Arial"/>
            <w:color w:val="2B688F"/>
            <w:shd w:val="clear" w:color="auto" w:fill="FFFFFF"/>
          </w:rPr>
          <w:t>Curr Alzheimer Res. 2012 Jul;9(6):628-45.</w:t>
        </w:r>
      </w:hyperlink>
    </w:p>
    <w:p w14:paraId="31E1CE0F" w14:textId="77777777" w:rsidR="00FC22D3" w:rsidRPr="00A87978" w:rsidRDefault="00FC22D3" w:rsidP="00FC22D3">
      <w:pPr>
        <w:ind w:left="720"/>
        <w:rPr>
          <w:rFonts w:ascii="Arial" w:hAnsi="Arial" w:cs="Arial"/>
        </w:rPr>
      </w:pPr>
      <w:r w:rsidRPr="00A87978">
        <w:rPr>
          <w:rFonts w:ascii="Arial" w:hAnsi="Arial" w:cs="Arial"/>
          <w:color w:val="000000"/>
          <w:shd w:val="clear" w:color="auto" w:fill="FFFFFF"/>
        </w:rPr>
        <w:t>[2]</w:t>
      </w:r>
      <w:r w:rsidRPr="00A87978">
        <w:rPr>
          <w:rFonts w:ascii="Arial" w:hAnsi="Arial" w:cs="Arial"/>
        </w:rPr>
        <w:t xml:space="preserve"> </w:t>
      </w:r>
      <w:r w:rsidRPr="00A87978">
        <w:rPr>
          <w:rFonts w:ascii="Arial" w:hAnsi="Arial" w:cs="Arial"/>
          <w:color w:val="000000"/>
          <w:shd w:val="clear" w:color="auto" w:fill="FFFFFF"/>
        </w:rPr>
        <w:t>Bennett et. al. </w:t>
      </w:r>
      <w:hyperlink r:id="rId7" w:tgtFrame="_blank" w:history="1">
        <w:r w:rsidRPr="00A87978">
          <w:rPr>
            <w:rStyle w:val="Hyperlink"/>
            <w:rFonts w:ascii="Arial" w:hAnsi="Arial" w:cs="Arial"/>
            <w:color w:val="2B688F"/>
            <w:shd w:val="clear" w:color="auto" w:fill="FFFFFF"/>
          </w:rPr>
          <w:t>Curr Alzheimer Res. 2012 Jul;9(6):646-63.</w:t>
        </w:r>
      </w:hyperlink>
    </w:p>
    <w:p w14:paraId="3EAAD06B" w14:textId="77777777" w:rsidR="00FC22D3" w:rsidRPr="00A87978" w:rsidRDefault="00FC22D3" w:rsidP="00FC22D3">
      <w:pPr>
        <w:pStyle w:val="Heading3"/>
        <w:shd w:val="clear" w:color="auto" w:fill="FFFFFF"/>
        <w:spacing w:before="315" w:after="158"/>
        <w:rPr>
          <w:rFonts w:ascii="Arial" w:hAnsi="Arial" w:cs="Arial"/>
          <w:color w:val="000000"/>
          <w:u w:val="single"/>
        </w:rPr>
      </w:pPr>
      <w:r w:rsidRPr="00A87978">
        <w:rPr>
          <w:rFonts w:ascii="Arial" w:hAnsi="Arial" w:cs="Arial"/>
          <w:bCs/>
          <w:color w:val="000000"/>
          <w:u w:val="single"/>
        </w:rPr>
        <w:t>Raw Genotype Data</w:t>
      </w:r>
    </w:p>
    <w:p w14:paraId="3A0A70D6" w14:textId="77777777" w:rsidR="00FC22D3" w:rsidRPr="00A87978" w:rsidRDefault="00FC22D3" w:rsidP="00FC22D3">
      <w:pPr>
        <w:pStyle w:val="NormalWeb"/>
        <w:shd w:val="clear" w:color="auto" w:fill="FFFFFF"/>
        <w:spacing w:before="0" w:beforeAutospacing="0" w:after="0" w:afterAutospacing="0"/>
        <w:rPr>
          <w:rFonts w:ascii="Arial" w:hAnsi="Arial" w:cs="Arial"/>
        </w:rPr>
      </w:pPr>
      <w:r w:rsidRPr="00A87978">
        <w:rPr>
          <w:rFonts w:ascii="Arial" w:hAnsi="Arial" w:cs="Arial"/>
          <w:color w:val="000000"/>
        </w:rPr>
        <w:t xml:space="preserve">Two batches of genotype data are available in ROS and MAP studies. The first batch was generated in 2009 on 1709 individuals using the Affymetrix GeneChip 6.0 (Affymetrix, Inc, Santa Clara, CA, USA) at the Broad Institute’s Center for Genotyping or the Translational Genomics Research Institute. The second batch was generated in 2012 on 382 individuals using the Illumina HumanOmniExpress (Illumina, Inc, San Diego, CA, USA) at the Children’s Hospital of Philadelphia. Both batches underwent the same quality control (QC) analysis, as described in De Jager et. al </w:t>
      </w:r>
      <w:r w:rsidRPr="00A87978">
        <w:rPr>
          <w:rFonts w:ascii="Arial" w:hAnsi="Arial" w:cs="Arial"/>
        </w:rPr>
        <w:t xml:space="preserve">[1]. Only individuals with European ancestry were genotyped to minimize population heterogeneity. Sample-level quality control assessment included exclusion of samples with genotype success rate &lt;95%, discordance between inferred and reported gender, and excess inter/intraheterozygosity. SNP-level quality control assessment included exclusion of SNPs with Hardy-Weighberg equilibrium (p&lt;0.001), MAF &lt; 0.01, genotype call rate &lt; 0.95, misshap test &lt; 1x10-9. Population outliers were identified and removed using EIGENSTRAT with default parameters. </w:t>
      </w:r>
      <w:commentRangeEnd w:id="0"/>
      <w:r>
        <w:rPr>
          <w:rStyle w:val="CommentReference"/>
          <w:rFonts w:asciiTheme="minorHAnsi" w:eastAsiaTheme="minorEastAsia" w:hAnsiTheme="minorHAnsi" w:cstheme="minorBidi"/>
          <w:lang w:eastAsia="en-US"/>
        </w:rPr>
        <w:commentReference w:id="0"/>
      </w:r>
    </w:p>
    <w:p w14:paraId="3D97A506" w14:textId="77777777" w:rsidR="00FC22D3" w:rsidRPr="00A87978" w:rsidRDefault="00FC22D3" w:rsidP="00FC22D3">
      <w:pPr>
        <w:pStyle w:val="NormalWeb"/>
        <w:shd w:val="clear" w:color="auto" w:fill="FFFFFF"/>
        <w:spacing w:before="0" w:beforeAutospacing="0" w:after="0" w:afterAutospacing="0"/>
        <w:rPr>
          <w:rFonts w:ascii="Arial" w:hAnsi="Arial" w:cs="Arial"/>
        </w:rPr>
      </w:pPr>
    </w:p>
    <w:p w14:paraId="7DA2A481" w14:textId="77777777" w:rsidR="00FC22D3" w:rsidRDefault="00FC22D3" w:rsidP="00FC22D3">
      <w:pPr>
        <w:rPr>
          <w:b/>
        </w:rPr>
      </w:pPr>
      <w:bookmarkStart w:id="1" w:name="Method"/>
      <w:bookmarkStart w:id="2" w:name="Result"/>
      <w:bookmarkEnd w:id="1"/>
      <w:bookmarkEnd w:id="2"/>
    </w:p>
    <w:p w14:paraId="638DD415" w14:textId="77777777" w:rsidR="00FC22D3" w:rsidRDefault="00FC22D3" w:rsidP="00FC22D3">
      <w:pPr>
        <w:rPr>
          <w:b/>
        </w:rPr>
      </w:pPr>
    </w:p>
    <w:p w14:paraId="024E05BA" w14:textId="77777777" w:rsidR="00FC22D3" w:rsidRDefault="00FC22D3">
      <w:pPr>
        <w:rPr>
          <w:b/>
        </w:rPr>
      </w:pPr>
      <w:r>
        <w:rPr>
          <w:b/>
        </w:rPr>
        <w:br w:type="page"/>
      </w:r>
    </w:p>
    <w:p w14:paraId="5D113D85" w14:textId="2FDA0AA7" w:rsidR="00135192" w:rsidRPr="00C00FDC" w:rsidRDefault="00FC22D3">
      <w:pPr>
        <w:rPr>
          <w:b/>
        </w:rPr>
      </w:pPr>
      <w:r>
        <w:rPr>
          <w:b/>
        </w:rPr>
        <w:lastRenderedPageBreak/>
        <w:t>Supplementary Figures</w:t>
      </w:r>
    </w:p>
    <w:p w14:paraId="1A686F0D" w14:textId="7CE04A85" w:rsidR="00135192" w:rsidRPr="004B5007" w:rsidRDefault="00602E38">
      <w:commentRangeStart w:id="3"/>
      <w:r>
        <w:rPr>
          <w:b/>
          <w:noProof/>
        </w:rPr>
        <w:drawing>
          <wp:inline distT="0" distB="0" distL="0" distR="0" wp14:anchorId="0E99243F" wp14:editId="7C7D9C3C">
            <wp:extent cx="5943600" cy="3566160"/>
            <wp:effectExtent l="0" t="0" r="0" b="2540"/>
            <wp:docPr id="18" name="Picture 18" descr="Macintosh HD:Users:jluningh:Documents:Work_Stuff:Emory:Jingjing_Lab:Predix_CogDx_TWA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jluningh:Documents:Work_Stuff:Emory:Jingjing_Lab:Predix_CogDx_TWAS.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commentRangeEnd w:id="3"/>
      <w:r w:rsidR="00565479">
        <w:rPr>
          <w:rStyle w:val="CommentReference"/>
        </w:rPr>
        <w:commentReference w:id="3"/>
      </w:r>
    </w:p>
    <w:p w14:paraId="7D9A9724" w14:textId="77777777" w:rsidR="00DE100B" w:rsidRPr="004B5007" w:rsidRDefault="00933547" w:rsidP="00DE100B">
      <w:pPr>
        <w:keepNext/>
      </w:pPr>
      <w:r w:rsidRPr="004B5007">
        <w:rPr>
          <w:b/>
          <w:noProof/>
        </w:rPr>
        <w:drawing>
          <wp:inline distT="0" distB="0" distL="0" distR="0" wp14:anchorId="540A9881" wp14:editId="61711F81">
            <wp:extent cx="5943600" cy="3566160"/>
            <wp:effectExtent l="0" t="0" r="0" b="2540"/>
            <wp:docPr id="13" name="Picture 13" descr="Macintosh HD:Users:jluningh:Documents:Work_Stuff:Emory:Jingjing_Lab:Predix_gpath_TWA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luningh:Documents:Work_Stuff:Emory:Jingjing_Lab:Predix_gpath_TWAS.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4BF948E7" w14:textId="4F5173E7" w:rsidR="008338CD" w:rsidRPr="00670D9E" w:rsidRDefault="007D7B93" w:rsidP="00DE100B">
      <w:pPr>
        <w:pStyle w:val="Caption"/>
        <w:rPr>
          <w:sz w:val="24"/>
          <w:szCs w:val="24"/>
        </w:rPr>
      </w:pPr>
      <w:r w:rsidRPr="00AB2485">
        <w:rPr>
          <w:b/>
          <w:sz w:val="24"/>
          <w:szCs w:val="24"/>
        </w:rPr>
        <w:t xml:space="preserve">Supplementary </w:t>
      </w:r>
      <w:r w:rsidR="00DE100B" w:rsidRPr="00AB2485">
        <w:rPr>
          <w:b/>
          <w:sz w:val="24"/>
          <w:szCs w:val="24"/>
        </w:rPr>
        <w:t xml:space="preserve">Figure </w:t>
      </w:r>
      <w:r w:rsidR="00DE100B" w:rsidRPr="00AB2485">
        <w:rPr>
          <w:b/>
          <w:sz w:val="24"/>
          <w:szCs w:val="24"/>
        </w:rPr>
        <w:fldChar w:fldCharType="begin"/>
      </w:r>
      <w:r w:rsidR="00DE100B" w:rsidRPr="00AB2485">
        <w:rPr>
          <w:b/>
          <w:sz w:val="24"/>
          <w:szCs w:val="24"/>
        </w:rPr>
        <w:instrText xml:space="preserve"> SEQ Figure \* ARABIC </w:instrText>
      </w:r>
      <w:r w:rsidR="00DE100B" w:rsidRPr="00AB2485">
        <w:rPr>
          <w:b/>
          <w:sz w:val="24"/>
          <w:szCs w:val="24"/>
        </w:rPr>
        <w:fldChar w:fldCharType="separate"/>
      </w:r>
      <w:r w:rsidR="003C2DAF" w:rsidRPr="00AB2485">
        <w:rPr>
          <w:b/>
          <w:noProof/>
          <w:sz w:val="24"/>
          <w:szCs w:val="24"/>
        </w:rPr>
        <w:t>1</w:t>
      </w:r>
      <w:r w:rsidR="00DE100B" w:rsidRPr="00AB2485">
        <w:rPr>
          <w:b/>
          <w:sz w:val="24"/>
          <w:szCs w:val="24"/>
        </w:rPr>
        <w:fldChar w:fldCharType="end"/>
      </w:r>
      <w:r w:rsidR="00DE100B" w:rsidRPr="00AB2485">
        <w:rPr>
          <w:b/>
          <w:sz w:val="24"/>
          <w:szCs w:val="24"/>
        </w:rPr>
        <w:t>.</w:t>
      </w:r>
      <w:r w:rsidR="00DE100B" w:rsidRPr="004B5007">
        <w:rPr>
          <w:sz w:val="24"/>
          <w:szCs w:val="24"/>
        </w:rPr>
        <w:t xml:space="preserve"> </w:t>
      </w:r>
      <w:r w:rsidR="00714A47" w:rsidRPr="00EB2DD8">
        <w:rPr>
          <w:rFonts w:cstheme="minorHAnsi"/>
          <w:b/>
          <w:sz w:val="24"/>
          <w:szCs w:val="24"/>
        </w:rPr>
        <w:t>Manhattan plots of TWAS of the AD clinical diagnosis (</w:t>
      </w:r>
      <w:r w:rsidR="002B6565">
        <w:rPr>
          <w:rFonts w:cstheme="minorHAnsi"/>
          <w:b/>
          <w:sz w:val="24"/>
          <w:szCs w:val="24"/>
        </w:rPr>
        <w:t xml:space="preserve">panel </w:t>
      </w:r>
      <w:r w:rsidR="00714A47" w:rsidRPr="00EB2DD8">
        <w:rPr>
          <w:rFonts w:cstheme="minorHAnsi"/>
          <w:b/>
          <w:sz w:val="24"/>
          <w:szCs w:val="24"/>
        </w:rPr>
        <w:t>A) and quantitative global pathology (gpath) index (</w:t>
      </w:r>
      <w:r w:rsidR="002B6565">
        <w:rPr>
          <w:rFonts w:cstheme="minorHAnsi"/>
          <w:b/>
          <w:sz w:val="24"/>
          <w:szCs w:val="24"/>
        </w:rPr>
        <w:t xml:space="preserve">panel </w:t>
      </w:r>
      <w:r w:rsidR="00714A47" w:rsidRPr="00EB2DD8">
        <w:rPr>
          <w:rFonts w:cstheme="minorHAnsi"/>
          <w:b/>
          <w:sz w:val="24"/>
          <w:szCs w:val="24"/>
        </w:rPr>
        <w:t>B)</w:t>
      </w:r>
      <w:r w:rsidR="002B6565">
        <w:rPr>
          <w:rFonts w:cstheme="minorHAnsi"/>
          <w:b/>
          <w:sz w:val="24"/>
          <w:szCs w:val="24"/>
        </w:rPr>
        <w:t xml:space="preserve"> by </w:t>
      </w:r>
      <w:r w:rsidR="00670D9E">
        <w:rPr>
          <w:rFonts w:cstheme="minorHAnsi"/>
          <w:b/>
          <w:sz w:val="24"/>
          <w:szCs w:val="24"/>
        </w:rPr>
        <w:t>PrediXcan</w:t>
      </w:r>
      <w:r w:rsidR="00714A47">
        <w:rPr>
          <w:rFonts w:cstheme="minorHAnsi"/>
          <w:b/>
          <w:sz w:val="24"/>
          <w:szCs w:val="24"/>
        </w:rPr>
        <w:t>.</w:t>
      </w:r>
      <w:r w:rsidR="00670D9E">
        <w:rPr>
          <w:rFonts w:cstheme="minorHAnsi"/>
          <w:b/>
          <w:sz w:val="24"/>
          <w:szCs w:val="24"/>
        </w:rPr>
        <w:t xml:space="preserve"> </w:t>
      </w:r>
      <w:r w:rsidR="00670D9E">
        <w:rPr>
          <w:rFonts w:cstheme="minorHAnsi"/>
          <w:sz w:val="24"/>
          <w:szCs w:val="24"/>
        </w:rPr>
        <w:t>No significant genes were identified.</w:t>
      </w:r>
    </w:p>
    <w:p w14:paraId="2CF0FAA8" w14:textId="33CCC64A" w:rsidR="00135192" w:rsidRPr="004B5007" w:rsidRDefault="00135192"/>
    <w:p w14:paraId="51DFD4C1" w14:textId="0361C024" w:rsidR="00135192" w:rsidRPr="004B5007" w:rsidRDefault="00135192"/>
    <w:p w14:paraId="0A0B385E" w14:textId="67716E90" w:rsidR="00135192" w:rsidRPr="004B5007" w:rsidRDefault="00135192"/>
    <w:p w14:paraId="05AB704B" w14:textId="35E1EB6E" w:rsidR="00135192" w:rsidRPr="004B5007" w:rsidRDefault="00135192"/>
    <w:p w14:paraId="7FF69EE0" w14:textId="49DA0F14" w:rsidR="00CB1F3C" w:rsidRPr="004B5007" w:rsidRDefault="001A4B03" w:rsidP="00CB1F3C">
      <w:pPr>
        <w:keepNext/>
      </w:pPr>
      <w:commentRangeStart w:id="4"/>
      <w:r w:rsidRPr="004B5007">
        <w:rPr>
          <w:b/>
          <w:noProof/>
        </w:rPr>
        <w:drawing>
          <wp:inline distT="0" distB="0" distL="0" distR="0" wp14:anchorId="199E715F" wp14:editId="0AD2B5A5">
            <wp:extent cx="5943600" cy="3566160"/>
            <wp:effectExtent l="0" t="0" r="0" b="2540"/>
            <wp:docPr id="15" name="Picture 15" descr="Macintosh HD:Users:jluningh:Documents:Work_Stuff:Emory:Jingjing_Lab:Predix_tangle_TWA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luningh:Documents:Work_Stuff:Emory:Jingjing_Lab:Predix_tangle_TWAS.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commentRangeEnd w:id="4"/>
      <w:r w:rsidR="006A36A3">
        <w:rPr>
          <w:rStyle w:val="CommentReference"/>
        </w:rPr>
        <w:commentReference w:id="4"/>
      </w:r>
      <w:r w:rsidR="00A56C4D" w:rsidRPr="004B5007">
        <w:rPr>
          <w:b/>
          <w:noProof/>
        </w:rPr>
        <w:drawing>
          <wp:inline distT="0" distB="0" distL="0" distR="0" wp14:anchorId="77AC3F67" wp14:editId="37EEC2F3">
            <wp:extent cx="5723467" cy="3434080"/>
            <wp:effectExtent l="0" t="0" r="4445" b="0"/>
            <wp:docPr id="17" name="Picture 17" descr="Macintosh HD:Users:jluningh:Documents:Work_Stuff:Emory:Jingjing_Lab:Predix_amyloid_TWA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jluningh:Documents:Work_Stuff:Emory:Jingjing_Lab:Predix_amyloid_TWAS.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733" cy="3434840"/>
                    </a:xfrm>
                    <a:prstGeom prst="rect">
                      <a:avLst/>
                    </a:prstGeom>
                    <a:noFill/>
                    <a:ln>
                      <a:noFill/>
                    </a:ln>
                  </pic:spPr>
                </pic:pic>
              </a:graphicData>
            </a:graphic>
          </wp:inline>
        </w:drawing>
      </w:r>
    </w:p>
    <w:p w14:paraId="2DF1C5E6" w14:textId="77777777" w:rsidR="00FA5526" w:rsidRPr="00670D9E" w:rsidRDefault="00675391" w:rsidP="00FA5526">
      <w:pPr>
        <w:pStyle w:val="Caption"/>
        <w:rPr>
          <w:sz w:val="24"/>
          <w:szCs w:val="24"/>
        </w:rPr>
      </w:pPr>
      <w:r w:rsidRPr="008F28F7">
        <w:rPr>
          <w:b/>
          <w:sz w:val="24"/>
          <w:szCs w:val="24"/>
        </w:rPr>
        <w:t xml:space="preserve">Supplementary </w:t>
      </w:r>
      <w:r w:rsidR="00CB1F3C" w:rsidRPr="008F28F7">
        <w:rPr>
          <w:b/>
          <w:sz w:val="24"/>
          <w:szCs w:val="24"/>
        </w:rPr>
        <w:t xml:space="preserve">Figure </w:t>
      </w:r>
      <w:r w:rsidR="00A33CB9" w:rsidRPr="008F28F7">
        <w:rPr>
          <w:b/>
          <w:sz w:val="24"/>
          <w:szCs w:val="24"/>
        </w:rPr>
        <w:t>2</w:t>
      </w:r>
      <w:r w:rsidR="00CB1F3C" w:rsidRPr="008F28F7">
        <w:rPr>
          <w:b/>
          <w:sz w:val="24"/>
          <w:szCs w:val="24"/>
        </w:rPr>
        <w:t xml:space="preserve">. </w:t>
      </w:r>
      <w:r w:rsidR="008F28F7" w:rsidRPr="00EB2DD8">
        <w:rPr>
          <w:rFonts w:cstheme="minorHAnsi"/>
          <w:b/>
          <w:sz w:val="24"/>
          <w:szCs w:val="24"/>
        </w:rPr>
        <w:t xml:space="preserve">Manhattan plots of TWAS of </w:t>
      </w:r>
      <w:r w:rsidR="008F28F7" w:rsidRPr="00F87A77">
        <w:rPr>
          <w:rFonts w:cstheme="minorHAnsi"/>
          <w:b/>
          <w:sz w:val="24"/>
          <w:szCs w:val="24"/>
        </w:rPr>
        <w:t>neurofibrillary tangle density (tangles</w:t>
      </w:r>
      <w:r w:rsidR="008F28F7">
        <w:rPr>
          <w:rFonts w:cstheme="minorHAnsi"/>
          <w:b/>
          <w:sz w:val="24"/>
          <w:szCs w:val="24"/>
        </w:rPr>
        <w:t>, A</w:t>
      </w:r>
      <w:r w:rsidR="008F28F7" w:rsidRPr="00F87A77">
        <w:rPr>
          <w:rFonts w:cstheme="minorHAnsi"/>
          <w:b/>
          <w:sz w:val="24"/>
          <w:szCs w:val="24"/>
        </w:rPr>
        <w:t>)</w:t>
      </w:r>
      <w:r w:rsidR="008F28F7">
        <w:rPr>
          <w:rFonts w:cstheme="minorHAnsi"/>
          <w:b/>
          <w:sz w:val="24"/>
          <w:szCs w:val="24"/>
        </w:rPr>
        <w:t xml:space="preserve"> and</w:t>
      </w:r>
      <w:r w:rsidR="008F28F7" w:rsidRPr="00F87A77">
        <w:rPr>
          <w:rFonts w:cstheme="minorHAnsi"/>
          <w:b/>
          <w:sz w:val="24"/>
          <w:szCs w:val="24"/>
        </w:rPr>
        <w:t xml:space="preserve"> β-amyloid load (amyloid</w:t>
      </w:r>
      <w:r w:rsidR="008F28F7">
        <w:rPr>
          <w:rFonts w:cstheme="minorHAnsi"/>
          <w:b/>
          <w:sz w:val="24"/>
          <w:szCs w:val="24"/>
        </w:rPr>
        <w:t xml:space="preserve">, B) </w:t>
      </w:r>
      <w:r w:rsidR="008F28F7" w:rsidRPr="00EB2DD8">
        <w:rPr>
          <w:rFonts w:cstheme="minorHAnsi"/>
          <w:b/>
          <w:sz w:val="24"/>
          <w:szCs w:val="24"/>
        </w:rPr>
        <w:t xml:space="preserve">by </w:t>
      </w:r>
      <w:commentRangeStart w:id="5"/>
      <w:r w:rsidR="00CB1F3C" w:rsidRPr="008F28F7">
        <w:rPr>
          <w:b/>
          <w:sz w:val="24"/>
          <w:szCs w:val="24"/>
        </w:rPr>
        <w:t>PrediXcan</w:t>
      </w:r>
      <w:commentRangeEnd w:id="5"/>
      <w:r w:rsidR="00CB1F3C" w:rsidRPr="008F28F7">
        <w:rPr>
          <w:rStyle w:val="CommentReference"/>
          <w:b/>
          <w:i w:val="0"/>
          <w:iCs w:val="0"/>
          <w:color w:val="auto"/>
          <w:sz w:val="24"/>
          <w:szCs w:val="24"/>
        </w:rPr>
        <w:commentReference w:id="5"/>
      </w:r>
      <w:r w:rsidR="00CB1F3C" w:rsidRPr="008F28F7">
        <w:rPr>
          <w:b/>
          <w:sz w:val="24"/>
          <w:szCs w:val="24"/>
        </w:rPr>
        <w:t>.</w:t>
      </w:r>
      <w:r w:rsidR="00FA5526">
        <w:rPr>
          <w:b/>
          <w:sz w:val="24"/>
          <w:szCs w:val="24"/>
        </w:rPr>
        <w:t xml:space="preserve"> </w:t>
      </w:r>
      <w:r w:rsidR="00FA5526">
        <w:rPr>
          <w:rFonts w:cstheme="minorHAnsi"/>
          <w:sz w:val="24"/>
          <w:szCs w:val="24"/>
        </w:rPr>
        <w:t>No significant genes were identified.</w:t>
      </w:r>
    </w:p>
    <w:p w14:paraId="653158E8" w14:textId="7A2664B1" w:rsidR="001A4B03" w:rsidRPr="008F28F7" w:rsidRDefault="001A4B03" w:rsidP="00CB1F3C">
      <w:pPr>
        <w:pStyle w:val="Caption"/>
        <w:rPr>
          <w:b/>
          <w:sz w:val="24"/>
          <w:szCs w:val="24"/>
        </w:rPr>
      </w:pPr>
    </w:p>
    <w:p w14:paraId="65C0A68B" w14:textId="020E2F24" w:rsidR="00EB1BCE" w:rsidRDefault="00EB1BCE"/>
    <w:p w14:paraId="75331E83" w14:textId="45268EC3" w:rsidR="00F93531" w:rsidRDefault="00F93531"/>
    <w:p w14:paraId="6DD4DA42" w14:textId="64CD2201" w:rsidR="00F93531" w:rsidRPr="00203E3A" w:rsidRDefault="00F93531" w:rsidP="00F93531">
      <w:pPr>
        <w:rPr>
          <w:color w:val="FF0000"/>
        </w:rPr>
      </w:pPr>
      <w:r w:rsidRPr="00203E3A">
        <w:rPr>
          <w:color w:val="FF0000"/>
          <w:highlight w:val="yellow"/>
        </w:rPr>
        <w:t>Put all QQ plot here in different panels of one figure</w:t>
      </w:r>
    </w:p>
    <w:p w14:paraId="2C9E6C90" w14:textId="77777777" w:rsidR="00203E3A" w:rsidRDefault="00203E3A" w:rsidP="00F93531"/>
    <w:p w14:paraId="20DDED5A" w14:textId="63EF483B" w:rsidR="00F93531" w:rsidRPr="001D6EA9" w:rsidRDefault="00F93531" w:rsidP="00F93531">
      <w:pPr>
        <w:pStyle w:val="Caption"/>
        <w:rPr>
          <w:b/>
          <w:sz w:val="24"/>
          <w:szCs w:val="24"/>
        </w:rPr>
      </w:pPr>
      <w:r w:rsidRPr="001D6EA9">
        <w:rPr>
          <w:b/>
          <w:sz w:val="24"/>
          <w:szCs w:val="24"/>
        </w:rPr>
        <w:t xml:space="preserve">Supplementary Figure </w:t>
      </w:r>
      <w:r w:rsidRPr="001D6EA9">
        <w:rPr>
          <w:b/>
          <w:sz w:val="24"/>
          <w:szCs w:val="24"/>
        </w:rPr>
        <w:t>3</w:t>
      </w:r>
      <w:r w:rsidRPr="001D6EA9">
        <w:rPr>
          <w:b/>
          <w:sz w:val="24"/>
          <w:szCs w:val="24"/>
        </w:rPr>
        <w:t>.</w:t>
      </w:r>
      <w:r w:rsidRPr="001D6EA9">
        <w:rPr>
          <w:b/>
          <w:sz w:val="24"/>
          <w:szCs w:val="24"/>
        </w:rPr>
        <w:t xml:space="preserve"> QQ plots</w:t>
      </w:r>
      <w:r w:rsidR="0089018E" w:rsidRPr="001D6EA9">
        <w:rPr>
          <w:b/>
          <w:sz w:val="24"/>
          <w:szCs w:val="24"/>
        </w:rPr>
        <w:t xml:space="preserve"> of TWAS of AD related phenotypes</w:t>
      </w:r>
      <w:r w:rsidR="00B1307D" w:rsidRPr="001D6EA9">
        <w:rPr>
          <w:b/>
          <w:sz w:val="24"/>
          <w:szCs w:val="24"/>
        </w:rPr>
        <w:t xml:space="preserve"> by both our Bayesian</w:t>
      </w:r>
      <w:r w:rsidR="00A01E1A">
        <w:rPr>
          <w:b/>
          <w:sz w:val="24"/>
          <w:szCs w:val="24"/>
        </w:rPr>
        <w:t xml:space="preserve"> (A, B, C)</w:t>
      </w:r>
      <w:r w:rsidR="00B1307D" w:rsidRPr="001D6EA9">
        <w:rPr>
          <w:b/>
          <w:sz w:val="24"/>
          <w:szCs w:val="24"/>
        </w:rPr>
        <w:t xml:space="preserve"> and PrediXcan</w:t>
      </w:r>
      <w:r w:rsidR="00B20BB0">
        <w:rPr>
          <w:b/>
          <w:sz w:val="24"/>
          <w:szCs w:val="24"/>
        </w:rPr>
        <w:t xml:space="preserve"> (D, E, F)</w:t>
      </w:r>
      <w:r w:rsidR="00B1307D" w:rsidRPr="001D6EA9">
        <w:rPr>
          <w:b/>
          <w:sz w:val="24"/>
          <w:szCs w:val="24"/>
        </w:rPr>
        <w:t xml:space="preserve"> methods</w:t>
      </w:r>
      <w:r w:rsidRPr="001D6EA9">
        <w:rPr>
          <w:b/>
          <w:sz w:val="24"/>
          <w:szCs w:val="24"/>
        </w:rPr>
        <w:t>.</w:t>
      </w:r>
    </w:p>
    <w:p w14:paraId="733FB377" w14:textId="19C603E6" w:rsidR="00F93531" w:rsidRDefault="00F93531"/>
    <w:p w14:paraId="5C905403" w14:textId="27F3DF8B" w:rsidR="00F93531" w:rsidRDefault="00F93531"/>
    <w:p w14:paraId="51D392EA" w14:textId="2A3877C5" w:rsidR="003118F5" w:rsidRDefault="003118F5">
      <w:r>
        <w:br w:type="page"/>
      </w:r>
    </w:p>
    <w:p w14:paraId="535795C2" w14:textId="77777777" w:rsidR="00F93531" w:rsidRPr="004B5007" w:rsidRDefault="00F93531"/>
    <w:p w14:paraId="2B25F3BC" w14:textId="762EE800" w:rsidR="003C2DAF" w:rsidRPr="004B5007" w:rsidRDefault="00EB1BCE" w:rsidP="00EB5E67">
      <w:commentRangeStart w:id="6"/>
      <w:commentRangeStart w:id="7"/>
      <w:r w:rsidRPr="004B5007">
        <w:rPr>
          <w:b/>
          <w:noProof/>
        </w:rPr>
        <w:drawing>
          <wp:inline distT="0" distB="0" distL="0" distR="0" wp14:anchorId="4A47AB3E" wp14:editId="6C9FE8FF">
            <wp:extent cx="3293533" cy="1976119"/>
            <wp:effectExtent l="0" t="0" r="0" b="5715"/>
            <wp:docPr id="21" name="Picture 21" descr="Macintosh HD:Users:jluningh:Documents:Work_Stuff:Emory:Jingjing_Lab:trainR2_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jluningh:Documents:Work_Stuff:Emory:Jingjing_Lab:trainR2_1.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14178" cy="1988506"/>
                    </a:xfrm>
                    <a:prstGeom prst="rect">
                      <a:avLst/>
                    </a:prstGeom>
                    <a:noFill/>
                    <a:ln>
                      <a:noFill/>
                    </a:ln>
                  </pic:spPr>
                </pic:pic>
              </a:graphicData>
            </a:graphic>
          </wp:inline>
        </w:drawing>
      </w:r>
      <w:commentRangeEnd w:id="6"/>
      <w:commentRangeEnd w:id="7"/>
      <w:r w:rsidR="00544369">
        <w:rPr>
          <w:rStyle w:val="CommentReference"/>
        </w:rPr>
        <w:commentReference w:id="7"/>
      </w:r>
      <w:r w:rsidR="003C2DAF" w:rsidRPr="004B5007">
        <w:rPr>
          <w:rStyle w:val="CommentReference"/>
          <w:sz w:val="24"/>
          <w:szCs w:val="24"/>
        </w:rPr>
        <w:commentReference w:id="6"/>
      </w:r>
      <w:r w:rsidR="00411CDD" w:rsidRPr="004B5007">
        <w:rPr>
          <w:b/>
          <w:noProof/>
        </w:rPr>
        <w:drawing>
          <wp:inline distT="0" distB="0" distL="0" distR="0" wp14:anchorId="3D46A895" wp14:editId="583EBB10">
            <wp:extent cx="2609850" cy="1565910"/>
            <wp:effectExtent l="0" t="0" r="6350" b="0"/>
            <wp:docPr id="22" name="Picture 22" descr="Macintosh HD:Users:jluningh:Documents:Work_Stuff:Emory:Jingjing_Lab:trainR2_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jluningh:Documents:Work_Stuff:Emory:Jingjing_Lab:trainR2_2.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39799" cy="1583879"/>
                    </a:xfrm>
                    <a:prstGeom prst="rect">
                      <a:avLst/>
                    </a:prstGeom>
                    <a:noFill/>
                    <a:ln>
                      <a:noFill/>
                    </a:ln>
                  </pic:spPr>
                </pic:pic>
              </a:graphicData>
            </a:graphic>
          </wp:inline>
        </w:drawing>
      </w:r>
    </w:p>
    <w:p w14:paraId="5D914C74" w14:textId="1EE09494" w:rsidR="00EB1BCE" w:rsidRPr="004B5007" w:rsidRDefault="00675391" w:rsidP="003C2DAF">
      <w:pPr>
        <w:pStyle w:val="Caption"/>
        <w:rPr>
          <w:sz w:val="24"/>
          <w:szCs w:val="24"/>
        </w:rPr>
      </w:pPr>
      <w:r w:rsidRPr="00976B43">
        <w:rPr>
          <w:b/>
          <w:sz w:val="24"/>
          <w:szCs w:val="24"/>
        </w:rPr>
        <w:t xml:space="preserve">Supplementary </w:t>
      </w:r>
      <w:r w:rsidR="003C2DAF" w:rsidRPr="00976B43">
        <w:rPr>
          <w:b/>
          <w:sz w:val="24"/>
          <w:szCs w:val="24"/>
        </w:rPr>
        <w:t xml:space="preserve">Figure </w:t>
      </w:r>
      <w:r w:rsidR="003118F5" w:rsidRPr="00976B43">
        <w:rPr>
          <w:b/>
          <w:sz w:val="24"/>
          <w:szCs w:val="24"/>
        </w:rPr>
        <w:t>4</w:t>
      </w:r>
      <w:r w:rsidR="003C2DAF" w:rsidRPr="00976B43">
        <w:rPr>
          <w:b/>
          <w:sz w:val="24"/>
          <w:szCs w:val="24"/>
        </w:rPr>
        <w:t xml:space="preserve">. </w:t>
      </w:r>
      <w:r w:rsidR="00AF0149" w:rsidRPr="00976B43">
        <w:rPr>
          <w:b/>
          <w:sz w:val="24"/>
          <w:szCs w:val="24"/>
        </w:rPr>
        <w:t>Comparing t</w:t>
      </w:r>
      <w:r w:rsidR="003C2DAF" w:rsidRPr="00976B43">
        <w:rPr>
          <w:b/>
          <w:sz w:val="24"/>
          <w:szCs w:val="24"/>
        </w:rPr>
        <w:t>rain R</w:t>
      </w:r>
      <w:r w:rsidR="00AF0149" w:rsidRPr="00976B43">
        <w:rPr>
          <w:b/>
          <w:sz w:val="24"/>
          <w:szCs w:val="24"/>
          <w:vertAlign w:val="superscript"/>
        </w:rPr>
        <w:t>2</w:t>
      </w:r>
      <w:r w:rsidR="003C2DAF" w:rsidRPr="00976B43">
        <w:rPr>
          <w:b/>
          <w:sz w:val="24"/>
          <w:szCs w:val="24"/>
        </w:rPr>
        <w:t xml:space="preserve"> </w:t>
      </w:r>
      <w:r w:rsidR="009246B5" w:rsidRPr="00976B43">
        <w:rPr>
          <w:b/>
          <w:sz w:val="24"/>
          <w:szCs w:val="24"/>
        </w:rPr>
        <w:t>obtained by</w:t>
      </w:r>
      <w:r w:rsidR="003C2DAF" w:rsidRPr="00976B43">
        <w:rPr>
          <w:b/>
          <w:sz w:val="24"/>
          <w:szCs w:val="24"/>
        </w:rPr>
        <w:t xml:space="preserve"> </w:t>
      </w:r>
      <w:r w:rsidR="00CF097F" w:rsidRPr="00976B43">
        <w:rPr>
          <w:b/>
          <w:sz w:val="24"/>
          <w:szCs w:val="24"/>
        </w:rPr>
        <w:t>our Bayesian</w:t>
      </w:r>
      <w:r w:rsidR="003C2DAF" w:rsidRPr="00976B43">
        <w:rPr>
          <w:b/>
          <w:sz w:val="24"/>
          <w:szCs w:val="24"/>
        </w:rPr>
        <w:t xml:space="preserve"> and PrediXcan</w:t>
      </w:r>
      <w:r w:rsidR="009246B5" w:rsidRPr="00976B43">
        <w:rPr>
          <w:b/>
          <w:sz w:val="24"/>
          <w:szCs w:val="24"/>
        </w:rPr>
        <w:t xml:space="preserve"> methods</w:t>
      </w:r>
      <w:r w:rsidR="003C2DAF" w:rsidRPr="00976B43">
        <w:rPr>
          <w:b/>
          <w:sz w:val="24"/>
          <w:szCs w:val="24"/>
        </w:rPr>
        <w:t>.</w:t>
      </w:r>
      <w:r w:rsidR="009B2DE1" w:rsidRPr="004B5007">
        <w:rPr>
          <w:sz w:val="24"/>
          <w:szCs w:val="24"/>
        </w:rPr>
        <w:t xml:space="preserve"> </w:t>
      </w:r>
      <w:r w:rsidR="0070518A">
        <w:rPr>
          <w:sz w:val="24"/>
          <w:szCs w:val="24"/>
        </w:rPr>
        <w:t>Train</w:t>
      </w:r>
      <w:r w:rsidR="00824851" w:rsidRPr="00824851">
        <w:rPr>
          <w:sz w:val="24"/>
          <w:szCs w:val="24"/>
        </w:rPr>
        <w:t xml:space="preserve"> R</w:t>
      </w:r>
      <w:r w:rsidR="008B0835">
        <w:rPr>
          <w:sz w:val="24"/>
          <w:szCs w:val="24"/>
          <w:vertAlign w:val="superscript"/>
        </w:rPr>
        <w:t>2</w:t>
      </w:r>
      <w:r w:rsidR="00824851" w:rsidRPr="00824851">
        <w:rPr>
          <w:sz w:val="24"/>
          <w:szCs w:val="24"/>
        </w:rPr>
        <w:t xml:space="preserve"> value</w:t>
      </w:r>
      <w:r w:rsidR="008F26F4">
        <w:rPr>
          <w:sz w:val="24"/>
          <w:szCs w:val="24"/>
        </w:rPr>
        <w:t xml:space="preserve"> per gene</w:t>
      </w:r>
      <w:r w:rsidR="00824851" w:rsidRPr="00824851">
        <w:rPr>
          <w:sz w:val="24"/>
          <w:szCs w:val="24"/>
        </w:rPr>
        <w:t xml:space="preserve"> </w:t>
      </w:r>
      <w:r w:rsidR="00A75C52">
        <w:rPr>
          <w:sz w:val="24"/>
          <w:szCs w:val="24"/>
        </w:rPr>
        <w:t xml:space="preserve">by our Bayesian approach </w:t>
      </w:r>
      <w:r w:rsidR="00824851" w:rsidRPr="00824851">
        <w:rPr>
          <w:sz w:val="24"/>
          <w:szCs w:val="24"/>
        </w:rPr>
        <w:t xml:space="preserve">(blue) and </w:t>
      </w:r>
      <w:r w:rsidR="00A75C52">
        <w:rPr>
          <w:sz w:val="24"/>
          <w:szCs w:val="24"/>
        </w:rPr>
        <w:t>PrediXcan</w:t>
      </w:r>
      <w:r w:rsidR="00824851" w:rsidRPr="00824851">
        <w:rPr>
          <w:sz w:val="24"/>
          <w:szCs w:val="24"/>
        </w:rPr>
        <w:t xml:space="preserve"> (yellow) are plotted, ranked in </w:t>
      </w:r>
      <w:r w:rsidR="009538E9">
        <w:rPr>
          <w:sz w:val="24"/>
          <w:szCs w:val="24"/>
        </w:rPr>
        <w:t xml:space="preserve">the </w:t>
      </w:r>
      <w:r w:rsidR="00B6130D">
        <w:rPr>
          <w:sz w:val="24"/>
          <w:szCs w:val="24"/>
        </w:rPr>
        <w:t xml:space="preserve">increase </w:t>
      </w:r>
      <w:r w:rsidR="00824851" w:rsidRPr="00824851">
        <w:rPr>
          <w:sz w:val="24"/>
          <w:szCs w:val="24"/>
        </w:rPr>
        <w:t xml:space="preserve">order </w:t>
      </w:r>
      <w:r w:rsidR="00B6130D">
        <w:rPr>
          <w:sz w:val="24"/>
          <w:szCs w:val="24"/>
        </w:rPr>
        <w:t>of</w:t>
      </w:r>
      <w:r w:rsidR="00824851" w:rsidRPr="00824851">
        <w:rPr>
          <w:sz w:val="24"/>
          <w:szCs w:val="24"/>
        </w:rPr>
        <w:t xml:space="preserve"> </w:t>
      </w:r>
      <w:r w:rsidR="005832AF" w:rsidRPr="00824851">
        <w:rPr>
          <w:sz w:val="24"/>
          <w:szCs w:val="24"/>
        </w:rPr>
        <w:t>R</w:t>
      </w:r>
      <w:r w:rsidR="005832AF">
        <w:rPr>
          <w:sz w:val="24"/>
          <w:szCs w:val="24"/>
          <w:vertAlign w:val="superscript"/>
        </w:rPr>
        <w:t>2</w:t>
      </w:r>
      <w:r w:rsidR="005832AF">
        <w:rPr>
          <w:sz w:val="24"/>
          <w:szCs w:val="24"/>
          <w:vertAlign w:val="superscript"/>
        </w:rPr>
        <w:t xml:space="preserve"> </w:t>
      </w:r>
      <w:r w:rsidR="00771490">
        <w:rPr>
          <w:sz w:val="24"/>
          <w:szCs w:val="24"/>
        </w:rPr>
        <w:t xml:space="preserve">by our Bayesian approach </w:t>
      </w:r>
      <w:r w:rsidR="00F503CB" w:rsidRPr="00824851">
        <w:rPr>
          <w:sz w:val="24"/>
          <w:szCs w:val="24"/>
        </w:rPr>
        <w:t xml:space="preserve">for </w:t>
      </w:r>
      <w:r w:rsidR="00F503CB">
        <w:rPr>
          <w:sz w:val="24"/>
          <w:szCs w:val="24"/>
        </w:rPr>
        <w:t>genome-wide genes</w:t>
      </w:r>
      <w:r w:rsidR="00F503CB">
        <w:rPr>
          <w:sz w:val="24"/>
          <w:szCs w:val="24"/>
        </w:rPr>
        <w:t xml:space="preserve"> </w:t>
      </w:r>
      <w:r w:rsidR="00771490">
        <w:rPr>
          <w:sz w:val="24"/>
          <w:szCs w:val="24"/>
        </w:rPr>
        <w:t>(</w:t>
      </w:r>
      <w:r w:rsidR="00DC12FB">
        <w:rPr>
          <w:sz w:val="24"/>
          <w:szCs w:val="24"/>
        </w:rPr>
        <w:t xml:space="preserve">panel </w:t>
      </w:r>
      <w:bookmarkStart w:id="8" w:name="_GoBack"/>
      <w:bookmarkEnd w:id="8"/>
      <w:r w:rsidR="00771490">
        <w:rPr>
          <w:sz w:val="24"/>
          <w:szCs w:val="24"/>
        </w:rPr>
        <w:t xml:space="preserve">A) and </w:t>
      </w:r>
      <w:r w:rsidR="003D6887">
        <w:rPr>
          <w:sz w:val="24"/>
          <w:szCs w:val="24"/>
        </w:rPr>
        <w:t xml:space="preserve">ranked in the </w:t>
      </w:r>
      <w:r w:rsidR="004E530B">
        <w:rPr>
          <w:sz w:val="24"/>
          <w:szCs w:val="24"/>
        </w:rPr>
        <w:t xml:space="preserve">increase </w:t>
      </w:r>
      <w:r w:rsidR="004E530B" w:rsidRPr="00824851">
        <w:rPr>
          <w:sz w:val="24"/>
          <w:szCs w:val="24"/>
        </w:rPr>
        <w:t xml:space="preserve">order </w:t>
      </w:r>
      <w:r w:rsidR="004E530B">
        <w:rPr>
          <w:sz w:val="24"/>
          <w:szCs w:val="24"/>
        </w:rPr>
        <w:t>of</w:t>
      </w:r>
      <w:r w:rsidR="004E530B" w:rsidRPr="00824851">
        <w:rPr>
          <w:sz w:val="24"/>
          <w:szCs w:val="24"/>
        </w:rPr>
        <w:t xml:space="preserve"> R</w:t>
      </w:r>
      <w:r w:rsidR="004E530B">
        <w:rPr>
          <w:sz w:val="24"/>
          <w:szCs w:val="24"/>
          <w:vertAlign w:val="superscript"/>
        </w:rPr>
        <w:t xml:space="preserve">2 </w:t>
      </w:r>
      <w:r w:rsidR="004E530B">
        <w:rPr>
          <w:sz w:val="24"/>
          <w:szCs w:val="24"/>
        </w:rPr>
        <w:t>by</w:t>
      </w:r>
      <w:r w:rsidR="004E530B">
        <w:rPr>
          <w:sz w:val="24"/>
          <w:szCs w:val="24"/>
        </w:rPr>
        <w:t xml:space="preserve"> PrediXcan</w:t>
      </w:r>
      <w:r w:rsidR="00DC12FB">
        <w:rPr>
          <w:sz w:val="24"/>
          <w:szCs w:val="24"/>
        </w:rPr>
        <w:t xml:space="preserve"> (panel B)</w:t>
      </w:r>
      <w:r w:rsidR="009B2DE1" w:rsidRPr="004B5007">
        <w:rPr>
          <w:sz w:val="24"/>
          <w:szCs w:val="24"/>
        </w:rPr>
        <w:t>.</w:t>
      </w:r>
    </w:p>
    <w:sectPr w:rsidR="00EB1BCE" w:rsidRPr="004B5007" w:rsidSect="00F51A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ingjing Yang" w:date="2020-01-14T14:09:00Z" w:initials="JY">
    <w:p w14:paraId="503ADF4F" w14:textId="77777777" w:rsidR="00FC22D3" w:rsidRDefault="00FC22D3" w:rsidP="00FC22D3">
      <w:pPr>
        <w:pStyle w:val="CommentText"/>
      </w:pPr>
      <w:r>
        <w:rPr>
          <w:rStyle w:val="CommentReference"/>
        </w:rPr>
        <w:annotationRef/>
      </w:r>
      <w:r>
        <w:t>A brief description about the real data sets should be included into a subsection under the Method section. Details can go to Supplement text.</w:t>
      </w:r>
    </w:p>
  </w:comment>
  <w:comment w:id="3" w:author="Jingjing Yang" w:date="2020-01-15T15:16:00Z" w:initials="JY">
    <w:p w14:paraId="305BEB9B" w14:textId="2DCEE0A4" w:rsidR="001E6B45" w:rsidRDefault="00565479">
      <w:pPr>
        <w:pStyle w:val="CommentText"/>
      </w:pPr>
      <w:r>
        <w:rPr>
          <w:rStyle w:val="CommentReference"/>
        </w:rPr>
        <w:annotationRef/>
      </w:r>
      <w:r w:rsidR="00FE69B5">
        <w:t>Change the plot title to “PrediXcan TWAS of AD”</w:t>
      </w:r>
      <w:r w:rsidR="00F2411F">
        <w:t xml:space="preserve">, and </w:t>
      </w:r>
      <w:r w:rsidR="00705788">
        <w:t xml:space="preserve">“PrediXcan TWAS of </w:t>
      </w:r>
      <w:r w:rsidR="00705788">
        <w:t>Gpath</w:t>
      </w:r>
      <w:r w:rsidR="00705788">
        <w:t>”</w:t>
      </w:r>
      <w:r w:rsidR="00723DAA">
        <w:t>.</w:t>
      </w:r>
      <w:r w:rsidR="001E6B45">
        <w:t xml:space="preserve"> Make these as two panels of one figure.</w:t>
      </w:r>
    </w:p>
  </w:comment>
  <w:comment w:id="4" w:author="Jingjing Yang" w:date="2020-01-15T15:19:00Z" w:initials="JY">
    <w:p w14:paraId="27A537A8" w14:textId="349A6686" w:rsidR="006A36A3" w:rsidRDefault="006A36A3">
      <w:pPr>
        <w:pStyle w:val="CommentText"/>
      </w:pPr>
      <w:r>
        <w:rPr>
          <w:rStyle w:val="CommentReference"/>
        </w:rPr>
        <w:annotationRef/>
      </w:r>
      <w:r>
        <w:t xml:space="preserve">Change the plot title to “PrediXcan TWAS of </w:t>
      </w:r>
      <w:r>
        <w:t>Tangles</w:t>
      </w:r>
      <w:r>
        <w:t xml:space="preserve">”, and “PrediXcan TWAS of </w:t>
      </w:r>
      <w:r>
        <w:t>Amloid</w:t>
      </w:r>
      <w:r>
        <w:t>”. Make these as two panels of one figure.</w:t>
      </w:r>
    </w:p>
  </w:comment>
  <w:comment w:id="5" w:author="Jingjing Yang" w:date="2020-01-13T15:10:00Z" w:initials="JY">
    <w:p w14:paraId="31F549D3" w14:textId="2D42B008" w:rsidR="00CB1F3C" w:rsidRDefault="00CB1F3C" w:rsidP="00CB1F3C">
      <w:pPr>
        <w:pStyle w:val="CommentText"/>
      </w:pPr>
      <w:r>
        <w:rPr>
          <w:rStyle w:val="CommentReference"/>
        </w:rPr>
        <w:annotationRef/>
      </w:r>
      <w:r w:rsidR="00CE63CA">
        <w:t xml:space="preserve">Change the title of these two Manhattan plot to “TWAS of </w:t>
      </w:r>
      <m:oMath>
        <m:r>
          <w:rPr>
            <w:rFonts w:ascii="Cambria Math" w:hAnsi="Cambria Math"/>
          </w:rPr>
          <m:t>β</m:t>
        </m:r>
      </m:oMath>
      <w:r w:rsidR="001331C7">
        <w:t>-</w:t>
      </w:r>
      <w:r w:rsidR="00CE63CA">
        <w:t xml:space="preserve">Amyloid by BVSR” and “TWAS of </w:t>
      </w:r>
      <m:oMath>
        <m:r>
          <w:rPr>
            <w:rFonts w:ascii="Cambria Math" w:hAnsi="Cambria Math"/>
          </w:rPr>
          <m:t>β</m:t>
        </m:r>
      </m:oMath>
      <w:r w:rsidR="00A726E9">
        <w:t>-</w:t>
      </w:r>
      <w:r w:rsidR="00CE63CA">
        <w:t>A</w:t>
      </w:r>
      <w:r w:rsidR="00E133F3">
        <w:t>myloid</w:t>
      </w:r>
      <w:r w:rsidR="00CE63CA">
        <w:t xml:space="preserve"> by PrediXcan”. </w:t>
      </w:r>
      <w:r>
        <w:t>Make these two plots as A and B panels of the same figure.</w:t>
      </w:r>
    </w:p>
    <w:p w14:paraId="3574551A" w14:textId="4AF19BDD" w:rsidR="00CB1F3C" w:rsidRDefault="00CB1F3C">
      <w:pPr>
        <w:pStyle w:val="CommentText"/>
      </w:pPr>
    </w:p>
  </w:comment>
  <w:comment w:id="7" w:author="Jingjing Yang" w:date="2020-01-15T15:21:00Z" w:initials="JY">
    <w:p w14:paraId="7C54A96F" w14:textId="097A58E7" w:rsidR="00544369" w:rsidRDefault="00544369" w:rsidP="00544369">
      <w:pPr>
        <w:pStyle w:val="CommentText"/>
        <w:numPr>
          <w:ilvl w:val="0"/>
          <w:numId w:val="1"/>
        </w:numPr>
      </w:pPr>
      <w:r>
        <w:rPr>
          <w:rStyle w:val="CommentReference"/>
        </w:rPr>
        <w:annotationRef/>
      </w:r>
      <w:r>
        <w:t xml:space="preserve"> Change y-axis label to “Train R</w:t>
      </w:r>
      <w:r>
        <w:rPr>
          <w:vertAlign w:val="superscript"/>
        </w:rPr>
        <w:t>2</w:t>
      </w:r>
      <w:r>
        <w:t>”</w:t>
      </w:r>
      <w:r w:rsidR="00355B67">
        <w:t>, and x-asis labels to “Genome-wide Genes”</w:t>
      </w:r>
    </w:p>
    <w:p w14:paraId="06315B09" w14:textId="301A5EAC" w:rsidR="00544369" w:rsidRDefault="00B31E4B" w:rsidP="00544369">
      <w:pPr>
        <w:pStyle w:val="CommentText"/>
        <w:numPr>
          <w:ilvl w:val="0"/>
          <w:numId w:val="1"/>
        </w:numPr>
      </w:pPr>
      <w:r>
        <w:t xml:space="preserve"> </w:t>
      </w:r>
      <w:r w:rsidR="00544369">
        <w:t>Change legend to “Bayesian” and “PrediXcan”</w:t>
      </w:r>
      <w:r w:rsidR="002B1D38">
        <w:t xml:space="preserve">, </w:t>
      </w:r>
      <w:r w:rsidR="00A71C81">
        <w:t xml:space="preserve">move legend to the bottom, </w:t>
      </w:r>
      <w:r w:rsidR="002B1D38">
        <w:t>only need for one plot</w:t>
      </w:r>
    </w:p>
    <w:p w14:paraId="385EDD38" w14:textId="0B3AA82D" w:rsidR="00B31E4B" w:rsidRDefault="00B233B4" w:rsidP="00544369">
      <w:pPr>
        <w:pStyle w:val="CommentText"/>
        <w:numPr>
          <w:ilvl w:val="0"/>
          <w:numId w:val="1"/>
        </w:numPr>
      </w:pPr>
      <w:r>
        <w:t xml:space="preserve"> </w:t>
      </w:r>
      <w:r w:rsidR="00D545CE">
        <w:t>Remove plot titles</w:t>
      </w:r>
    </w:p>
    <w:p w14:paraId="6452745A" w14:textId="0709D7AE" w:rsidR="00084090" w:rsidRDefault="00084090" w:rsidP="00544369">
      <w:pPr>
        <w:pStyle w:val="CommentText"/>
        <w:numPr>
          <w:ilvl w:val="0"/>
          <w:numId w:val="1"/>
        </w:numPr>
      </w:pPr>
      <w:r>
        <w:t xml:space="preserve"> Make these two as panels A, B</w:t>
      </w:r>
    </w:p>
    <w:p w14:paraId="4873FD2A" w14:textId="746EF28A" w:rsidR="00D545CE" w:rsidRDefault="00EB5E67" w:rsidP="00544369">
      <w:pPr>
        <w:pStyle w:val="CommentText"/>
        <w:numPr>
          <w:ilvl w:val="0"/>
          <w:numId w:val="1"/>
        </w:numPr>
      </w:pPr>
      <w:r>
        <w:t xml:space="preserve"> Enlarge font to size &gt;= 24</w:t>
      </w:r>
    </w:p>
  </w:comment>
  <w:comment w:id="6" w:author="Jingjing Yang" w:date="2020-01-13T15:12:00Z" w:initials="JY">
    <w:p w14:paraId="630FA761" w14:textId="6A952C1F" w:rsidR="003C2DAF" w:rsidRDefault="003C2DA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3ADF4F" w15:done="0"/>
  <w15:commentEx w15:paraId="305BEB9B" w15:done="0"/>
  <w15:commentEx w15:paraId="27A537A8" w15:done="0"/>
  <w15:commentEx w15:paraId="3574551A" w15:done="0"/>
  <w15:commentEx w15:paraId="4873FD2A" w15:done="0"/>
  <w15:commentEx w15:paraId="630FA7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3ADF4F" w16cid:durableId="21C84A00"/>
  <w16cid:commentId w16cid:paraId="305BEB9B" w16cid:durableId="21C9AB6A"/>
  <w16cid:commentId w16cid:paraId="27A537A8" w16cid:durableId="21C9AC0C"/>
  <w16cid:commentId w16cid:paraId="3574551A" w16cid:durableId="21C706C8"/>
  <w16cid:commentId w16cid:paraId="4873FD2A" w16cid:durableId="21C9AC91"/>
  <w16cid:commentId w16cid:paraId="630FA761" w16cid:durableId="21C707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F47A8E"/>
    <w:multiLevelType w:val="hybridMultilevel"/>
    <w:tmpl w:val="CEF41A48"/>
    <w:lvl w:ilvl="0" w:tplc="314220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27E"/>
    <w:rsid w:val="00007816"/>
    <w:rsid w:val="00042C1C"/>
    <w:rsid w:val="0004556E"/>
    <w:rsid w:val="00056E59"/>
    <w:rsid w:val="00062AF6"/>
    <w:rsid w:val="0007277B"/>
    <w:rsid w:val="00084090"/>
    <w:rsid w:val="000A011F"/>
    <w:rsid w:val="000B194F"/>
    <w:rsid w:val="000B244C"/>
    <w:rsid w:val="000C4CEE"/>
    <w:rsid w:val="000D49AD"/>
    <w:rsid w:val="000E1DB4"/>
    <w:rsid w:val="000F770D"/>
    <w:rsid w:val="001067E2"/>
    <w:rsid w:val="001331C7"/>
    <w:rsid w:val="00135192"/>
    <w:rsid w:val="00136B13"/>
    <w:rsid w:val="0015075C"/>
    <w:rsid w:val="00150D5D"/>
    <w:rsid w:val="00163C69"/>
    <w:rsid w:val="001733D9"/>
    <w:rsid w:val="001760D6"/>
    <w:rsid w:val="001A4B03"/>
    <w:rsid w:val="001A6D4C"/>
    <w:rsid w:val="001D0E91"/>
    <w:rsid w:val="001D1285"/>
    <w:rsid w:val="001D36FE"/>
    <w:rsid w:val="001D3D11"/>
    <w:rsid w:val="001D6EA9"/>
    <w:rsid w:val="001E6B45"/>
    <w:rsid w:val="001F3FF8"/>
    <w:rsid w:val="00203CB3"/>
    <w:rsid w:val="00203E3A"/>
    <w:rsid w:val="00231A10"/>
    <w:rsid w:val="002A5801"/>
    <w:rsid w:val="002B1D38"/>
    <w:rsid w:val="002B6565"/>
    <w:rsid w:val="002C027E"/>
    <w:rsid w:val="002C3FA0"/>
    <w:rsid w:val="002C57A1"/>
    <w:rsid w:val="00301F9A"/>
    <w:rsid w:val="00306EAB"/>
    <w:rsid w:val="003118F5"/>
    <w:rsid w:val="0032047C"/>
    <w:rsid w:val="003222A3"/>
    <w:rsid w:val="00326AB8"/>
    <w:rsid w:val="00333CB8"/>
    <w:rsid w:val="003414C5"/>
    <w:rsid w:val="00355B67"/>
    <w:rsid w:val="00361D0A"/>
    <w:rsid w:val="003818E0"/>
    <w:rsid w:val="00397398"/>
    <w:rsid w:val="003C0D2B"/>
    <w:rsid w:val="003C2DAF"/>
    <w:rsid w:val="003C4B1B"/>
    <w:rsid w:val="003D6887"/>
    <w:rsid w:val="003E08DC"/>
    <w:rsid w:val="003F032D"/>
    <w:rsid w:val="00411CDD"/>
    <w:rsid w:val="00416D5D"/>
    <w:rsid w:val="00417AFD"/>
    <w:rsid w:val="00432727"/>
    <w:rsid w:val="00437AA0"/>
    <w:rsid w:val="004673DF"/>
    <w:rsid w:val="00467FB1"/>
    <w:rsid w:val="004831F8"/>
    <w:rsid w:val="00490B32"/>
    <w:rsid w:val="00496114"/>
    <w:rsid w:val="004A0D28"/>
    <w:rsid w:val="004A740B"/>
    <w:rsid w:val="004B24C0"/>
    <w:rsid w:val="004B5007"/>
    <w:rsid w:val="004C00BA"/>
    <w:rsid w:val="004C1A8E"/>
    <w:rsid w:val="004C686D"/>
    <w:rsid w:val="004E530B"/>
    <w:rsid w:val="004F388E"/>
    <w:rsid w:val="00514CDC"/>
    <w:rsid w:val="00530BB6"/>
    <w:rsid w:val="00544369"/>
    <w:rsid w:val="00546882"/>
    <w:rsid w:val="00565479"/>
    <w:rsid w:val="00574B4E"/>
    <w:rsid w:val="00581330"/>
    <w:rsid w:val="005832AF"/>
    <w:rsid w:val="00586355"/>
    <w:rsid w:val="00596336"/>
    <w:rsid w:val="00602E38"/>
    <w:rsid w:val="006056EA"/>
    <w:rsid w:val="00636D91"/>
    <w:rsid w:val="00670D9E"/>
    <w:rsid w:val="00672A4A"/>
    <w:rsid w:val="00673E5B"/>
    <w:rsid w:val="00675391"/>
    <w:rsid w:val="00696F16"/>
    <w:rsid w:val="006A36A3"/>
    <w:rsid w:val="006F20CD"/>
    <w:rsid w:val="006F609F"/>
    <w:rsid w:val="0070518A"/>
    <w:rsid w:val="00705788"/>
    <w:rsid w:val="0071006E"/>
    <w:rsid w:val="00714A47"/>
    <w:rsid w:val="00723DAA"/>
    <w:rsid w:val="00771490"/>
    <w:rsid w:val="00787BA3"/>
    <w:rsid w:val="00791D98"/>
    <w:rsid w:val="007D3C6E"/>
    <w:rsid w:val="007D5D6E"/>
    <w:rsid w:val="007D7B93"/>
    <w:rsid w:val="007F08A9"/>
    <w:rsid w:val="008221A5"/>
    <w:rsid w:val="00824851"/>
    <w:rsid w:val="008338CD"/>
    <w:rsid w:val="00852036"/>
    <w:rsid w:val="00862C4F"/>
    <w:rsid w:val="0089018E"/>
    <w:rsid w:val="008A39AE"/>
    <w:rsid w:val="008A4BC4"/>
    <w:rsid w:val="008B0835"/>
    <w:rsid w:val="008B7EB0"/>
    <w:rsid w:val="008F26F4"/>
    <w:rsid w:val="008F28F7"/>
    <w:rsid w:val="009040E9"/>
    <w:rsid w:val="009127EC"/>
    <w:rsid w:val="009246B5"/>
    <w:rsid w:val="00925BB5"/>
    <w:rsid w:val="00930046"/>
    <w:rsid w:val="00933547"/>
    <w:rsid w:val="00946FB7"/>
    <w:rsid w:val="009538E9"/>
    <w:rsid w:val="00960B78"/>
    <w:rsid w:val="00976B43"/>
    <w:rsid w:val="00982E67"/>
    <w:rsid w:val="00987D93"/>
    <w:rsid w:val="009A3C76"/>
    <w:rsid w:val="009A3EDC"/>
    <w:rsid w:val="009B2DE1"/>
    <w:rsid w:val="00A01E1A"/>
    <w:rsid w:val="00A10116"/>
    <w:rsid w:val="00A3145D"/>
    <w:rsid w:val="00A33CB9"/>
    <w:rsid w:val="00A56C4D"/>
    <w:rsid w:val="00A672C8"/>
    <w:rsid w:val="00A71C81"/>
    <w:rsid w:val="00A726E9"/>
    <w:rsid w:val="00A75C52"/>
    <w:rsid w:val="00AA1248"/>
    <w:rsid w:val="00AB2485"/>
    <w:rsid w:val="00AB36B0"/>
    <w:rsid w:val="00AB4C62"/>
    <w:rsid w:val="00AF0149"/>
    <w:rsid w:val="00B1307D"/>
    <w:rsid w:val="00B16D18"/>
    <w:rsid w:val="00B20BB0"/>
    <w:rsid w:val="00B233B4"/>
    <w:rsid w:val="00B31E4B"/>
    <w:rsid w:val="00B542BD"/>
    <w:rsid w:val="00B6130D"/>
    <w:rsid w:val="00B945BD"/>
    <w:rsid w:val="00BA0D0E"/>
    <w:rsid w:val="00BC0BC0"/>
    <w:rsid w:val="00BE0FA0"/>
    <w:rsid w:val="00BE60DC"/>
    <w:rsid w:val="00C00FDC"/>
    <w:rsid w:val="00C26460"/>
    <w:rsid w:val="00C360C0"/>
    <w:rsid w:val="00C60CC5"/>
    <w:rsid w:val="00C62A94"/>
    <w:rsid w:val="00C666F4"/>
    <w:rsid w:val="00C93E79"/>
    <w:rsid w:val="00CA0328"/>
    <w:rsid w:val="00CA127A"/>
    <w:rsid w:val="00CB1F3C"/>
    <w:rsid w:val="00CC7F06"/>
    <w:rsid w:val="00CD20DF"/>
    <w:rsid w:val="00CE29C5"/>
    <w:rsid w:val="00CE63CA"/>
    <w:rsid w:val="00CF097F"/>
    <w:rsid w:val="00D0363B"/>
    <w:rsid w:val="00D32601"/>
    <w:rsid w:val="00D40FF7"/>
    <w:rsid w:val="00D545CE"/>
    <w:rsid w:val="00D921A5"/>
    <w:rsid w:val="00DA35C1"/>
    <w:rsid w:val="00DC12FB"/>
    <w:rsid w:val="00DC6ADF"/>
    <w:rsid w:val="00DE100B"/>
    <w:rsid w:val="00DF068C"/>
    <w:rsid w:val="00DF37BB"/>
    <w:rsid w:val="00E00E8E"/>
    <w:rsid w:val="00E133F3"/>
    <w:rsid w:val="00E260B1"/>
    <w:rsid w:val="00E31833"/>
    <w:rsid w:val="00E42C83"/>
    <w:rsid w:val="00E92FFE"/>
    <w:rsid w:val="00EB1BCE"/>
    <w:rsid w:val="00EB45B1"/>
    <w:rsid w:val="00EB5E67"/>
    <w:rsid w:val="00EE21F2"/>
    <w:rsid w:val="00F001FB"/>
    <w:rsid w:val="00F05556"/>
    <w:rsid w:val="00F205FF"/>
    <w:rsid w:val="00F2411F"/>
    <w:rsid w:val="00F503CB"/>
    <w:rsid w:val="00F51A70"/>
    <w:rsid w:val="00F73925"/>
    <w:rsid w:val="00F93531"/>
    <w:rsid w:val="00FA5526"/>
    <w:rsid w:val="00FC22D3"/>
    <w:rsid w:val="00FE69B5"/>
    <w:rsid w:val="00FE6BE9"/>
    <w:rsid w:val="00FF6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3766A"/>
  <w15:chartTrackingRefBased/>
  <w15:docId w15:val="{931C4668-6BE9-D743-B8B6-ECF8E4176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C22D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E100B"/>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BE0FA0"/>
    <w:rPr>
      <w:sz w:val="16"/>
      <w:szCs w:val="16"/>
    </w:rPr>
  </w:style>
  <w:style w:type="paragraph" w:styleId="CommentText">
    <w:name w:val="annotation text"/>
    <w:basedOn w:val="Normal"/>
    <w:link w:val="CommentTextChar"/>
    <w:uiPriority w:val="99"/>
    <w:semiHidden/>
    <w:unhideWhenUsed/>
    <w:rsid w:val="00BE0FA0"/>
    <w:rPr>
      <w:sz w:val="20"/>
      <w:szCs w:val="20"/>
    </w:rPr>
  </w:style>
  <w:style w:type="character" w:customStyle="1" w:styleId="CommentTextChar">
    <w:name w:val="Comment Text Char"/>
    <w:basedOn w:val="DefaultParagraphFont"/>
    <w:link w:val="CommentText"/>
    <w:uiPriority w:val="99"/>
    <w:semiHidden/>
    <w:rsid w:val="00BE0FA0"/>
    <w:rPr>
      <w:sz w:val="20"/>
      <w:szCs w:val="20"/>
    </w:rPr>
  </w:style>
  <w:style w:type="paragraph" w:styleId="CommentSubject">
    <w:name w:val="annotation subject"/>
    <w:basedOn w:val="CommentText"/>
    <w:next w:val="CommentText"/>
    <w:link w:val="CommentSubjectChar"/>
    <w:uiPriority w:val="99"/>
    <w:semiHidden/>
    <w:unhideWhenUsed/>
    <w:rsid w:val="00BE0FA0"/>
    <w:rPr>
      <w:b/>
      <w:bCs/>
    </w:rPr>
  </w:style>
  <w:style w:type="character" w:customStyle="1" w:styleId="CommentSubjectChar">
    <w:name w:val="Comment Subject Char"/>
    <w:basedOn w:val="CommentTextChar"/>
    <w:link w:val="CommentSubject"/>
    <w:uiPriority w:val="99"/>
    <w:semiHidden/>
    <w:rsid w:val="00BE0FA0"/>
    <w:rPr>
      <w:b/>
      <w:bCs/>
      <w:sz w:val="20"/>
      <w:szCs w:val="20"/>
    </w:rPr>
  </w:style>
  <w:style w:type="paragraph" w:styleId="BalloonText">
    <w:name w:val="Balloon Text"/>
    <w:basedOn w:val="Normal"/>
    <w:link w:val="BalloonTextChar"/>
    <w:uiPriority w:val="99"/>
    <w:semiHidden/>
    <w:unhideWhenUsed/>
    <w:rsid w:val="00BE0F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0FA0"/>
    <w:rPr>
      <w:rFonts w:ascii="Times New Roman" w:hAnsi="Times New Roman" w:cs="Times New Roman"/>
      <w:sz w:val="18"/>
      <w:szCs w:val="18"/>
    </w:rPr>
  </w:style>
  <w:style w:type="character" w:styleId="PlaceholderText">
    <w:name w:val="Placeholder Text"/>
    <w:basedOn w:val="DefaultParagraphFont"/>
    <w:uiPriority w:val="99"/>
    <w:semiHidden/>
    <w:rsid w:val="001331C7"/>
    <w:rPr>
      <w:color w:val="808080"/>
    </w:rPr>
  </w:style>
  <w:style w:type="character" w:customStyle="1" w:styleId="Heading3Char">
    <w:name w:val="Heading 3 Char"/>
    <w:basedOn w:val="DefaultParagraphFont"/>
    <w:link w:val="Heading3"/>
    <w:uiPriority w:val="9"/>
    <w:semiHidden/>
    <w:rsid w:val="00FC22D3"/>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FC22D3"/>
    <w:pPr>
      <w:spacing w:before="100" w:beforeAutospacing="1" w:after="100" w:afterAutospacing="1"/>
    </w:pPr>
    <w:rPr>
      <w:rFonts w:ascii="Times New Roman" w:eastAsia="Times New Roman" w:hAnsi="Times New Roman" w:cs="Times New Roman"/>
    </w:rPr>
  </w:style>
  <w:style w:type="character" w:customStyle="1" w:styleId="inlinewidgetcontainer">
    <w:name w:val="inlinewidgetcontainer"/>
    <w:basedOn w:val="DefaultParagraphFont"/>
    <w:rsid w:val="00FC22D3"/>
  </w:style>
  <w:style w:type="character" w:styleId="Hyperlink">
    <w:name w:val="Hyperlink"/>
    <w:basedOn w:val="DefaultParagraphFont"/>
    <w:uiPriority w:val="99"/>
    <w:unhideWhenUsed/>
    <w:rsid w:val="00FC22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eurekaselect.com/99959/article" TargetMode="Externa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hyperlink" Target="http://www.eurekaselect.com/99957/article"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A0AC4-6E33-B345-AA77-B8BCA0690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Jingjing Yang</dc:creator>
  <cp:keywords/>
  <dc:description/>
  <cp:lastModifiedBy>Jingjing Yang</cp:lastModifiedBy>
  <cp:revision>118</cp:revision>
  <dcterms:created xsi:type="dcterms:W3CDTF">2020-01-13T16:22:00Z</dcterms:created>
  <dcterms:modified xsi:type="dcterms:W3CDTF">2020-01-15T20:29:00Z</dcterms:modified>
</cp:coreProperties>
</file>