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Calibri" w:hAnsi="Calibri"/>
          <w:b/>
          <w:color w:val="1F497D"/>
          <w:sz w:val="44"/>
        </w:rPr>
        <w:t>Backend Rewrite — Technical Rationale and Scope</w:t>
      </w:r>
    </w:p>
    <w:p>
      <w:pPr>
        <w:spacing w:after="40"/>
      </w:pPr>
      <w:r>
        <w:rPr>
          <w:rFonts w:ascii="Calibri" w:hAnsi="Calibri"/>
          <w:b/>
          <w:i w:val="0"/>
          <w:color w:val="404040"/>
          <w:sz w:val="20"/>
        </w:rPr>
        <w:t xml:space="preserve">Author: </w:t>
      </w:r>
      <w:r>
        <w:rPr>
          <w:rFonts w:ascii="Calibri" w:hAnsi="Calibri"/>
          <w:b w:val="0"/>
          <w:i w:val="0"/>
          <w:color w:val="404040"/>
          <w:sz w:val="20"/>
        </w:rPr>
        <w:t>James Chen</w:t>
      </w:r>
    </w:p>
    <w:p>
      <w:pPr>
        <w:spacing w:after="40"/>
      </w:pPr>
      <w:r>
        <w:rPr>
          <w:rFonts w:ascii="Calibri" w:hAnsi="Calibri"/>
          <w:b/>
          <w:i w:val="0"/>
          <w:color w:val="404040"/>
          <w:sz w:val="20"/>
        </w:rPr>
        <w:t xml:space="preserve">Date: </w:t>
      </w:r>
      <w:r>
        <w:rPr>
          <w:rFonts w:ascii="Calibri" w:hAnsi="Calibri"/>
          <w:b w:val="0"/>
          <w:i w:val="0"/>
          <w:color w:val="404040"/>
          <w:sz w:val="20"/>
        </w:rPr>
        <w:t>2026-06-11</w:t>
      </w:r>
    </w:p>
    <w:p>
      <w:pPr>
        <w:spacing w:after="40"/>
      </w:pPr>
      <w:r>
        <w:rPr>
          <w:rFonts w:ascii="Calibri" w:hAnsi="Calibri"/>
          <w:b/>
          <w:i w:val="0"/>
          <w:color w:val="404040"/>
          <w:sz w:val="20"/>
        </w:rPr>
        <w:t xml:space="preserve">Audience: </w:t>
      </w:r>
      <w:r>
        <w:rPr>
          <w:rFonts w:ascii="Calibri" w:hAnsi="Calibri"/>
          <w:b w:val="0"/>
          <w:i w:val="0"/>
          <w:color w:val="404040"/>
          <w:sz w:val="20"/>
        </w:rPr>
        <w:t>Engineers, technical reviewers</w:t>
      </w:r>
    </w:p>
    <w:p>
      <w:pPr>
        <w:spacing w:after="40"/>
      </w:pPr>
      <w:r>
        <w:rPr>
          <w:rFonts w:ascii="Calibri" w:hAnsi="Calibri"/>
          <w:b/>
          <w:i w:val="0"/>
          <w:color w:val="404040"/>
          <w:sz w:val="20"/>
        </w:rPr>
        <w:t xml:space="preserve">Branch: </w:t>
      </w:r>
      <w:r>
        <w:rPr>
          <w:rFonts w:ascii="Calibri" w:hAnsi="Calibri"/>
          <w:b w:val="0"/>
          <w:i w:val="0"/>
          <w:color w:val="404040"/>
          <w:sz w:val="20"/>
        </w:rPr>
        <w:t>backend_unit</w:t>
      </w:r>
    </w:p>
    <w:p>
      <w:pPr>
        <w:pBdr>
          <w:bottom w:val="single" w:sz="6" w:space="1" w:color="CCCCCC"/>
        </w:pBdr>
        <w:spacing w:before="40" w:after="40"/>
      </w:pPr>
    </w:p>
    <w:p>
      <w:pPr>
        <w:pStyle w:val="Heading1"/>
        <w:spacing w:before="280" w:after="80"/>
      </w:pPr>
      <w:r>
        <w:rPr>
          <w:rFonts w:ascii="Calibri" w:hAnsi="Calibri"/>
          <w:color w:val="1F497D"/>
          <w:sz w:val="36"/>
        </w:rPr>
        <w:t>1. Situation</w:t>
      </w:r>
    </w:p>
    <w:p>
      <w:pPr>
        <w:spacing w:after="120" w:before="0"/>
      </w:pPr>
      <w:r>
        <w:rPr>
          <w:rFonts w:ascii="Calibri" w:hAnsi="Calibri"/>
          <w:b w:val="0"/>
          <w:i w:val="0"/>
          <w:sz w:val="22"/>
        </w:rPr>
        <w:t xml:space="preserve">A full static code analysis and multi-session audit of the </w:t>
      </w:r>
      <w:r>
        <w:rPr>
          <w:rFonts w:ascii="Courier New" w:hAnsi="Courier New"/>
          <w:b w:val="0"/>
          <w:i w:val="0"/>
          <w:sz w:val="19"/>
        </w:rPr>
        <w:t>gcaimh-ther-assist</w:t>
      </w:r>
      <w:r>
        <w:rPr>
          <w:rFonts w:ascii="Calibri" w:hAnsi="Calibri"/>
          <w:b w:val="0"/>
          <w:i w:val="0"/>
          <w:sz w:val="22"/>
        </w:rPr>
        <w:t xml:space="preserve"> backend was completed in early June 2026. The codebase is substantially more feature-complete than most early-stage projects of comparable age, and it served its intended purpose well: it enabled functioning demonstrations and provided a concrete foundation for clinical stakeholder feedback at a phase where iteration speed mattered more than architectural stability. The development model — AI-assisted code generation with aggressive feature delivery — was a reasonable response to those constraints.</w:t>
      </w:r>
    </w:p>
    <w:p>
      <w:pPr>
        <w:spacing w:after="120" w:before="0"/>
      </w:pPr>
      <w:r>
        <w:rPr>
          <w:rFonts w:ascii="Calibri" w:hAnsi="Calibri"/>
          <w:b w:val="0"/>
          <w:i w:val="0"/>
          <w:sz w:val="22"/>
        </w:rPr>
        <w:t>However, that model front-loads delivery velocity at the cost of structural coherence. The resulting accumulation of technical debt has reached a threshold where targeted rewrite of the backend core delivers better expected return than continued incremental patching. Specifically: the codebase contains multiple independent defects that each require understanding adjacent code to fix safely, a corpus that is structured incorrectly for its purpose, and feature scope that has never been confirmed against the clinical requirements it is meant to serve. The findings below describe the specific issues and the focused four-week project designed to address them.</w:t>
      </w:r>
    </w:p>
    <w:p>
      <w:pPr>
        <w:pStyle w:val="Heading1"/>
        <w:spacing w:before="280" w:after="80"/>
      </w:pPr>
      <w:r>
        <w:rPr>
          <w:rFonts w:ascii="Calibri" w:hAnsi="Calibri"/>
          <w:color w:val="1F497D"/>
          <w:sz w:val="36"/>
        </w:rPr>
        <w:t>2. Technical Findings</w:t>
      </w:r>
    </w:p>
    <w:p>
      <w:pPr>
        <w:pStyle w:val="Heading2"/>
        <w:spacing w:before="200" w:after="80"/>
      </w:pPr>
      <w:r>
        <w:rPr>
          <w:rFonts w:ascii="Calibri" w:hAnsi="Calibri"/>
          <w:color w:val="2E74B5"/>
          <w:sz w:val="28"/>
        </w:rPr>
        <w:t>2.1  Corpus and RAG Infrastructure</w:t>
      </w:r>
    </w:p>
    <w:p>
      <w:pPr>
        <w:spacing w:after="120" w:before="0"/>
      </w:pPr>
      <w:r>
        <w:rPr>
          <w:rFonts w:ascii="Calibri" w:hAnsi="Calibri"/>
          <w:b w:val="0"/>
          <w:i w:val="0"/>
          <w:sz w:val="22"/>
        </w:rPr>
        <w:t>The five Vertex AI Search datastores (</w:t>
      </w:r>
      <w:r>
        <w:rPr>
          <w:rFonts w:ascii="Courier New" w:hAnsi="Courier New"/>
          <w:b w:val="0"/>
          <w:i w:val="0"/>
          <w:sz w:val="19"/>
        </w:rPr>
        <w:t>ebt-corpus</w:t>
      </w:r>
      <w:r>
        <w:rPr>
          <w:rFonts w:ascii="Calibri" w:hAnsi="Calibri"/>
          <w:b w:val="0"/>
          <w:i w:val="0"/>
          <w:sz w:val="22"/>
        </w:rPr>
        <w:t xml:space="preserve">, </w:t>
      </w:r>
      <w:r>
        <w:rPr>
          <w:rFonts w:ascii="Courier New" w:hAnsi="Courier New"/>
          <w:b w:val="0"/>
          <w:i w:val="0"/>
          <w:sz w:val="19"/>
        </w:rPr>
        <w:t>safety-crisis</w:t>
      </w:r>
      <w:r>
        <w:rPr>
          <w:rFonts w:ascii="Calibri" w:hAnsi="Calibri"/>
          <w:b w:val="0"/>
          <w:i w:val="0"/>
          <w:sz w:val="22"/>
        </w:rPr>
        <w:t xml:space="preserve">, </w:t>
      </w:r>
      <w:r>
        <w:rPr>
          <w:rFonts w:ascii="Courier New" w:hAnsi="Courier New"/>
          <w:b w:val="0"/>
          <w:i w:val="0"/>
          <w:sz w:val="19"/>
        </w:rPr>
        <w:t>cbt-corpus+ba-corpus</w:t>
      </w:r>
      <w:r>
        <w:rPr>
          <w:rFonts w:ascii="Calibri" w:hAnsi="Calibri"/>
          <w:b w:val="0"/>
          <w:i w:val="0"/>
          <w:sz w:val="22"/>
        </w:rPr>
        <w:t xml:space="preserve">, </w:t>
      </w:r>
      <w:r>
        <w:rPr>
          <w:rFonts w:ascii="Courier New" w:hAnsi="Courier New"/>
          <w:b w:val="0"/>
          <w:i w:val="0"/>
          <w:sz w:val="19"/>
        </w:rPr>
        <w:t>dbt-corpus</w:t>
      </w:r>
      <w:r>
        <w:rPr>
          <w:rFonts w:ascii="Calibri" w:hAnsi="Calibri"/>
          <w:b w:val="0"/>
          <w:i w:val="0"/>
          <w:sz w:val="22"/>
        </w:rPr>
        <w:t xml:space="preserve">, </w:t>
      </w:r>
      <w:r>
        <w:rPr>
          <w:rFonts w:ascii="Courier New" w:hAnsi="Courier New"/>
          <w:b w:val="0"/>
          <w:i w:val="0"/>
          <w:sz w:val="19"/>
        </w:rPr>
        <w:t>ipt-corpus</w:t>
      </w:r>
      <w:r>
        <w:rPr>
          <w:rFonts w:ascii="Calibri" w:hAnsi="Calibri"/>
          <w:b w:val="0"/>
          <w:i w:val="0"/>
          <w:sz w:val="22"/>
        </w:rPr>
        <w:t>) were configured with static ingestion scripts and a fixed set of PDFs. Two separate problems compound each other.</w:t>
      </w:r>
    </w:p>
    <w:p>
      <w:pPr>
        <w:spacing w:after="120" w:before="0"/>
      </w:pPr>
      <w:r>
        <w:rPr>
          <w:rFonts w:ascii="Calibri" w:hAnsi="Calibri"/>
          <w:b w:val="0"/>
          <w:i w:val="0"/>
          <w:sz w:val="22"/>
        </w:rPr>
      </w:r>
      <w:r>
        <w:rPr>
          <w:rFonts w:ascii="Calibri" w:hAnsi="Calibri"/>
          <w:b/>
          <w:i w:val="0"/>
          <w:sz w:val="22"/>
        </w:rPr>
        <w:t>Content curation problem.</w:t>
      </w:r>
      <w:r>
        <w:rPr>
          <w:rFonts w:ascii="Calibri" w:hAnsi="Calibri"/>
          <w:b w:val="0"/>
          <w:i w:val="0"/>
          <w:sz w:val="22"/>
        </w:rPr>
        <w:t xml:space="preserve">  The majority of PDFs loaded into the modality-specific corpora are randomized controlled trial papers and efficacy comparison studies — e.g., "CBT is more effective than IPT for Major Depressive Disorder in adults." This content answers the wrong question. During a live session, the RAG query is looking for </w:t>
      </w:r>
      <w:r>
        <w:rPr>
          <w:rFonts w:ascii="Calibri" w:hAnsi="Calibri"/>
          <w:b w:val="0"/>
          <w:i/>
          <w:sz w:val="22"/>
        </w:rPr>
        <w:t>how to execute a technique</w:t>
      </w:r>
      <w:r>
        <w:rPr>
          <w:rFonts w:ascii="Calibri" w:hAnsi="Calibri"/>
          <w:b w:val="0"/>
          <w:i w:val="0"/>
          <w:sz w:val="22"/>
        </w:rPr>
        <w:t xml:space="preserve"> — the cognitive restructuring steps, the behavioral activation scheduling protocol, the safety plan template. RCT abstracts contain no procedural content. They will either return zero useful passages or return statistical findings that the model has no clinical use for in a realtime guidance context. The corpus needs to be rebuilt from technique manuals, session guides, and clinical protocols.</w:t>
      </w:r>
    </w:p>
    <w:p>
      <w:pPr>
        <w:spacing w:after="120" w:before="0"/>
      </w:pPr>
      <w:r>
        <w:rPr>
          <w:rFonts w:ascii="Calibri" w:hAnsi="Calibri"/>
          <w:b w:val="0"/>
          <w:i w:val="0"/>
          <w:sz w:val="22"/>
        </w:rPr>
      </w:r>
      <w:r>
        <w:rPr>
          <w:rFonts w:ascii="Calibri" w:hAnsi="Calibri"/>
          <w:b/>
          <w:i w:val="0"/>
          <w:sz w:val="22"/>
        </w:rPr>
        <w:t>Indexing and metadata problem.</w:t>
      </w:r>
      <w:r>
        <w:rPr>
          <w:rFonts w:ascii="Calibri" w:hAnsi="Calibri"/>
          <w:b w:val="0"/>
          <w:i w:val="0"/>
          <w:sz w:val="22"/>
        </w:rPr>
        <w:t xml:space="preserve">  The setup scripts used Vertex AI's layout-aware PDF chunking with default metadata fields. Therapy manuals are structured around techniques, modalities, and session phases — none of which are captured in the default metadata schema. As a result, a query for "grounding exercise for dissociation" matches on keyword overlap across chunks rather than on semantically tagged technique type. This produces retrieval noise and inconsistent citation provenance. The metadata schema needs to be redesigned before re-ingestion, not after.</w:t>
      </w:r>
    </w:p>
    <w:p>
      <w:pPr>
        <w:spacing w:after="120" w:before="0"/>
      </w:pPr>
      <w:r>
        <w:rPr>
          <w:rFonts w:ascii="Calibri" w:hAnsi="Calibri"/>
          <w:b w:val="0"/>
          <w:i w:val="0"/>
          <w:sz w:val="22"/>
        </w:rPr>
      </w:r>
      <w:r>
        <w:rPr>
          <w:rFonts w:ascii="Calibri" w:hAnsi="Calibri"/>
          <w:b/>
          <w:i w:val="0"/>
          <w:sz w:val="22"/>
        </w:rPr>
        <w:t>Ingestion verification gap.</w:t>
      </w:r>
      <w:r>
        <w:rPr>
          <w:rFonts w:ascii="Calibri" w:hAnsi="Calibri"/>
          <w:b w:val="0"/>
          <w:i w:val="0"/>
          <w:sz w:val="22"/>
        </w:rPr>
        <w:t xml:space="preserve">  The existing test suite (</w:t>
      </w:r>
      <w:r>
        <w:rPr>
          <w:rFonts w:ascii="Courier New" w:hAnsi="Courier New"/>
          <w:b w:val="0"/>
          <w:i w:val="0"/>
          <w:sz w:val="19"/>
        </w:rPr>
        <w:t>test_datastores</w:t>
      </w:r>
      <w:r>
        <w:rPr>
          <w:rFonts w:ascii="Calibri" w:hAnsi="Calibri"/>
          <w:b w:val="0"/>
          <w:i w:val="0"/>
          <w:sz w:val="22"/>
        </w:rPr>
        <w:t xml:space="preserve"> in </w:t>
      </w:r>
      <w:r>
        <w:rPr>
          <w:rFonts w:ascii="Courier New" w:hAnsi="Courier New"/>
          <w:b w:val="0"/>
          <w:i w:val="0"/>
          <w:sz w:val="19"/>
        </w:rPr>
        <w:t>test_phase1_e2e.py</w:t>
      </w:r>
      <w:r>
        <w:rPr>
          <w:rFonts w:ascii="Calibri" w:hAnsi="Calibri"/>
          <w:b w:val="0"/>
          <w:i w:val="0"/>
          <w:sz w:val="22"/>
        </w:rPr>
        <w:t xml:space="preserve">) confirms only that a datastore returns </w:t>
      </w:r>
      <w:r>
        <w:rPr>
          <w:rFonts w:ascii="Calibri" w:hAnsi="Calibri"/>
          <w:b w:val="0"/>
          <w:i/>
          <w:sz w:val="22"/>
        </w:rPr>
        <w:t>a</w:t>
      </w:r>
      <w:r>
        <w:rPr>
          <w:rFonts w:ascii="Calibri" w:hAnsi="Calibri"/>
          <w:b w:val="0"/>
          <w:i w:val="0"/>
          <w:sz w:val="22"/>
        </w:rPr>
        <w:t xml:space="preserve"> response. It does not verify that </w:t>
      </w:r>
      <w:r>
        <w:rPr>
          <w:rFonts w:ascii="Courier New" w:hAnsi="Courier New"/>
          <w:b w:val="0"/>
          <w:i w:val="0"/>
          <w:sz w:val="19"/>
        </w:rPr>
        <w:t>grounding_chunks</w:t>
      </w:r>
      <w:r>
        <w:rPr>
          <w:rFonts w:ascii="Calibri" w:hAnsi="Calibri"/>
          <w:b w:val="0"/>
          <w:i w:val="0"/>
          <w:sz w:val="22"/>
        </w:rPr>
        <w:t xml:space="preserve"> contain passages from the expected source PDFs. A datastore that was created but not populated passes this test. There is no runtime check — if RAG returns zero chunks, the LLM generates guidance from training data alone with no warning surfaced to the system log or the frontend.</w:t>
      </w:r>
    </w:p>
    <w:p>
      <w:pPr>
        <w:spacing w:after="120" w:before="0"/>
      </w:pPr>
      <w:r>
        <w:rPr>
          <w:rFonts w:ascii="Calibri" w:hAnsi="Calibri"/>
          <w:b w:val="0"/>
          <w:i w:val="0"/>
          <w:sz w:val="22"/>
        </w:rPr>
      </w:r>
      <w:r>
        <w:rPr>
          <w:rFonts w:ascii="Calibri" w:hAnsi="Calibri"/>
          <w:b/>
          <w:i w:val="0"/>
          <w:sz w:val="22"/>
        </w:rPr>
        <w:t>Forward-looking design.</w:t>
      </w:r>
      <w:r>
        <w:rPr>
          <w:rFonts w:ascii="Calibri" w:hAnsi="Calibri"/>
          <w:b w:val="0"/>
          <w:i w:val="0"/>
          <w:sz w:val="22"/>
        </w:rPr>
        <w:t xml:space="preserve">  Corpus curation will arrive in sporadic batches. The current design requires a manual re-run of static ingestion scripts per addition. A redesign should treat ingestion as a first-class API operation: upload a document with typed metadata, trigger chunking, validate retrieval before committing. This is a prerequisite for sustainable corpus management.</w:t>
      </w:r>
    </w:p>
    <w:p>
      <w:pPr>
        <w:pStyle w:val="Heading2"/>
        <w:spacing w:before="200" w:after="80"/>
      </w:pPr>
      <w:r>
        <w:rPr>
          <w:rFonts w:ascii="Calibri" w:hAnsi="Calibri"/>
          <w:color w:val="2E74B5"/>
          <w:sz w:val="28"/>
        </w:rPr>
        <w:t>2.2  Code Complexity and Auditability</w:t>
      </w:r>
    </w:p>
    <w:p>
      <w:pPr>
        <w:spacing w:after="120" w:before="0"/>
      </w:pPr>
      <w:r>
        <w:rPr>
          <w:rFonts w:ascii="Calibri" w:hAnsi="Calibri"/>
          <w:b w:val="0"/>
          <w:i w:val="0"/>
          <w:sz w:val="22"/>
        </w:rPr>
      </w:r>
      <w:r>
        <w:rPr>
          <w:rFonts w:ascii="Courier New" w:hAnsi="Courier New"/>
          <w:b w:val="0"/>
          <w:i w:val="0"/>
          <w:sz w:val="19"/>
        </w:rPr>
        <w:t>therapy-analysis-function/main.py</w:t>
      </w:r>
      <w:r>
        <w:rPr>
          <w:rFonts w:ascii="Calibri" w:hAnsi="Calibri"/>
          <w:b w:val="0"/>
          <w:i w:val="0"/>
          <w:sz w:val="22"/>
        </w:rPr>
        <w:t xml:space="preserve"> measures at </w:t>
      </w:r>
      <w:r>
        <w:rPr>
          <w:rFonts w:ascii="Calibri" w:hAnsi="Calibri"/>
          <w:b/>
          <w:i w:val="0"/>
          <w:sz w:val="22"/>
        </w:rPr>
        <w:t>1,433–1,660 SLOC</w:t>
      </w:r>
      <w:r>
        <w:rPr>
          <w:rFonts w:ascii="Calibri" w:hAnsi="Calibri"/>
          <w:b w:val="0"/>
          <w:i w:val="0"/>
          <w:sz w:val="22"/>
        </w:rPr>
        <w:t xml:space="preserve"> with a </w:t>
      </w:r>
      <w:r>
        <w:rPr>
          <w:rFonts w:ascii="Calibri" w:hAnsi="Calibri"/>
          <w:b/>
          <w:i w:val="0"/>
          <w:sz w:val="22"/>
        </w:rPr>
        <w:t>cyclomatic complexity of 174</w:t>
      </w:r>
      <w:r>
        <w:rPr>
          <w:rFonts w:ascii="Calibri" w:hAnsi="Calibri"/>
          <w:b w:val="0"/>
          <w:i w:val="0"/>
          <w:sz w:val="22"/>
        </w:rPr>
        <w:t xml:space="preserve">. Industry heuristics flag CC &gt; 50 for a single file as requiring dedicated specialist review, and CC &gt; 100 as indicating an architecture that has grown past the point of safe iterative modification. At CC=174, the risk of an unintended interaction between a patch and an unexercised code path is not theoretical. </w:t>
      </w:r>
      <w:r>
        <w:rPr>
          <w:rFonts w:ascii="Courier New" w:hAnsi="Courier New"/>
          <w:b w:val="0"/>
          <w:i w:val="0"/>
          <w:sz w:val="19"/>
        </w:rPr>
        <w:t>streaming-transcription-service/main.py</w:t>
      </w:r>
      <w:r>
        <w:rPr>
          <w:rFonts w:ascii="Calibri" w:hAnsi="Calibri"/>
          <w:b w:val="0"/>
          <w:i w:val="0"/>
          <w:sz w:val="22"/>
        </w:rPr>
        <w:t xml:space="preserve"> is CC=107 at 636 SLOC.</w:t>
      </w:r>
    </w:p>
    <w:p>
      <w:pPr>
        <w:spacing w:after="120" w:before="0"/>
      </w:pPr>
      <w:r>
        <w:rPr>
          <w:rFonts w:ascii="Calibri" w:hAnsi="Calibri"/>
          <w:b w:val="0"/>
          <w:i w:val="0"/>
          <w:sz w:val="22"/>
        </w:rPr>
        <w:t>The git history shows multiple commits touching 1,000+ lines across multiple files and multiple features simultaneously. This is a predictable consequence of AI-assisted feature development — the generation unit is the feature, not the function. The practical consequence is that ownership attribution and regression analysis are difficult: it is not possible to answer the question "did this commit change the behavior of the safety scanner?" without reading the entire diff.</w:t>
      </w:r>
    </w:p>
    <w:p>
      <w:pPr>
        <w:spacing w:after="120" w:before="0"/>
      </w:pPr>
      <w:r>
        <w:rPr>
          <w:rFonts w:ascii="Calibri" w:hAnsi="Calibri"/>
          <w:b w:val="0"/>
          <w:i w:val="0"/>
          <w:sz w:val="22"/>
        </w:rPr>
        <w:t xml:space="preserve">There are also function stubs and complete implementations for features that were never approved: a fine-tuning pipeline, a multi-session Vertex AI agent, and a comparative study harness covering five LLM providers. Notably, the multi-session agent reads from a </w:t>
      </w:r>
      <w:r>
        <w:rPr>
          <w:rFonts w:ascii="Courier New" w:hAnsi="Courier New"/>
          <w:b w:val="0"/>
          <w:i w:val="0"/>
          <w:sz w:val="19"/>
        </w:rPr>
        <w:t>session_summaries</w:t>
      </w:r>
      <w:r>
        <w:rPr>
          <w:rFonts w:ascii="Calibri" w:hAnsi="Calibri"/>
          <w:b w:val="0"/>
          <w:i w:val="0"/>
          <w:sz w:val="22"/>
        </w:rPr>
        <w:t xml:space="preserve"> Firestore collection while the production code writes to </w:t>
      </w:r>
      <w:r>
        <w:rPr>
          <w:rFonts w:ascii="Courier New" w:hAnsi="Courier New"/>
          <w:b w:val="0"/>
          <w:i w:val="0"/>
          <w:sz w:val="19"/>
        </w:rPr>
        <w:t>sessions</w:t>
      </w:r>
      <w:r>
        <w:rPr>
          <w:rFonts w:ascii="Calibri" w:hAnsi="Calibri"/>
          <w:b w:val="0"/>
          <w:i w:val="0"/>
          <w:sz w:val="22"/>
        </w:rPr>
        <w:t xml:space="preserve"> — if the agent were ever deployed it would silently return empty history.</w:t>
      </w:r>
    </w:p>
    <w:p>
      <w:pPr>
        <w:pStyle w:val="Heading2"/>
        <w:spacing w:before="200" w:after="80"/>
      </w:pPr>
      <w:r>
        <w:rPr>
          <w:rFonts w:ascii="Calibri" w:hAnsi="Calibri"/>
          <w:color w:val="2E74B5"/>
          <w:sz w:val="28"/>
        </w:rPr>
        <w:t>2.3  Specific Design Defects</w:t>
      </w:r>
    </w:p>
    <w:p>
      <w:pPr>
        <w:spacing w:after="120" w:before="0"/>
      </w:pPr>
      <w:r>
        <w:rPr>
          <w:rFonts w:ascii="Calibri" w:hAnsi="Calibri"/>
          <w:b w:val="0"/>
          <w:i w:val="0"/>
          <w:sz w:val="22"/>
        </w:rPr>
        <w:t xml:space="preserve">The following defects were identified during a </w:t>
      </w:r>
      <w:r>
        <w:rPr>
          <w:rFonts w:ascii="Calibri" w:hAnsi="Calibri"/>
          <w:b w:val="0"/>
          <w:i/>
          <w:sz w:val="22"/>
        </w:rPr>
        <w:t>preliminary</w:t>
      </w:r>
      <w:r>
        <w:rPr>
          <w:rFonts w:ascii="Calibri" w:hAnsi="Calibri"/>
          <w:b w:val="0"/>
          <w:i w:val="0"/>
          <w:sz w:val="22"/>
        </w:rPr>
        <w:t xml:space="preserve"> code review of the core backend services. Several files, particularly in the portal layer and frontend, were read at summary depth only. The issues below are representative symptoms of a codebase that accumulated faster than it was audited — not a complete inventory. A full review would likely surface additional issues in areas that received less attention.</w:t>
      </w:r>
    </w:p>
    <w:p>
      <w:pPr>
        <w:spacing w:after="120" w:before="0"/>
      </w:pPr>
      <w:r>
        <w:rPr>
          <w:rFonts w:ascii="Calibri" w:hAnsi="Calibri"/>
          <w:b w:val="0"/>
          <w:i w:val="0"/>
          <w:sz w:val="22"/>
        </w:rPr>
      </w:r>
      <w:r>
        <w:rPr>
          <w:rFonts w:ascii="Calibri" w:hAnsi="Calibri"/>
          <w:b/>
          <w:i w:val="0"/>
          <w:sz w:val="22"/>
        </w:rPr>
        <w:t>Both caching systems deliver zero benefit in production.</w:t>
      </w:r>
      <w:r>
        <w:rPr>
          <w:rFonts w:ascii="Calibri" w:hAnsi="Calibri"/>
          <w:b w:val="0"/>
          <w:i w:val="0"/>
          <w:sz w:val="22"/>
        </w:rPr>
      </w:r>
    </w:p>
    <w:p>
      <w:pPr>
        <w:pStyle w:val="ListBullet"/>
        <w:spacing w:after="60" w:before="0"/>
        <w:ind w:left="360"/>
      </w:pPr>
      <w:r>
        <w:rPr>
          <w:rFonts w:ascii="Calibri" w:hAnsi="Calibri"/>
          <w:b w:val="0"/>
          <w:i w:val="0"/>
          <w:sz w:val="22"/>
        </w:rPr>
      </w:r>
      <w:r>
        <w:rPr>
          <w:rFonts w:ascii="Calibri" w:hAnsi="Calibri"/>
          <w:b/>
          <w:i w:val="0"/>
          <w:sz w:val="22"/>
        </w:rPr>
        <w:t>Gemini context cache (comprehensive path):</w:t>
      </w:r>
      <w:r>
        <w:rPr>
          <w:rFonts w:ascii="Calibri" w:hAnsi="Calibri"/>
          <w:b w:val="0"/>
          <w:i w:val="0"/>
          <w:sz w:val="22"/>
        </w:rPr>
        <w:t xml:space="preserve"> </w:t>
      </w:r>
      <w:r>
        <w:rPr>
          <w:rFonts w:ascii="Courier New" w:hAnsi="Courier New"/>
          <w:b w:val="0"/>
          <w:i w:val="0"/>
          <w:sz w:val="19"/>
        </w:rPr>
        <w:t>_get_or_refresh_cached_content()</w:t>
      </w:r>
      <w:r>
        <w:rPr>
          <w:rFonts w:ascii="Calibri" w:hAnsi="Calibri"/>
          <w:b w:val="0"/>
          <w:i w:val="0"/>
          <w:sz w:val="22"/>
        </w:rPr>
        <w:t xml:space="preserve"> is never called. Line 1375 reads: </w:t>
      </w:r>
      <w:r>
        <w:rPr>
          <w:rFonts w:ascii="Courier New" w:hAnsi="Courier New"/>
          <w:b w:val="0"/>
          <w:i w:val="0"/>
          <w:sz w:val="19"/>
        </w:rPr>
        <w:t>cached_content_name = None if rag_tools else _get_or_refresh_cached_content()</w:t>
      </w:r>
      <w:r>
        <w:rPr>
          <w:rFonts w:ascii="Calibri" w:hAnsi="Calibri"/>
          <w:b w:val="0"/>
          <w:i w:val="0"/>
          <w:sz w:val="22"/>
        </w:rPr>
        <w:t xml:space="preserve">. Because </w:t>
      </w:r>
      <w:r>
        <w:rPr>
          <w:rFonts w:ascii="Courier New" w:hAnsi="Courier New"/>
          <w:b w:val="0"/>
          <w:i w:val="0"/>
          <w:sz w:val="19"/>
        </w:rPr>
        <w:t>rag_tools</w:t>
      </w:r>
      <w:r>
        <w:rPr>
          <w:rFonts w:ascii="Calibri" w:hAnsi="Calibri"/>
          <w:b w:val="0"/>
          <w:i w:val="0"/>
          <w:sz w:val="22"/>
        </w:rPr>
        <w:t xml:space="preserve"> is always non-empty (the Gemini API prohibits </w:t>
      </w:r>
      <w:r>
        <w:rPr>
          <w:rFonts w:ascii="Courier New" w:hAnsi="Courier New"/>
          <w:b w:val="0"/>
          <w:i w:val="0"/>
          <w:sz w:val="19"/>
        </w:rPr>
        <w:t>tools</w:t>
      </w:r>
      <w:r>
        <w:rPr>
          <w:rFonts w:ascii="Calibri" w:hAnsi="Calibri"/>
          <w:b w:val="0"/>
          <w:i w:val="0"/>
          <w:sz w:val="22"/>
        </w:rPr>
        <w:t xml:space="preserve"> and </w:t>
      </w:r>
      <w:r>
        <w:rPr>
          <w:rFonts w:ascii="Courier New" w:hAnsi="Courier New"/>
          <w:b w:val="0"/>
          <w:i w:val="0"/>
          <w:sz w:val="19"/>
        </w:rPr>
        <w:t>cached_content</w:t>
      </w:r>
      <w:r>
        <w:rPr>
          <w:rFonts w:ascii="Calibri" w:hAnsi="Calibri"/>
          <w:b w:val="0"/>
          <w:i w:val="0"/>
          <w:sz w:val="22"/>
        </w:rPr>
        <w:t xml:space="preserve"> in the same request), </w:t>
      </w:r>
      <w:r>
        <w:rPr>
          <w:rFonts w:ascii="Courier New" w:hAnsi="Courier New"/>
          <w:b w:val="0"/>
          <w:i w:val="0"/>
          <w:sz w:val="19"/>
        </w:rPr>
        <w:t>context_cache_hit</w:t>
      </w:r>
      <w:r>
        <w:rPr>
          <w:rFonts w:ascii="Calibri" w:hAnsi="Calibri"/>
          <w:b w:val="0"/>
          <w:i w:val="0"/>
          <w:sz w:val="22"/>
        </w:rPr>
        <w:t xml:space="preserve"> is always </w:t>
      </w:r>
      <w:r>
        <w:rPr>
          <w:rFonts w:ascii="Courier New" w:hAnsi="Courier New"/>
          <w:b w:val="0"/>
          <w:i w:val="0"/>
          <w:sz w:val="19"/>
        </w:rPr>
        <w:t>False</w:t>
      </w:r>
      <w:r>
        <w:rPr>
          <w:rFonts w:ascii="Calibri" w:hAnsi="Calibri"/>
          <w:b w:val="0"/>
          <w:i w:val="0"/>
          <w:sz w:val="22"/>
        </w:rPr>
        <w:t>. The stated ~75% Pro model input token savings are never realized.</w:t>
      </w:r>
    </w:p>
    <w:p>
      <w:pPr>
        <w:pStyle w:val="ListBullet"/>
        <w:spacing w:after="60" w:before="0"/>
        <w:ind w:left="360"/>
      </w:pPr>
      <w:r>
        <w:rPr>
          <w:rFonts w:ascii="Calibri" w:hAnsi="Calibri"/>
          <w:b w:val="0"/>
          <w:i w:val="0"/>
          <w:sz w:val="22"/>
        </w:rPr>
      </w:r>
      <w:r>
        <w:rPr>
          <w:rFonts w:ascii="Calibri" w:hAnsi="Calibri"/>
          <w:b/>
          <w:i w:val="0"/>
          <w:sz w:val="22"/>
        </w:rPr>
        <w:t>RAG prefetch cache (realtime path):</w:t>
      </w:r>
      <w:r>
        <w:rPr>
          <w:rFonts w:ascii="Calibri" w:hAnsi="Calibri"/>
          <w:b w:val="0"/>
          <w:i w:val="0"/>
          <w:sz w:val="22"/>
        </w:rPr>
        <w:t xml:space="preserve"> Expected cache hit rate in production is approximately 0%. The cache key is </w:t>
      </w:r>
      <w:r>
        <w:rPr>
          <w:rFonts w:ascii="Courier New" w:hAnsi="Courier New"/>
          <w:b w:val="0"/>
          <w:i w:val="0"/>
          <w:sz w:val="19"/>
        </w:rPr>
        <w:t>hash(transcript_text[-500:])</w:t>
      </w:r>
      <w:r>
        <w:rPr>
          <w:rFonts w:ascii="Calibri" w:hAnsi="Calibri"/>
          <w:b w:val="0"/>
          <w:i w:val="0"/>
          <w:sz w:val="22"/>
        </w:rPr>
        <w:t xml:space="preserve">. At 130–150 wpm, 500 characters represents ~36 seconds of speech. Every analysis call is triggered by a new completed utterance, shifting the last 500 characters — the hash changes on every call. The 25-second TTL fails independently: most inter-utterance intervals exceed 25 seconds. Actual measured latency is 3–11 seconds because </w:t>
      </w:r>
      <w:r>
        <w:rPr>
          <w:rFonts w:ascii="Courier New" w:hAnsi="Courier New"/>
          <w:b w:val="0"/>
          <w:i w:val="0"/>
          <w:sz w:val="19"/>
        </w:rPr>
        <w:t>prefetch_rag_context()</w:t>
      </w:r>
      <w:r>
        <w:rPr>
          <w:rFonts w:ascii="Calibri" w:hAnsi="Calibri"/>
          <w:b w:val="0"/>
          <w:i w:val="0"/>
          <w:sz w:val="22"/>
        </w:rPr>
        <w:t xml:space="preserve"> blocks synchronously on all four Discovery Engine threads before the prompt is assembled.</w:t>
      </w:r>
    </w:p>
    <w:p>
      <w:pPr>
        <w:spacing w:after="120" w:before="0"/>
      </w:pPr>
      <w:r>
        <w:rPr>
          <w:rFonts w:ascii="Calibri" w:hAnsi="Calibri"/>
          <w:b w:val="0"/>
          <w:i w:val="0"/>
          <w:sz w:val="22"/>
        </w:rPr>
      </w:r>
      <w:r>
        <w:rPr>
          <w:rFonts w:ascii="Calibri" w:hAnsi="Calibri"/>
          <w:b/>
          <w:i w:val="0"/>
          <w:sz w:val="22"/>
        </w:rPr>
        <w:t>`MODALITY_RAG_MAP` is defined in two unsynchronized locations.</w:t>
      </w:r>
      <w:r>
        <w:rPr>
          <w:rFonts w:ascii="Calibri" w:hAnsi="Calibri"/>
          <w:b w:val="0"/>
          <w:i w:val="0"/>
          <w:sz w:val="22"/>
        </w:rPr>
        <w:t xml:space="preserve">  A module-level dict of </w:t>
      </w:r>
      <w:r>
        <w:rPr>
          <w:rFonts w:ascii="Courier New" w:hAnsi="Courier New"/>
          <w:b w:val="0"/>
          <w:i w:val="0"/>
          <w:sz w:val="19"/>
        </w:rPr>
        <w:t>Tool</w:t>
      </w:r>
      <w:r>
        <w:rPr>
          <w:rFonts w:ascii="Calibri" w:hAnsi="Calibri"/>
          <w:b w:val="0"/>
          <w:i w:val="0"/>
          <w:sz w:val="22"/>
        </w:rPr>
        <w:t xml:space="preserve"> objects in </w:t>
      </w:r>
      <w:r>
        <w:rPr>
          <w:rFonts w:ascii="Courier New" w:hAnsi="Courier New"/>
          <w:b w:val="0"/>
          <w:i w:val="0"/>
          <w:sz w:val="19"/>
        </w:rPr>
        <w:t>main.py</w:t>
      </w:r>
      <w:r>
        <w:rPr>
          <w:rFonts w:ascii="Calibri" w:hAnsi="Calibri"/>
          <w:b w:val="0"/>
          <w:i w:val="0"/>
          <w:sz w:val="22"/>
        </w:rPr>
        <w:t xml:space="preserve"> drives the comprehensive path. A separate inline </w:t>
      </w:r>
      <w:r>
        <w:rPr>
          <w:rFonts w:ascii="Courier New" w:hAnsi="Courier New"/>
          <w:b w:val="0"/>
          <w:i w:val="0"/>
          <w:sz w:val="19"/>
        </w:rPr>
        <w:t>modality_map</w:t>
      </w:r>
      <w:r>
        <w:rPr>
          <w:rFonts w:ascii="Calibri" w:hAnsi="Calibri"/>
          <w:b w:val="0"/>
          <w:i w:val="0"/>
          <w:sz w:val="22"/>
        </w:rPr>
        <w:t xml:space="preserve"> dict inside </w:t>
      </w:r>
      <w:r>
        <w:rPr>
          <w:rFonts w:ascii="Courier New" w:hAnsi="Courier New"/>
          <w:b w:val="0"/>
          <w:i w:val="0"/>
          <w:sz w:val="19"/>
        </w:rPr>
        <w:t>prefetch_rag_context()</w:t>
      </w:r>
      <w:r>
        <w:rPr>
          <w:rFonts w:ascii="Calibri" w:hAnsi="Calibri"/>
          <w:b w:val="0"/>
          <w:i w:val="0"/>
          <w:sz w:val="22"/>
        </w:rPr>
        <w:t xml:space="preserve"> drives the realtime path. A future modality addition requires updating both; a missed update produces silent inconsistency between the two analysis paths.</w:t>
      </w:r>
    </w:p>
    <w:p>
      <w:pPr>
        <w:spacing w:after="120" w:before="0"/>
      </w:pPr>
      <w:r>
        <w:rPr>
          <w:rFonts w:ascii="Calibri" w:hAnsi="Calibri"/>
          <w:b w:val="0"/>
          <w:i w:val="0"/>
          <w:sz w:val="22"/>
        </w:rPr>
      </w:r>
      <w:r>
        <w:rPr>
          <w:rFonts w:ascii="Calibri" w:hAnsi="Calibri"/>
          <w:b/>
          <w:i w:val="0"/>
          <w:sz w:val="22"/>
        </w:rPr>
        <w:t>`max_output_tokens=2560` on the comprehensive path is too small.</w:t>
      </w:r>
      <w:r>
        <w:rPr>
          <w:rFonts w:ascii="Calibri" w:hAnsi="Calibri"/>
          <w:b w:val="0"/>
          <w:i w:val="0"/>
          <w:sz w:val="22"/>
        </w:rPr>
        <w:t xml:space="preserve">  Gemini 2.5 Pro with </w:t>
      </w:r>
      <w:r>
        <w:rPr>
          <w:rFonts w:ascii="Courier New" w:hAnsi="Courier New"/>
          <w:b w:val="0"/>
          <w:i w:val="0"/>
          <w:sz w:val="19"/>
        </w:rPr>
        <w:t>thinking_budget=8192</w:t>
      </w:r>
      <w:r>
        <w:rPr>
          <w:rFonts w:ascii="Calibri" w:hAnsi="Calibri"/>
          <w:b w:val="0"/>
          <w:i w:val="0"/>
          <w:sz w:val="22"/>
        </w:rPr>
        <w:t xml:space="preserve"> must produce thinking tokens plus full structured JSON output within this envelope. The JSON repair logic (</w:t>
      </w:r>
      <w:r>
        <w:rPr>
          <w:rFonts w:ascii="Courier New" w:hAnsi="Courier New"/>
          <w:b w:val="0"/>
          <w:i w:val="0"/>
          <w:sz w:val="19"/>
        </w:rPr>
        <w:t>extract_json_from_text</w:t>
      </w:r>
      <w:r>
        <w:rPr>
          <w:rFonts w:ascii="Calibri" w:hAnsi="Calibri"/>
          <w:b w:val="0"/>
          <w:i w:val="0"/>
          <w:sz w:val="22"/>
        </w:rPr>
        <w:t>) attempts to close truncated output but is not reliable for large objects. The session summary path uses 4,096 tokens and serves as the correct reference.</w:t>
      </w:r>
    </w:p>
    <w:p>
      <w:pPr>
        <w:spacing w:after="120" w:before="0"/>
      </w:pPr>
      <w:r>
        <w:rPr>
          <w:rFonts w:ascii="Calibri" w:hAnsi="Calibri"/>
          <w:b w:val="0"/>
          <w:i w:val="0"/>
          <w:sz w:val="22"/>
        </w:rPr>
      </w:r>
      <w:r>
        <w:rPr>
          <w:rFonts w:ascii="Calibri" w:hAnsi="Calibri"/>
          <w:b/>
          <w:i w:val="0"/>
          <w:sz w:val="22"/>
        </w:rPr>
        <w:t>Safety scanner not applied uniformly.</w:t>
      </w:r>
      <w:r>
        <w:rPr>
          <w:rFonts w:ascii="Calibri" w:hAnsi="Calibri"/>
          <w:b w:val="0"/>
          <w:i w:val="0"/>
          <w:sz w:val="22"/>
        </w:rPr>
        <w:t xml:space="preserve">  </w:t>
      </w:r>
      <w:r>
        <w:rPr>
          <w:rFonts w:ascii="Courier New" w:hAnsi="Courier New"/>
          <w:b w:val="0"/>
          <w:i w:val="0"/>
          <w:sz w:val="19"/>
        </w:rPr>
        <w:t>detect_safety_keywords</w:t>
      </w:r>
      <w:r>
        <w:rPr>
          <w:rFonts w:ascii="Calibri" w:hAnsi="Calibri"/>
          <w:b w:val="0"/>
          <w:i w:val="0"/>
          <w:sz w:val="22"/>
        </w:rPr>
        <w:t xml:space="preserve"> is called in </w:t>
      </w:r>
      <w:r>
        <w:rPr>
          <w:rFonts w:ascii="Courier New" w:hAnsi="Courier New"/>
          <w:b w:val="0"/>
          <w:i w:val="0"/>
          <w:sz w:val="19"/>
        </w:rPr>
        <w:t>handle_segment_analysis</w:t>
      </w:r>
      <w:r>
        <w:rPr>
          <w:rFonts w:ascii="Calibri" w:hAnsi="Calibri"/>
          <w:b w:val="0"/>
          <w:i w:val="0"/>
          <w:sz w:val="22"/>
        </w:rPr>
        <w:t xml:space="preserve"> but not in </w:t>
      </w:r>
      <w:r>
        <w:rPr>
          <w:rFonts w:ascii="Courier New" w:hAnsi="Courier New"/>
          <w:b w:val="0"/>
          <w:i w:val="0"/>
          <w:sz w:val="19"/>
        </w:rPr>
        <w:t>handle_pathway_guidance</w:t>
      </w:r>
      <w:r>
        <w:rPr>
          <w:rFonts w:ascii="Calibri" w:hAnsi="Calibri"/>
          <w:b w:val="0"/>
          <w:i w:val="0"/>
          <w:sz w:val="22"/>
        </w:rPr>
        <w:t xml:space="preserve"> or </w:t>
      </w:r>
      <w:r>
        <w:rPr>
          <w:rFonts w:ascii="Courier New" w:hAnsi="Courier New"/>
          <w:b w:val="0"/>
          <w:i w:val="0"/>
          <w:sz w:val="19"/>
        </w:rPr>
        <w:t>handle_session_summary</w:t>
      </w:r>
      <w:r>
        <w:rPr>
          <w:rFonts w:ascii="Calibri" w:hAnsi="Calibri"/>
          <w:b w:val="0"/>
          <w:i w:val="0"/>
          <w:sz w:val="22"/>
        </w:rPr>
        <w:t>. Safety keyword detection is absent for two of the four analysis handlers.</w:t>
      </w:r>
    </w:p>
    <w:p>
      <w:pPr>
        <w:pStyle w:val="Heading3"/>
        <w:spacing w:before="200" w:after="80"/>
      </w:pPr>
      <w:r>
        <w:rPr>
          <w:rFonts w:ascii="Calibri" w:hAnsi="Calibri"/>
          <w:color w:val="2E74B5"/>
          <w:sz w:val="24"/>
        </w:rPr>
        <w:t>2.3.1  Prompt Structure and Real-Time Latency Constraints</w:t>
      </w:r>
    </w:p>
    <w:p>
      <w:pPr>
        <w:spacing w:after="120" w:before="0"/>
      </w:pPr>
      <w:r>
        <w:rPr>
          <w:rFonts w:ascii="Calibri" w:hAnsi="Calibri"/>
          <w:b w:val="0"/>
          <w:i w:val="0"/>
          <w:sz w:val="22"/>
        </w:rPr>
        <w:t xml:space="preserve">The prompt templates in </w:t>
      </w:r>
      <w:r>
        <w:rPr>
          <w:rFonts w:ascii="Courier New" w:hAnsi="Courier New"/>
          <w:b w:val="0"/>
          <w:i w:val="0"/>
          <w:sz w:val="19"/>
        </w:rPr>
        <w:t>constants.py</w:t>
      </w:r>
      <w:r>
        <w:rPr>
          <w:rFonts w:ascii="Calibri" w:hAnsi="Calibri"/>
          <w:b w:val="0"/>
          <w:i w:val="0"/>
          <w:sz w:val="22"/>
        </w:rPr>
        <w:t xml:space="preserve"> contain structural decisions that work against the model's attention mechanics and against the timing requirements of a real-time system. The clinical knowledge embedded in the prompts is generally sound; the problem is the </w:t>
      </w:r>
      <w:r>
        <w:rPr>
          <w:rFonts w:ascii="Calibri" w:hAnsi="Calibri"/>
          <w:b w:val="0"/>
          <w:i/>
          <w:sz w:val="22"/>
        </w:rPr>
        <w:t>order and emphasis</w:t>
      </w:r>
      <w:r>
        <w:rPr>
          <w:rFonts w:ascii="Calibri" w:hAnsi="Calibri"/>
          <w:b w:val="0"/>
          <w:i w:val="0"/>
          <w:sz w:val="22"/>
        </w:rPr>
        <w:t xml:space="preserve"> in which that knowledge is presented.</w:t>
      </w:r>
    </w:p>
    <w:p>
      <w:pPr>
        <w:spacing w:after="120" w:before="0"/>
      </w:pPr>
      <w:r>
        <w:rPr>
          <w:rFonts w:ascii="Calibri" w:hAnsi="Calibri"/>
          <w:b w:val="0"/>
          <w:i w:val="0"/>
          <w:sz w:val="22"/>
        </w:rPr>
      </w:r>
      <w:r>
        <w:rPr>
          <w:rFonts w:ascii="Calibri" w:hAnsi="Calibri"/>
          <w:b/>
          <w:i w:val="0"/>
          <w:sz w:val="22"/>
        </w:rPr>
        <w:t>Attention positioning in `COMPREHENSIVE_ANALYSIS_PROMPT`.</w:t>
      </w:r>
      <w:r>
        <w:rPr>
          <w:rFonts w:ascii="Calibri" w:hAnsi="Calibri"/>
          <w:b w:val="0"/>
          <w:i w:val="0"/>
          <w:sz w:val="22"/>
        </w:rPr>
        <w:t xml:space="preserve">  Large language models attend most reliably to content at the beginning (primacy) and end (recency) of a prompt. The transcript — the primary clinical input — sits at the 57th percentile of a ~2,150 token prompt, occupying neither position: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rFonts w:ascii="Calibri" w:hAnsi="Calibri"/>
                <w:b/>
                <w:sz w:val="20"/>
              </w:rPr>
              <w:t>Section</w:t>
            </w:r>
          </w:p>
        </w:tc>
        <w:tc>
          <w:tcPr>
            <w:tcW w:type="dxa" w:w="2880"/>
            <w:shd w:val="clear" w:color="auto" w:fill="BDD7EE"/>
          </w:tcPr>
          <w:p>
            <w:r>
              <w:rPr>
                <w:rFonts w:ascii="Calibri" w:hAnsi="Calibri"/>
                <w:b/>
                <w:sz w:val="20"/>
              </w:rPr>
              <w:t>Position</w:t>
            </w:r>
          </w:p>
        </w:tc>
        <w:tc>
          <w:tcPr>
            <w:tcW w:type="dxa" w:w="2880"/>
            <w:shd w:val="clear" w:color="auto" w:fill="BDD7EE"/>
          </w:tcPr>
          <w:p>
            <w:r>
              <w:rPr>
                <w:rFonts w:ascii="Calibri" w:hAnsi="Calibri"/>
                <w:b/>
                <w:sz w:val="20"/>
              </w:rPr>
              <w:t>Est. tokens</w:t>
            </w:r>
          </w:p>
        </w:tc>
      </w:tr>
      <w:tr>
        <w:tc>
          <w:tcPr>
            <w:tcW w:type="dxa" w:w="2880"/>
          </w:tcPr>
          <w:p>
            <w:r>
              <w:rPr>
                <w:rFonts w:ascii="Courier New" w:hAnsi="Courier New"/>
                <w:sz w:val="19"/>
              </w:rPr>
              <w:t>`&lt;thinking&gt;` block — risk definitions and calibration rules</w:t>
            </w:r>
          </w:p>
        </w:tc>
        <w:tc>
          <w:tcPr>
            <w:tcW w:type="dxa" w:w="2880"/>
          </w:tcPr>
          <w:p>
            <w:r>
              <w:rPr>
                <w:rFonts w:ascii="Courier New" w:hAnsi="Courier New"/>
                <w:sz w:val="20"/>
              </w:rPr>
              <w:t>0–50%</w:t>
            </w:r>
          </w:p>
        </w:tc>
        <w:tc>
          <w:tcPr>
            <w:tcW w:type="dxa" w:w="2880"/>
          </w:tcPr>
          <w:p>
            <w:r>
              <w:rPr>
                <w:rFonts w:ascii="Calibri" w:hAnsi="Calibri"/>
                <w:sz w:val="20"/>
              </w:rPr>
              <w:t>~1,100</w:t>
            </w:r>
          </w:p>
        </w:tc>
      </w:tr>
      <w:tr>
        <w:tc>
          <w:tcPr>
            <w:tcW w:type="dxa" w:w="2880"/>
          </w:tcPr>
          <w:p>
            <w:r>
              <w:rPr>
                <w:rFonts w:ascii="Calibri" w:hAnsi="Calibri"/>
                <w:sz w:val="20"/>
              </w:rPr>
              <w:t>Role statement, session context</w:t>
            </w:r>
          </w:p>
        </w:tc>
        <w:tc>
          <w:tcPr>
            <w:tcW w:type="dxa" w:w="2880"/>
          </w:tcPr>
          <w:p>
            <w:r>
              <w:rPr>
                <w:rFonts w:ascii="Courier New" w:hAnsi="Courier New"/>
                <w:sz w:val="20"/>
              </w:rPr>
              <w:t>51–56%</w:t>
            </w:r>
          </w:p>
        </w:tc>
        <w:tc>
          <w:tcPr>
            <w:tcW w:type="dxa" w:w="2880"/>
          </w:tcPr>
          <w:p>
            <w:r>
              <w:rPr>
                <w:rFonts w:ascii="Calibri" w:hAnsi="Calibri"/>
                <w:sz w:val="20"/>
              </w:rPr>
              <w:t>~120</w:t>
            </w:r>
          </w:p>
        </w:tc>
      </w:tr>
      <w:tr>
        <w:tc>
          <w:tcPr>
            <w:tcW w:type="dxa" w:w="2880"/>
          </w:tcPr>
          <w:p>
            <w:r>
              <w:rPr>
                <w:rFonts w:ascii="Calibri" w:hAnsi="Calibri"/>
                <w:sz w:val="20"/>
              </w:rPr>
              <w:t>Transcript — the primary clinical input</w:t>
            </w:r>
          </w:p>
        </w:tc>
        <w:tc>
          <w:tcPr>
            <w:tcW w:type="dxa" w:w="2880"/>
          </w:tcPr>
          <w:p>
            <w:r>
              <w:rPr>
                <w:rFonts w:ascii="Courier New" w:hAnsi="Courier New"/>
                <w:sz w:val="20"/>
              </w:rPr>
              <w:t>56–58%</w:t>
            </w:r>
          </w:p>
        </w:tc>
        <w:tc>
          <w:tcPr>
            <w:tcW w:type="dxa" w:w="2880"/>
          </w:tcPr>
          <w:p>
            <w:r>
              <w:rPr>
                <w:rFonts w:ascii="Calibri" w:hAnsi="Calibri"/>
                <w:sz w:val="20"/>
              </w:rPr>
              <w:t>variable</w:t>
            </w:r>
          </w:p>
        </w:tc>
      </w:tr>
      <w:tr>
        <w:tc>
          <w:tcPr>
            <w:tcW w:type="dxa" w:w="2880"/>
          </w:tcPr>
          <w:p>
            <w:r>
              <w:rPr>
                <w:rFonts w:ascii="Calibri" w:hAnsi="Calibri"/>
                <w:sz w:val="20"/>
              </w:rPr>
              <w:t>RAG citation instructions</w:t>
            </w:r>
          </w:p>
        </w:tc>
        <w:tc>
          <w:tcPr>
            <w:tcW w:type="dxa" w:w="2880"/>
          </w:tcPr>
          <w:p>
            <w:r>
              <w:rPr>
                <w:rFonts w:ascii="Courier New" w:hAnsi="Courier New"/>
                <w:sz w:val="20"/>
              </w:rPr>
              <w:t>58–62%</w:t>
            </w:r>
          </w:p>
        </w:tc>
        <w:tc>
          <w:tcPr>
            <w:tcW w:type="dxa" w:w="2880"/>
          </w:tcPr>
          <w:p>
            <w:r>
              <w:rPr>
                <w:rFonts w:ascii="Calibri" w:hAnsi="Calibri"/>
                <w:sz w:val="20"/>
              </w:rPr>
              <w:t>~100</w:t>
            </w:r>
          </w:p>
        </w:tc>
      </w:tr>
      <w:tr>
        <w:tc>
          <w:tcPr>
            <w:tcW w:type="dxa" w:w="2880"/>
          </w:tcPr>
          <w:p>
            <w:r>
              <w:rPr>
                <w:rFonts w:ascii="Calibri" w:hAnsi="Calibri"/>
                <w:sz w:val="20"/>
              </w:rPr>
              <w:t>JSON output schema — format boilerplate</w:t>
            </w:r>
          </w:p>
        </w:tc>
        <w:tc>
          <w:tcPr>
            <w:tcW w:type="dxa" w:w="2880"/>
          </w:tcPr>
          <w:p>
            <w:r>
              <w:rPr>
                <w:rFonts w:ascii="Courier New" w:hAnsi="Courier New"/>
                <w:sz w:val="20"/>
              </w:rPr>
              <w:t>62–91%</w:t>
            </w:r>
          </w:p>
        </w:tc>
        <w:tc>
          <w:tcPr>
            <w:tcW w:type="dxa" w:w="2880"/>
          </w:tcPr>
          <w:p>
            <w:r>
              <w:rPr>
                <w:rFonts w:ascii="Calibri" w:hAnsi="Calibri"/>
                <w:sz w:val="20"/>
              </w:rPr>
              <w:t>~600</w:t>
            </w:r>
          </w:p>
        </w:tc>
      </w:tr>
      <w:tr>
        <w:tc>
          <w:tcPr>
            <w:tcW w:type="dxa" w:w="2880"/>
          </w:tcPr>
          <w:p>
            <w:r>
              <w:rPr>
                <w:rFonts w:ascii="Calibri" w:hAnsi="Calibri"/>
                <w:sz w:val="20"/>
              </w:rPr>
              <w:t>Speaker diarization and final instructions</w:t>
            </w:r>
          </w:p>
        </w:tc>
        <w:tc>
          <w:tcPr>
            <w:tcW w:type="dxa" w:w="2880"/>
          </w:tcPr>
          <w:p>
            <w:r>
              <w:rPr>
                <w:rFonts w:ascii="Courier New" w:hAnsi="Courier New"/>
                <w:sz w:val="20"/>
              </w:rPr>
              <w:t>91–100%</w:t>
            </w:r>
          </w:p>
        </w:tc>
        <w:tc>
          <w:tcPr>
            <w:tcW w:type="dxa" w:w="2880"/>
          </w:tcPr>
          <w:p>
            <w:r>
              <w:rPr>
                <w:rFonts w:ascii="Calibri" w:hAnsi="Calibri"/>
                <w:sz w:val="20"/>
              </w:rPr>
              <w:t>~200</w:t>
            </w:r>
          </w:p>
        </w:tc>
      </w:tr>
    </w:tbl>
    <w:p/>
    <w:p>
      <w:pPr>
        <w:spacing w:after="120" w:before="0"/>
      </w:pPr>
      <w:r>
        <w:rPr>
          <w:rFonts w:ascii="Calibri" w:hAnsi="Calibri"/>
          <w:b w:val="0"/>
          <w:i w:val="0"/>
          <w:sz w:val="22"/>
        </w:rPr>
        <w:t>The JSON output schema — format boilerplate — occupies the recency position. The model's final attention before generating output is on field names and enumeration constraints rather than patient speech.</w:t>
      </w:r>
    </w:p>
    <w:p>
      <w:pPr>
        <w:spacing w:after="120" w:before="0"/>
      </w:pPr>
      <w:r>
        <w:rPr>
          <w:rFonts w:ascii="Calibri" w:hAnsi="Calibri"/>
          <w:b w:val="0"/>
          <w:i w:val="0"/>
          <w:sz w:val="22"/>
        </w:rPr>
        <w:t xml:space="preserve">The </w:t>
      </w:r>
      <w:r>
        <w:rPr>
          <w:rFonts w:ascii="Courier New" w:hAnsi="Courier New"/>
          <w:b w:val="0"/>
          <w:i w:val="0"/>
          <w:sz w:val="19"/>
        </w:rPr>
        <w:t>&lt;thinking&gt;</w:t>
      </w:r>
      <w:r>
        <w:rPr>
          <w:rFonts w:ascii="Calibri" w:hAnsi="Calibri"/>
          <w:b w:val="0"/>
          <w:i w:val="0"/>
          <w:sz w:val="22"/>
        </w:rPr>
        <w:t xml:space="preserve"> XML tags carry no special meaning to Gemini as input; they are processed as ordinary instructional prose. The 1,100-token calibration block they wrap contains valuable clinical guidance — risk definitions, the three-tier therapeutic context distinction — but its placement at positions 0–50% means those calibration rules are furthest from the transcript they are meant to govern.</w:t>
      </w:r>
    </w:p>
    <w:p>
      <w:pPr>
        <w:spacing w:after="120" w:before="0"/>
      </w:pPr>
      <w:r>
        <w:rPr>
          <w:rFonts w:ascii="Calibri" w:hAnsi="Calibri"/>
          <w:b w:val="0"/>
          <w:i w:val="0"/>
          <w:sz w:val="22"/>
        </w:rPr>
      </w:r>
      <w:r>
        <w:rPr>
          <w:rFonts w:ascii="Calibri" w:hAnsi="Calibri"/>
          <w:b/>
          <w:i w:val="0"/>
          <w:sz w:val="22"/>
        </w:rPr>
        <w:t>Emphasis saturation in `REALTIME_ANALYSIS_PROMPT`.</w:t>
      </w:r>
      <w:r>
        <w:rPr>
          <w:rFonts w:ascii="Calibri" w:hAnsi="Calibri"/>
          <w:b w:val="0"/>
          <w:i w:val="0"/>
          <w:sz w:val="22"/>
        </w:rPr>
        <w:t xml:space="preserve">  The 971-token realtime prompt contains eleven emphasis markers (</w:t>
      </w:r>
      <w:r>
        <w:rPr>
          <w:rFonts w:ascii="Courier New" w:hAnsi="Courier New"/>
          <w:b w:val="0"/>
          <w:i w:val="0"/>
          <w:sz w:val="19"/>
        </w:rPr>
        <w:t>IMPORTANT</w:t>
      </w:r>
      <w:r>
        <w:rPr>
          <w:rFonts w:ascii="Calibri" w:hAnsi="Calibri"/>
          <w:b w:val="0"/>
          <w:i w:val="0"/>
          <w:sz w:val="22"/>
        </w:rPr>
        <w:t xml:space="preserve">, </w:t>
      </w:r>
      <w:r>
        <w:rPr>
          <w:rFonts w:ascii="Courier New" w:hAnsi="Courier New"/>
          <w:b w:val="0"/>
          <w:i w:val="0"/>
          <w:sz w:val="19"/>
        </w:rPr>
        <w:t>always</w:t>
      </w:r>
      <w:r>
        <w:rPr>
          <w:rFonts w:ascii="Calibri" w:hAnsi="Calibri"/>
          <w:b w:val="0"/>
          <w:i w:val="0"/>
          <w:sz w:val="22"/>
        </w:rPr>
        <w:t xml:space="preserve">, </w:t>
      </w:r>
      <w:r>
        <w:rPr>
          <w:rFonts w:ascii="Courier New" w:hAnsi="Courier New"/>
          <w:b w:val="0"/>
          <w:i w:val="0"/>
          <w:sz w:val="19"/>
        </w:rPr>
        <w:t>Only</w:t>
      </w:r>
      <w:r>
        <w:rPr>
          <w:rFonts w:ascii="Calibri" w:hAnsi="Calibri"/>
          <w:b w:val="0"/>
          <w:i w:val="0"/>
          <w:sz w:val="22"/>
        </w:rPr>
        <w:t xml:space="preserve">, </w:t>
      </w:r>
      <w:r>
        <w:rPr>
          <w:rFonts w:ascii="Courier New" w:hAnsi="Courier New"/>
          <w:b w:val="0"/>
          <w:i w:val="0"/>
          <w:sz w:val="19"/>
        </w:rPr>
        <w:t>NOTE</w:t>
      </w:r>
      <w:r>
        <w:rPr>
          <w:rFonts w:ascii="Calibri" w:hAnsi="Calibri"/>
          <w:b w:val="0"/>
          <w:i w:val="0"/>
          <w:sz w:val="22"/>
        </w:rPr>
        <w:t>, etc.). When every instruction is marked important, the markup loses signal value. The instruction that crisis resources are required for all safety alerts is structurally indistinguishable from the instruction to refer to the patient as "patient" rather than "client."</w:t>
      </w:r>
    </w:p>
    <w:p>
      <w:pPr>
        <w:spacing w:after="120" w:before="0"/>
      </w:pPr>
      <w:r>
        <w:rPr>
          <w:rFonts w:ascii="Calibri" w:hAnsi="Calibri"/>
          <w:b w:val="0"/>
          <w:i w:val="0"/>
          <w:sz w:val="22"/>
        </w:rPr>
      </w:r>
      <w:r>
        <w:rPr>
          <w:rFonts w:ascii="Calibri" w:hAnsi="Calibri"/>
          <w:b/>
          <w:i w:val="0"/>
          <w:sz w:val="22"/>
        </w:rPr>
        <w:t>Bias-to-alert instruction creates downstream deduplication load.</w:t>
      </w:r>
      <w:r>
        <w:rPr>
          <w:rFonts w:ascii="Calibri" w:hAnsi="Calibri"/>
          <w:b w:val="0"/>
          <w:i w:val="0"/>
          <w:sz w:val="22"/>
        </w:rPr>
        <w:t xml:space="preserve">  The realtime prompt states: "In a therapy session, [returning empty JSON] is rare." The effect is that the model generates an alert on almost every call, and the frontend's 3-second hard block and category throttle windows silently discard most of them. At 130–150 wpm with a 10-word trigger interval, this generates approximately 750 Flash API calls per 50-minute session, the majority of which produce output that is never shown.</w:t>
      </w:r>
    </w:p>
    <w:p>
      <w:pPr>
        <w:spacing w:after="120" w:before="0"/>
      </w:pPr>
      <w:r>
        <w:rPr>
          <w:rFonts w:ascii="Calibri" w:hAnsi="Calibri"/>
          <w:b w:val="0"/>
          <w:i w:val="0"/>
          <w:sz w:val="22"/>
        </w:rPr>
      </w:r>
      <w:r>
        <w:rPr>
          <w:rFonts w:ascii="Calibri" w:hAnsi="Calibri"/>
          <w:b/>
          <w:i w:val="0"/>
          <w:sz w:val="22"/>
        </w:rPr>
        <w:t>Real-time concurrency accumulates without bound.</w:t>
      </w:r>
      <w:r>
        <w:rPr>
          <w:rFonts w:ascii="Calibri" w:hAnsi="Calibri"/>
          <w:b w:val="0"/>
          <w:i w:val="0"/>
          <w:sz w:val="22"/>
        </w:rPr>
        <w:t xml:space="preserve">  The frontend fires both realtime (Flash, ~3–4s) and comprehensive (Pro, 15–25s) calls on every 10-word trigger — one every ~4 seconds at typical speaking pace. Pro calls are not cancelled when a new trigger fires. At steady-state, 3–5 Pro calls are simultaneously in flight with no queue, no backpressure, and no stale-result suppression. The Gemini API's project-level rate limits are the only constraint; when those are reached, calls fail silently.</w:t>
      </w:r>
    </w:p>
    <w:p>
      <w:pPr>
        <w:spacing w:after="120" w:before="0"/>
      </w:pPr>
      <w:r>
        <w:rPr>
          <w:rFonts w:ascii="Calibri" w:hAnsi="Calibri"/>
          <w:b w:val="0"/>
          <w:i w:val="0"/>
          <w:sz w:val="22"/>
        </w:rPr>
      </w:r>
      <w:r>
        <w:rPr>
          <w:rFonts w:ascii="Calibri" w:hAnsi="Calibri"/>
          <w:b/>
          <w:i w:val="0"/>
          <w:sz w:val="22"/>
        </w:rPr>
        <w:t>Safety context injection gap.</w:t>
      </w:r>
      <w:r>
        <w:rPr>
          <w:rFonts w:ascii="Calibri" w:hAnsi="Calibri"/>
          <w:b w:val="0"/>
          <w:i w:val="0"/>
          <w:sz w:val="22"/>
        </w:rPr>
        <w:t xml:space="preserve">  When </w:t>
      </w:r>
      <w:r>
        <w:rPr>
          <w:rFonts w:ascii="Courier New" w:hAnsi="Courier New"/>
          <w:b w:val="0"/>
          <w:i w:val="0"/>
          <w:sz w:val="19"/>
        </w:rPr>
        <w:t>detect_safety_keywords</w:t>
      </w:r>
      <w:r>
        <w:rPr>
          <w:rFonts w:ascii="Calibri" w:hAnsi="Calibri"/>
          <w:b w:val="0"/>
          <w:i w:val="0"/>
          <w:sz w:val="22"/>
        </w:rPr>
        <w:t xml:space="preserve"> fires, the assembled prompt order is: safety flag (120 tokens) → RAG passages (100–300 tokens) → task framing (50 tokens) → transcript. The safety flag and the transcript that triggered it are separated by 270–500 tokens. Placing the flag immediately adjacent to the transcript would reduce this attention gap.</w:t>
      </w:r>
    </w:p>
    <w:p>
      <w:pPr>
        <w:pStyle w:val="Heading2"/>
        <w:spacing w:before="200" w:after="80"/>
      </w:pPr>
      <w:r>
        <w:rPr>
          <w:rFonts w:ascii="Calibri" w:hAnsi="Calibri"/>
          <w:color w:val="2E74B5"/>
          <w:sz w:val="28"/>
        </w:rPr>
        <w:t>2.4  Frontend Review Scope Note</w:t>
      </w:r>
    </w:p>
    <w:p>
      <w:pPr>
        <w:spacing w:after="120" w:before="0"/>
      </w:pPr>
      <w:r>
        <w:rPr>
          <w:rFonts w:ascii="Calibri" w:hAnsi="Calibri"/>
          <w:b w:val="0"/>
          <w:i w:val="0"/>
          <w:sz w:val="22"/>
        </w:rPr>
        <w:t xml:space="preserve">The preliminary code review concentrated on the backend services. </w:t>
      </w:r>
      <w:r>
        <w:rPr>
          <w:rFonts w:ascii="Courier New" w:hAnsi="Courier New"/>
          <w:b w:val="0"/>
          <w:i w:val="0"/>
          <w:sz w:val="19"/>
        </w:rPr>
        <w:t>smartMockAnalysis.ts</w:t>
      </w:r>
      <w:r>
        <w:rPr>
          <w:rFonts w:ascii="Calibri" w:hAnsi="Calibri"/>
          <w:b w:val="0"/>
          <w:i w:val="0"/>
          <w:sz w:val="22"/>
        </w:rPr>
        <w:t xml:space="preserve"> and the audio streaming hook were fully reviewed; remaining frontend components received head-only passes. The note below reflects what was confirmed in that limited review. The frontend may have additional issues — or may be in better shape than the backend — in areas that were not examined.</w:t>
      </w:r>
    </w:p>
    <w:p>
      <w:pPr>
        <w:spacing w:after="120" w:before="0"/>
      </w:pPr>
      <w:r>
        <w:rPr>
          <w:rFonts w:ascii="Calibri" w:hAnsi="Calibri"/>
          <w:b w:val="0"/>
          <w:i w:val="0"/>
          <w:sz w:val="22"/>
        </w:rPr>
      </w:r>
      <w:r>
        <w:rPr>
          <w:rFonts w:ascii="Calibri" w:hAnsi="Calibri"/>
          <w:b/>
          <w:i w:val="0"/>
          <w:sz w:val="22"/>
        </w:rPr>
        <w:t>`smartMockAnalysis.ts` is bundled into the production build.</w:t>
      </w:r>
      <w:r>
        <w:rPr>
          <w:rFonts w:ascii="Calibri" w:hAnsi="Calibri"/>
          <w:b w:val="0"/>
          <w:i w:val="0"/>
          <w:sz w:val="22"/>
        </w:rPr>
        <w:t xml:space="preserve">  If </w:t>
      </w:r>
      <w:r>
        <w:rPr>
          <w:rFonts w:ascii="Courier New" w:hAnsi="Courier New"/>
          <w:b w:val="0"/>
          <w:i w:val="0"/>
          <w:sz w:val="19"/>
        </w:rPr>
        <w:t>VITE_ANALYSIS_API</w:t>
      </w:r>
      <w:r>
        <w:rPr>
          <w:rFonts w:ascii="Calibri" w:hAnsi="Calibri"/>
          <w:b w:val="0"/>
          <w:i w:val="0"/>
          <w:sz w:val="22"/>
        </w:rPr>
        <w:t xml:space="preserve"> is unconfigured or unavailable in a deployed environment, the frontend silently falls back to a client-side keyword matcher that generates realistic-looking safety alerts — including </w:t>
      </w:r>
      <w:r>
        <w:rPr>
          <w:rFonts w:ascii="Courier New" w:hAnsi="Courier New"/>
          <w:b w:val="0"/>
          <w:i w:val="0"/>
          <w:sz w:val="19"/>
        </w:rPr>
        <w:t>Suicidal Ideation Detected</w:t>
      </w:r>
      <w:r>
        <w:rPr>
          <w:rFonts w:ascii="Calibri" w:hAnsi="Calibri"/>
          <w:b w:val="0"/>
          <w:i w:val="0"/>
          <w:sz w:val="22"/>
        </w:rPr>
        <w:t xml:space="preserve"> — with no backend validation. There is no visual indicator to the clinician that the system has fallen back to mock mode.</w:t>
      </w:r>
    </w:p>
    <w:p>
      <w:pPr>
        <w:pStyle w:val="Heading2"/>
        <w:spacing w:before="200" w:after="80"/>
      </w:pPr>
      <w:r>
        <w:rPr>
          <w:rFonts w:ascii="Calibri" w:hAnsi="Calibri"/>
          <w:color w:val="2E74B5"/>
          <w:sz w:val="28"/>
        </w:rPr>
        <w:t>2.5  Feature Feasibility Constraints</w:t>
      </w:r>
    </w:p>
    <w:p>
      <w:pPr>
        <w:spacing w:after="120" w:before="0"/>
      </w:pPr>
      <w:r>
        <w:rPr>
          <w:rFonts w:ascii="Calibri" w:hAnsi="Calibri"/>
          <w:b w:val="0"/>
          <w:i w:val="0"/>
          <w:sz w:val="22"/>
        </w:rPr>
      </w:r>
      <w:r>
        <w:rPr>
          <w:rFonts w:ascii="Calibri" w:hAnsi="Calibri"/>
          <w:b/>
          <w:i w:val="0"/>
          <w:sz w:val="22"/>
        </w:rPr>
        <w:t>Sentiment analysis.</w:t>
      </w:r>
      <w:r>
        <w:rPr>
          <w:rFonts w:ascii="Calibri" w:hAnsi="Calibri"/>
          <w:b w:val="0"/>
          <w:i w:val="0"/>
          <w:sz w:val="22"/>
        </w:rPr>
        <w:t xml:space="preserve">  The current architecture assesses emotional state entirely from speech-to-text output — text alone. The empirical clinical literature places nonverbal communication (posture, eye contact, tone, inflection, facial expression, proxemics) at 50–90% of the information a therapist acts on in session. Text-only sentiment analysis can detect lexical distress markers but cannot distinguish flat affect from calm, or a nervous laugh from genuine affect. This is an architectural constraint, not a tuning problem, and requires a deliberate multi-modal design decision before further investment in the feature is appropriate.</w:t>
      </w:r>
    </w:p>
    <w:p>
      <w:pPr>
        <w:spacing w:after="120" w:before="0"/>
      </w:pPr>
      <w:r>
        <w:rPr>
          <w:rFonts w:ascii="Calibri" w:hAnsi="Calibri"/>
          <w:b w:val="0"/>
          <w:i w:val="0"/>
          <w:sz w:val="22"/>
        </w:rPr>
      </w:r>
      <w:r>
        <w:rPr>
          <w:rFonts w:ascii="Calibri" w:hAnsi="Calibri"/>
          <w:b/>
          <w:i w:val="0"/>
          <w:sz w:val="22"/>
        </w:rPr>
        <w:t>Multi-modality.</w:t>
      </w:r>
      <w:r>
        <w:rPr>
          <w:rFonts w:ascii="Calibri" w:hAnsi="Calibri"/>
          <w:b w:val="0"/>
          <w:i w:val="0"/>
          <w:sz w:val="22"/>
        </w:rPr>
        <w:t xml:space="preserve">  The system implements three-modality routing (CBT, DBT, IPT) with five RAG corpora — the largest single driver of </w:t>
      </w:r>
      <w:r>
        <w:rPr>
          <w:rFonts w:ascii="Courier New" w:hAnsi="Courier New"/>
          <w:b w:val="0"/>
          <w:i w:val="0"/>
          <w:sz w:val="19"/>
        </w:rPr>
        <w:t>main.py</w:t>
      </w:r>
      <w:r>
        <w:rPr>
          <w:rFonts w:ascii="Calibri" w:hAnsi="Calibri"/>
          <w:b w:val="0"/>
          <w:i w:val="0"/>
          <w:sz w:val="22"/>
        </w:rPr>
        <w:t>'s CC=174 complexity score. Whether this capability was ever requested by the clinical stakeholder is an open question. If the pilot scope is CBT-only, approximately 30–40 lines of dispatch logic, three corpus setup scripts, and three corpus directories can be removed before any other refactoring begins.</w:t>
      </w:r>
    </w:p>
    <w:p>
      <w:pPr>
        <w:pStyle w:val="Heading1"/>
        <w:spacing w:before="280" w:after="80"/>
      </w:pPr>
      <w:r>
        <w:rPr>
          <w:rFonts w:ascii="Calibri" w:hAnsi="Calibri"/>
          <w:color w:val="1F497D"/>
          <w:sz w:val="36"/>
        </w:rPr>
        <w:t>3. Rewrite Scope and Workflow</w:t>
      </w:r>
    </w:p>
    <w:p>
      <w:pPr>
        <w:spacing w:after="120" w:before="0"/>
      </w:pPr>
      <w:r>
        <w:rPr>
          <w:rFonts w:ascii="Calibri" w:hAnsi="Calibri"/>
          <w:b w:val="0"/>
          <w:i w:val="0"/>
          <w:sz w:val="22"/>
        </w:rPr>
        <w:t>The rewrite is scoped to the backend core. The workflow proceeds in strict dependency order.</w:t>
      </w:r>
    </w:p>
    <w:p>
      <w:pPr>
        <w:pStyle w:val="Heading2"/>
        <w:spacing w:before="200" w:after="80"/>
      </w:pPr>
      <w:r>
        <w:rPr>
          <w:rFonts w:ascii="Calibri" w:hAnsi="Calibri"/>
          <w:color w:val="2E74B5"/>
          <w:sz w:val="28"/>
        </w:rPr>
        <w:t>Phase 1 — I/O Endpoints and Contracts (Weeks 1–2)</w:t>
      </w:r>
    </w:p>
    <w:p>
      <w:pPr>
        <w:spacing w:after="120" w:before="0"/>
      </w:pPr>
      <w:r>
        <w:rPr>
          <w:rFonts w:ascii="Calibri" w:hAnsi="Calibri"/>
          <w:b w:val="0"/>
          <w:i w:val="0"/>
          <w:sz w:val="22"/>
        </w:rPr>
        <w:t>Define and stabilize the API surface before any logic is written:</w:t>
      </w:r>
    </w:p>
    <w:p>
      <w:pPr>
        <w:pStyle w:val="ListBullet"/>
        <w:spacing w:after="60" w:before="0"/>
        <w:ind w:left="360"/>
      </w:pPr>
      <w:r>
        <w:rPr>
          <w:rFonts w:ascii="Calibri" w:hAnsi="Calibri"/>
          <w:b w:val="0"/>
          <w:i w:val="0"/>
          <w:sz w:val="22"/>
        </w:rPr>
        <w:t xml:space="preserve">Clean HTTP request/response schemas for </w:t>
      </w:r>
      <w:r>
        <w:rPr>
          <w:rFonts w:ascii="Courier New" w:hAnsi="Courier New"/>
          <w:b w:val="0"/>
          <w:i w:val="0"/>
          <w:sz w:val="19"/>
        </w:rPr>
        <w:t>analyze_segment</w:t>
      </w:r>
      <w:r>
        <w:rPr>
          <w:rFonts w:ascii="Calibri" w:hAnsi="Calibri"/>
          <w:b w:val="0"/>
          <w:i w:val="0"/>
          <w:sz w:val="22"/>
        </w:rPr>
        <w:t xml:space="preserve"> and </w:t>
      </w:r>
      <w:r>
        <w:rPr>
          <w:rFonts w:ascii="Courier New" w:hAnsi="Courier New"/>
          <w:b w:val="0"/>
          <w:i w:val="0"/>
          <w:sz w:val="19"/>
        </w:rPr>
        <w:t>session_summary</w:t>
      </w:r>
      <w:r>
        <w:rPr>
          <w:rFonts w:ascii="Calibri" w:hAnsi="Calibri"/>
          <w:b w:val="0"/>
          <w:i w:val="0"/>
          <w:sz w:val="22"/>
        </w:rPr>
      </w:r>
    </w:p>
    <w:p>
      <w:pPr>
        <w:pStyle w:val="ListBullet"/>
        <w:spacing w:after="60" w:before="0"/>
        <w:ind w:left="360"/>
      </w:pPr>
      <w:r>
        <w:rPr>
          <w:rFonts w:ascii="Calibri" w:hAnsi="Calibri"/>
          <w:b w:val="0"/>
          <w:i w:val="0"/>
          <w:sz w:val="22"/>
        </w:rPr>
        <w:t>Explicit error envelope with distinguishable failure modes (auth failure, RAG failure, LLM failure, parse failure)</w:t>
      </w:r>
    </w:p>
    <w:p>
      <w:pPr>
        <w:pStyle w:val="ListBullet"/>
        <w:spacing w:after="60" w:before="0"/>
        <w:ind w:left="360"/>
      </w:pPr>
      <w:r>
        <w:rPr>
          <w:rFonts w:ascii="Calibri" w:hAnsi="Calibri"/>
          <w:b w:val="0"/>
          <w:i w:val="0"/>
          <w:sz w:val="22"/>
        </w:rPr>
        <w:t>WebSocket frame specification for the transcription service</w:t>
      </w:r>
    </w:p>
    <w:p>
      <w:pPr>
        <w:pStyle w:val="ListBullet"/>
        <w:spacing w:after="60" w:before="0"/>
        <w:ind w:left="360"/>
      </w:pPr>
      <w:r>
        <w:rPr>
          <w:rFonts w:ascii="Calibri" w:hAnsi="Calibri"/>
          <w:b w:val="0"/>
          <w:i w:val="0"/>
          <w:sz w:val="22"/>
        </w:rPr>
        <w:t>Authentication enabled and verified from day one — not deferred</w:t>
      </w:r>
    </w:p>
    <w:p>
      <w:pPr>
        <w:spacing w:after="120" w:before="0"/>
      </w:pPr>
      <w:r>
        <w:rPr>
          <w:rFonts w:ascii="Calibri" w:hAnsi="Calibri"/>
          <w:b w:val="0"/>
          <w:i w:val="0"/>
          <w:sz w:val="22"/>
        </w:rPr>
        <w:t>The I/O surface is the integration contract with the frontend. Locking it before implementing logic prevents a class of rework where logic must be refactored to accommodate a changed interface.</w:t>
      </w:r>
    </w:p>
    <w:p>
      <w:pPr>
        <w:pStyle w:val="Heading2"/>
        <w:spacing w:before="200" w:after="80"/>
      </w:pPr>
      <w:r>
        <w:rPr>
          <w:rFonts w:ascii="Calibri" w:hAnsi="Calibri"/>
          <w:color w:val="2E74B5"/>
          <w:sz w:val="28"/>
        </w:rPr>
        <w:t>Phase 2 — Corpus Ingestion API and Metadata Schema (Weeks 1–3, overlaps Phase 1)</w:t>
      </w:r>
    </w:p>
    <w:p>
      <w:pPr>
        <w:spacing w:after="120" w:before="0"/>
      </w:pPr>
      <w:r>
        <w:rPr>
          <w:rFonts w:ascii="Calibri" w:hAnsi="Calibri"/>
          <w:b w:val="0"/>
          <w:i w:val="0"/>
          <w:sz w:val="22"/>
        </w:rPr>
        <w:t>Design and implement a corpus ingestion endpoint that:</w:t>
      </w:r>
    </w:p>
    <w:p>
      <w:pPr>
        <w:pStyle w:val="ListBullet"/>
        <w:spacing w:after="60" w:before="0"/>
        <w:ind w:left="360"/>
      </w:pPr>
      <w:r>
        <w:rPr>
          <w:rFonts w:ascii="Calibri" w:hAnsi="Calibri"/>
          <w:b w:val="0"/>
          <w:i w:val="0"/>
          <w:sz w:val="22"/>
        </w:rPr>
        <w:t>Accepts a document upload with required typed metadata (modality, content type, technique tags, source)</w:t>
      </w:r>
    </w:p>
    <w:p>
      <w:pPr>
        <w:pStyle w:val="ListBullet"/>
        <w:spacing w:after="60" w:before="0"/>
        <w:ind w:left="360"/>
      </w:pPr>
      <w:r>
        <w:rPr>
          <w:rFonts w:ascii="Calibri" w:hAnsi="Calibri"/>
          <w:b w:val="0"/>
          <w:i w:val="0"/>
          <w:sz w:val="22"/>
        </w:rPr>
        <w:t>Validates that document chunks are retrievable after ingestion before returning success</w:t>
      </w:r>
    </w:p>
    <w:p>
      <w:pPr>
        <w:pStyle w:val="ListBullet"/>
        <w:spacing w:after="60" w:before="0"/>
        <w:ind w:left="360"/>
      </w:pPr>
      <w:r>
        <w:rPr>
          <w:rFonts w:ascii="Calibri" w:hAnsi="Calibri"/>
          <w:b w:val="0"/>
          <w:i w:val="0"/>
          <w:sz w:val="22"/>
        </w:rPr>
        <w:t>Supports incremental additions without a full re-ingest</w:t>
      </w:r>
    </w:p>
    <w:p>
      <w:pPr>
        <w:pStyle w:val="ListBullet"/>
        <w:spacing w:after="60" w:before="0"/>
        <w:ind w:left="360"/>
      </w:pPr>
      <w:r>
        <w:rPr>
          <w:rFonts w:ascii="Calibri" w:hAnsi="Calibri"/>
          <w:b w:val="0"/>
          <w:i w:val="0"/>
          <w:sz w:val="22"/>
        </w:rPr>
        <w:t>Rejects documents that do not match the expected content type (technique guide vs. efficacy study)</w:t>
      </w:r>
    </w:p>
    <w:p>
      <w:pPr>
        <w:spacing w:after="120" w:before="0"/>
      </w:pPr>
      <w:r>
        <w:rPr>
          <w:rFonts w:ascii="Calibri" w:hAnsi="Calibri"/>
          <w:b w:val="0"/>
          <w:i w:val="0"/>
          <w:sz w:val="22"/>
        </w:rPr>
        <w:t>Re-ingest the corpora against the new schema after it is validated.</w:t>
      </w:r>
    </w:p>
    <w:p>
      <w:pPr>
        <w:pStyle w:val="Heading2"/>
        <w:spacing w:before="200" w:after="80"/>
      </w:pPr>
      <w:r>
        <w:rPr>
          <w:rFonts w:ascii="Calibri" w:hAnsi="Calibri"/>
          <w:color w:val="2E74B5"/>
          <w:sz w:val="28"/>
        </w:rPr>
        <w:t>Phase 3 — CI Benchmarking Framework (Weeks 2–3)</w:t>
      </w:r>
    </w:p>
    <w:p>
      <w:pPr>
        <w:spacing w:after="120" w:before="0"/>
      </w:pPr>
      <w:r>
        <w:rPr>
          <w:rFonts w:ascii="Calibri" w:hAnsi="Calibri"/>
          <w:b w:val="0"/>
          <w:i w:val="0"/>
          <w:sz w:val="22"/>
        </w:rPr>
        <w:t>Before any prompt engineering or analysis logic changes, establish the measurement infrastructure:</w:t>
      </w:r>
    </w:p>
    <w:p>
      <w:pPr>
        <w:pStyle w:val="ListBullet"/>
        <w:spacing w:after="60" w:before="0"/>
        <w:ind w:left="360"/>
      </w:pPr>
      <w:r>
        <w:rPr>
          <w:rFonts w:ascii="Calibri" w:hAnsi="Calibri"/>
          <w:b w:val="0"/>
          <w:i w:val="0"/>
          <w:sz w:val="22"/>
        </w:rPr>
        <w:t>Unit tests for all pure functions (safety scanner, JSON extraction, phase detection) with zero external dependencies</w:t>
      </w:r>
    </w:p>
    <w:p>
      <w:pPr>
        <w:pStyle w:val="ListBullet"/>
        <w:spacing w:after="60" w:before="0"/>
        <w:ind w:left="360"/>
      </w:pPr>
      <w:r>
        <w:rPr>
          <w:rFonts w:ascii="Calibri" w:hAnsi="Calibri"/>
          <w:b w:val="0"/>
          <w:i w:val="0"/>
          <w:sz w:val="22"/>
        </w:rPr>
        <w:t>Eval harness: 9 fixed clinical scenarios with expected outputs, runnable against a local server instance</w:t>
      </w:r>
    </w:p>
    <w:p>
      <w:pPr>
        <w:pStyle w:val="ListBullet"/>
        <w:spacing w:after="60" w:before="0"/>
        <w:ind w:left="360"/>
      </w:pPr>
      <w:r>
        <w:rPr>
          <w:rFonts w:ascii="Calibri" w:hAnsi="Calibri"/>
          <w:b w:val="0"/>
          <w:i w:val="0"/>
          <w:sz w:val="22"/>
        </w:rPr>
        <w:t>Metrics: safety recall (target 1.0, zero tolerance), RAG retrieval provenance, realtime latency budget (P95 &lt; 3s), cache hit rate (target &gt; 50% after cache key fix)</w:t>
      </w:r>
    </w:p>
    <w:p>
      <w:pPr>
        <w:spacing w:after="120" w:before="0"/>
      </w:pPr>
      <w:r>
        <w:rPr>
          <w:rFonts w:ascii="Calibri" w:hAnsi="Calibri"/>
          <w:b w:val="0"/>
          <w:i w:val="0"/>
          <w:sz w:val="22"/>
        </w:rPr>
        <w:t>No analysis logic change is accepted without running this harness before and after. Safety recall is a non-negotiable gate.</w:t>
      </w:r>
    </w:p>
    <w:p>
      <w:pPr>
        <w:pStyle w:val="Heading2"/>
        <w:spacing w:before="200" w:after="80"/>
      </w:pPr>
      <w:r>
        <w:rPr>
          <w:rFonts w:ascii="Calibri" w:hAnsi="Calibri"/>
          <w:color w:val="2E74B5"/>
          <w:sz w:val="28"/>
        </w:rPr>
        <w:t>Phase 4 — Core Analysis Logic (Weeks 3–4)</w:t>
      </w:r>
    </w:p>
    <w:p>
      <w:pPr>
        <w:spacing w:after="120" w:before="0"/>
      </w:pPr>
      <w:r>
        <w:rPr>
          <w:rFonts w:ascii="Calibri" w:hAnsi="Calibri"/>
          <w:b w:val="0"/>
          <w:i w:val="0"/>
          <w:sz w:val="22"/>
        </w:rPr>
        <w:t>With I/O contracts, corpus, and measurement framework in place:</w:t>
      </w:r>
    </w:p>
    <w:p>
      <w:pPr>
        <w:pStyle w:val="ListBullet"/>
        <w:spacing w:after="60" w:before="0"/>
        <w:ind w:left="360"/>
      </w:pPr>
      <w:r>
        <w:rPr>
          <w:rFonts w:ascii="Calibri" w:hAnsi="Calibri"/>
          <w:b w:val="0"/>
          <w:i w:val="0"/>
          <w:sz w:val="22"/>
        </w:rPr>
        <w:t>Fix the RAG cache key (hash the last-200-word query window; extend TTL to 90 seconds)</w:t>
      </w:r>
    </w:p>
    <w:p>
      <w:pPr>
        <w:pStyle w:val="ListBullet"/>
        <w:spacing w:after="60" w:before="0"/>
        <w:ind w:left="360"/>
      </w:pPr>
      <w:r>
        <w:rPr>
          <w:rFonts w:ascii="Calibri" w:hAnsi="Calibri"/>
          <w:b w:val="0"/>
          <w:i w:val="0"/>
          <w:sz w:val="22"/>
        </w:rPr>
        <w:t>Re-enable the Gemini context cache on the comprehensive path by switching from inline RAG tools to pre-fetched text injection</w:t>
      </w:r>
    </w:p>
    <w:p>
      <w:pPr>
        <w:pStyle w:val="ListBullet"/>
        <w:spacing w:after="60" w:before="0"/>
        <w:ind w:left="360"/>
      </w:pPr>
      <w:r>
        <w:rPr>
          <w:rFonts w:ascii="Calibri" w:hAnsi="Calibri"/>
          <w:b w:val="0"/>
          <w:i w:val="0"/>
          <w:sz w:val="22"/>
        </w:rPr>
        <w:t>Apply safety scanner uniformly across all analysis handlers</w:t>
      </w:r>
    </w:p>
    <w:p>
      <w:pPr>
        <w:pStyle w:val="ListBullet"/>
        <w:spacing w:after="60" w:before="0"/>
        <w:ind w:left="360"/>
      </w:pPr>
      <w:r>
        <w:rPr>
          <w:rFonts w:ascii="Calibri" w:hAnsi="Calibri"/>
          <w:b w:val="0"/>
          <w:i w:val="0"/>
          <w:sz w:val="22"/>
        </w:rPr>
        <w:t>Restructure prompts with transcript in primacy position; move calibration rules to immediately precede the transcript</w:t>
      </w:r>
    </w:p>
    <w:p>
      <w:pPr>
        <w:pStyle w:val="ListBullet"/>
        <w:spacing w:after="60" w:before="0"/>
        <w:ind w:left="360"/>
      </w:pPr>
      <w:r>
        <w:rPr>
          <w:rFonts w:ascii="Calibri" w:hAnsi="Calibri"/>
          <w:b w:val="0"/>
          <w:i w:val="0"/>
          <w:sz w:val="22"/>
        </w:rPr>
        <w:t xml:space="preserve">Raise </w:t>
      </w:r>
      <w:r>
        <w:rPr>
          <w:rFonts w:ascii="Courier New" w:hAnsi="Courier New"/>
          <w:b w:val="0"/>
          <w:i w:val="0"/>
          <w:sz w:val="19"/>
        </w:rPr>
        <w:t>max_output_tokens</w:t>
      </w:r>
      <w:r>
        <w:rPr>
          <w:rFonts w:ascii="Calibri" w:hAnsi="Calibri"/>
          <w:b w:val="0"/>
          <w:i w:val="0"/>
          <w:sz w:val="22"/>
        </w:rPr>
        <w:t xml:space="preserve"> on the comprehensive path to 4,096</w:t>
      </w:r>
    </w:p>
    <w:p>
      <w:pPr>
        <w:pStyle w:val="ListBullet"/>
        <w:spacing w:after="60" w:before="0"/>
        <w:ind w:left="360"/>
      </w:pPr>
      <w:r>
        <w:rPr>
          <w:rFonts w:ascii="Calibri" w:hAnsi="Calibri"/>
          <w:b w:val="0"/>
          <w:i w:val="0"/>
          <w:sz w:val="22"/>
        </w:rPr>
        <w:t>Implement runtime RAG provenance validation</w:t>
      </w:r>
    </w:p>
    <w:p>
      <w:pPr>
        <w:pStyle w:val="Heading2"/>
        <w:spacing w:before="200" w:after="80"/>
      </w:pPr>
      <w:r>
        <w:rPr>
          <w:rFonts w:ascii="Calibri" w:hAnsi="Calibri"/>
          <w:color w:val="2E74B5"/>
          <w:sz w:val="28"/>
        </w:rPr>
        <w:t>Phase 5 — Therapeutic Conversation Testing (Week 4)</w:t>
      </w:r>
    </w:p>
    <w:p>
      <w:pPr>
        <w:spacing w:after="120" w:before="0"/>
      </w:pPr>
      <w:r>
        <w:rPr>
          <w:rFonts w:ascii="Calibri" w:hAnsi="Calibri"/>
          <w:b w:val="0"/>
          <w:i w:val="0"/>
          <w:sz w:val="22"/>
        </w:rPr>
        <w:t>Run the eval harness against real or realistic therapeutic transcript segments. Compare baseline and candidate prompt configurations. Identify cases where the analysis is systematically wrong and iterate on prompt structure.</w:t>
      </w:r>
    </w:p>
    <w:p>
      <w:pPr>
        <w:pStyle w:val="Heading1"/>
        <w:spacing w:before="280" w:after="80"/>
      </w:pPr>
      <w:r>
        <w:rPr>
          <w:rFonts w:ascii="Calibri" w:hAnsi="Calibri"/>
          <w:color w:val="1F497D"/>
          <w:sz w:val="36"/>
        </w:rPr>
        <w:t>4. Month Duration Justification</w:t>
      </w:r>
    </w:p>
    <w:p>
      <w:pPr>
        <w:spacing w:after="120" w:before="0"/>
      </w:pPr>
      <w:r>
        <w:rPr>
          <w:rFonts w:ascii="Calibri" w:hAnsi="Calibri"/>
          <w:b w:val="0"/>
          <w:i w:val="0"/>
          <w:sz w:val="22"/>
        </w:rPr>
        <w:t>Four weeks is the minimum credible duration given the serial dependencies in the workflow:</w:t>
      </w:r>
    </w:p>
    <w:p>
      <w:pPr>
        <w:pStyle w:val="ListBullet"/>
        <w:spacing w:after="60" w:before="0"/>
        <w:ind w:left="360"/>
      </w:pPr>
      <w:r>
        <w:rPr>
          <w:rFonts w:ascii="Calibri" w:hAnsi="Calibri"/>
          <w:b w:val="0"/>
          <w:i w:val="0"/>
          <w:sz w:val="22"/>
        </w:rPr>
      </w:r>
      <w:r>
        <w:rPr>
          <w:rFonts w:ascii="Calibri" w:hAnsi="Calibri"/>
          <w:b/>
          <w:i w:val="0"/>
          <w:sz w:val="22"/>
        </w:rPr>
        <w:t>The corpus must precede the analysis logic.</w:t>
      </w:r>
      <w:r>
        <w:rPr>
          <w:rFonts w:ascii="Calibri" w:hAnsi="Calibri"/>
          <w:b w:val="0"/>
          <w:i w:val="0"/>
          <w:sz w:val="22"/>
        </w:rPr>
        <w:t xml:space="preserve"> There is no value in tuning prompt structure or cache behavior against a corpus that retrieves RCT abstracts. The corpus redesign — metadata schema, ingestion API, validation, re-ingest — cannot be parallelized with the logic that depends on it.</w:t>
      </w:r>
    </w:p>
    <w:p>
      <w:pPr>
        <w:pStyle w:val="ListBullet"/>
        <w:spacing w:after="60" w:before="0"/>
        <w:ind w:left="360"/>
      </w:pPr>
      <w:r>
        <w:rPr>
          <w:rFonts w:ascii="Calibri" w:hAnsi="Calibri"/>
          <w:b w:val="0"/>
          <w:i w:val="0"/>
          <w:sz w:val="22"/>
        </w:rPr>
      </w:r>
      <w:r>
        <w:rPr>
          <w:rFonts w:ascii="Calibri" w:hAnsi="Calibri"/>
          <w:b/>
          <w:i w:val="0"/>
          <w:sz w:val="22"/>
        </w:rPr>
        <w:t>The measurement framework must precede any prompt changes.</w:t>
      </w:r>
      <w:r>
        <w:rPr>
          <w:rFonts w:ascii="Calibri" w:hAnsi="Calibri"/>
          <w:b w:val="0"/>
          <w:i w:val="0"/>
          <w:sz w:val="22"/>
        </w:rPr>
        <w:t xml:space="preserve"> Without a repeatable eval harness, prompt changes are guesses. Clinical scenario content requires review before use as an automated regression gate.</w:t>
      </w:r>
    </w:p>
    <w:p>
      <w:pPr>
        <w:pStyle w:val="ListBullet"/>
        <w:spacing w:after="60" w:before="0"/>
        <w:ind w:left="360"/>
      </w:pPr>
      <w:r>
        <w:rPr>
          <w:rFonts w:ascii="Calibri" w:hAnsi="Calibri"/>
          <w:b w:val="0"/>
          <w:i w:val="0"/>
          <w:sz w:val="22"/>
        </w:rPr>
      </w:r>
      <w:r>
        <w:rPr>
          <w:rFonts w:ascii="Calibri" w:hAnsi="Calibri"/>
          <w:b/>
          <w:i w:val="0"/>
          <w:sz w:val="22"/>
        </w:rPr>
        <w:t>The I/O contracts must precede the logic.</w:t>
      </w:r>
      <w:r>
        <w:rPr>
          <w:rFonts w:ascii="Calibri" w:hAnsi="Calibri"/>
          <w:b w:val="0"/>
          <w:i w:val="0"/>
          <w:sz w:val="22"/>
        </w:rPr>
        <w:t xml:space="preserve"> Schema design decisions made under time pressure accumulate technical debt immediately.</w:t>
      </w:r>
    </w:p>
    <w:p>
      <w:pPr>
        <w:pStyle w:val="ListBullet"/>
        <w:spacing w:after="60" w:before="0"/>
        <w:ind w:left="360"/>
      </w:pPr>
      <w:r>
        <w:rPr>
          <w:rFonts w:ascii="Calibri" w:hAnsi="Calibri"/>
          <w:b w:val="0"/>
          <w:i w:val="0"/>
          <w:sz w:val="22"/>
        </w:rPr>
      </w:r>
      <w:r>
        <w:rPr>
          <w:rFonts w:ascii="Calibri" w:hAnsi="Calibri"/>
          <w:b/>
          <w:i w:val="0"/>
          <w:sz w:val="22"/>
        </w:rPr>
        <w:t>Existing defects require verification, not just patching.</w:t>
      </w:r>
      <w:r>
        <w:rPr>
          <w:rFonts w:ascii="Calibri" w:hAnsi="Calibri"/>
          <w:b w:val="0"/>
          <w:i w:val="0"/>
          <w:sz w:val="22"/>
        </w:rPr>
        <w:t xml:space="preserve"> Each fix needs to be confirmed against the eval harness. A cache key fix that does not produce a measurably positive hit rate is not done.</w:t>
      </w:r>
    </w:p>
    <w:p>
      <w:pPr>
        <w:pStyle w:val="ListBullet"/>
        <w:spacing w:after="60" w:before="0"/>
        <w:ind w:left="360"/>
      </w:pPr>
      <w:r>
        <w:rPr>
          <w:rFonts w:ascii="Calibri" w:hAnsi="Calibri"/>
          <w:b w:val="0"/>
          <w:i w:val="0"/>
          <w:sz w:val="22"/>
        </w:rPr>
      </w:r>
      <w:r>
        <w:rPr>
          <w:rFonts w:ascii="Calibri" w:hAnsi="Calibri"/>
          <w:b/>
          <w:i w:val="0"/>
          <w:sz w:val="22"/>
        </w:rPr>
        <w:t>No parallel acceleration path exists for this scope.</w:t>
      </w:r>
      <w:r>
        <w:rPr>
          <w:rFonts w:ascii="Calibri" w:hAnsi="Calibri"/>
          <w:b w:val="0"/>
          <w:i w:val="0"/>
          <w:sz w:val="22"/>
        </w:rPr>
        <w:t xml:space="preserve"> Adding engineers to Phase 3 before Phase 2 produces rework, not acceleration.</w:t>
      </w:r>
    </w:p>
    <w:p>
      <w:pPr>
        <w:pStyle w:val="Heading1"/>
        <w:spacing w:before="280" w:after="80"/>
      </w:pPr>
      <w:r>
        <w:rPr>
          <w:rFonts w:ascii="Calibri" w:hAnsi="Calibri"/>
          <w:color w:val="1F497D"/>
          <w:sz w:val="36"/>
        </w:rPr>
        <w:t>5. What Is Explicitly Out of Scope</w:t>
      </w:r>
    </w:p>
    <w:p>
      <w:pPr>
        <w:pStyle w:val="ListBullet"/>
        <w:spacing w:after="60" w:before="0"/>
        <w:ind w:left="360"/>
      </w:pPr>
      <w:r>
        <w:rPr>
          <w:rFonts w:ascii="Calibri" w:hAnsi="Calibri"/>
          <w:b w:val="0"/>
          <w:i w:val="0"/>
          <w:sz w:val="22"/>
        </w:rPr>
        <w:t>Frontend modifications</w:t>
      </w:r>
    </w:p>
    <w:p>
      <w:pPr>
        <w:pStyle w:val="ListBullet"/>
        <w:spacing w:after="60" w:before="0"/>
        <w:ind w:left="360"/>
      </w:pPr>
      <w:r>
        <w:rPr>
          <w:rFonts w:ascii="Calibri" w:hAnsi="Calibri"/>
          <w:b w:val="0"/>
          <w:i w:val="0"/>
          <w:sz w:val="22"/>
        </w:rPr>
        <w:t>Portal handlers (homework, interventions, questionnaires, journal)</w:t>
      </w:r>
    </w:p>
    <w:p>
      <w:pPr>
        <w:pStyle w:val="ListBullet"/>
        <w:spacing w:after="60" w:before="0"/>
        <w:ind w:left="360"/>
      </w:pPr>
      <w:r>
        <w:rPr>
          <w:rFonts w:ascii="Calibri" w:hAnsi="Calibri"/>
          <w:b w:val="0"/>
          <w:i w:val="0"/>
          <w:sz w:val="22"/>
        </w:rPr>
        <w:t>Multi-session agent architecture</w:t>
      </w:r>
    </w:p>
    <w:p>
      <w:pPr>
        <w:pStyle w:val="ListBullet"/>
        <w:spacing w:after="60" w:before="0"/>
        <w:ind w:left="360"/>
      </w:pPr>
      <w:r>
        <w:rPr>
          <w:rFonts w:ascii="Calibri" w:hAnsi="Calibri"/>
          <w:b w:val="0"/>
          <w:i w:val="0"/>
          <w:sz w:val="22"/>
        </w:rPr>
        <w:t>Fine-tuning pipeline</w:t>
      </w:r>
    </w:p>
    <w:p>
      <w:pPr>
        <w:pStyle w:val="ListBullet"/>
        <w:spacing w:after="60" w:before="0"/>
        <w:ind w:left="360"/>
      </w:pPr>
      <w:r>
        <w:rPr>
          <w:rFonts w:ascii="Calibri" w:hAnsi="Calibri"/>
          <w:b w:val="0"/>
          <w:i w:val="0"/>
          <w:sz w:val="22"/>
        </w:rPr>
        <w:t>Comparative study harness</w:t>
      </w:r>
    </w:p>
    <w:p>
      <w:pPr>
        <w:pStyle w:val="ListBullet"/>
        <w:spacing w:after="60" w:before="0"/>
        <w:ind w:left="360"/>
      </w:pPr>
      <w:r>
        <w:rPr>
          <w:rFonts w:ascii="Calibri" w:hAnsi="Calibri"/>
          <w:b w:val="0"/>
          <w:i w:val="0"/>
          <w:sz w:val="22"/>
        </w:rPr>
        <w:t>Scheduling system</w:t>
      </w:r>
    </w:p>
    <w:p>
      <w:pPr>
        <w:pStyle w:val="ListBullet"/>
        <w:spacing w:after="60" w:before="0"/>
        <w:ind w:left="360"/>
      </w:pPr>
      <w:r>
        <w:rPr>
          <w:rFonts w:ascii="Calibri" w:hAnsi="Calibri"/>
          <w:b w:val="0"/>
          <w:i w:val="0"/>
          <w:sz w:val="22"/>
        </w:rPr>
        <w:t>Patient portal frontend</w:t>
      </w:r>
    </w:p>
    <w:p>
      <w:pPr>
        <w:spacing w:after="120" w:before="0"/>
      </w:pPr>
      <w:r>
        <w:rPr>
          <w:rFonts w:ascii="Calibri" w:hAnsi="Calibri"/>
          <w:b w:val="0"/>
          <w:i w:val="0"/>
          <w:sz w:val="22"/>
        </w:rPr>
        <w:t>Reintegration of features from the existing codebase will follow after the core is stable and the eval harness is in place to prevent regression.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