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bace90356fb4ba0da875878107974c6a6b831b"/>
    <w:p>
      <w:pPr>
        <w:pStyle w:val="Heading1"/>
      </w:pPr>
      <w:r>
        <w:t xml:space="preserve">Research Diary — Summer D5.4: The IoUs Were Measuring Density, Not Explanation</w:t>
      </w:r>
    </w:p>
    <w:p>
      <w:pPr>
        <w:pStyle w:val="FirstParagraph"/>
      </w:pPr>
      <w:r>
        <w:rPr>
          <w:i/>
          <w:iCs/>
        </w:rPr>
        <w:t xml:space="preserve">Revises D5.2 and D5.3. Both entries reported search IoUs for real units — 0.46–0.65 — and</w:t>
      </w:r>
      <w:r>
        <w:rPr>
          <w:i/>
          <w:iCs/>
        </w:rPr>
        <w:t xml:space="preserve"> </w:t>
      </w:r>
      <w:r>
        <w:rPr>
          <w:i/>
          <w:iCs/>
        </w:rPr>
        <w:t xml:space="preserve">read them as weak-but-real explanation quality, concluding that the concept vocabulary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the search was the binding constraint. That reading does not survive retaining the</w:t>
      </w:r>
      <w:r>
        <w:rPr>
          <w:i/>
          <w:iCs/>
        </w:rPr>
        <w:t xml:space="preserve"> </w:t>
      </w:r>
      <w:r>
        <w:rPr>
          <w:i/>
          <w:iCs/>
        </w:rPr>
        <w:t xml:space="preserve">winning formula. At the activation range we were using, the trivial</w:t>
      </w:r>
      <w:r>
        <w:rPr>
          <w:i/>
          <w:iCs/>
        </w:rPr>
        <w:t xml:space="preserve"> </w:t>
      </w:r>
      <w:r>
        <w:rPr>
          <w:i/>
          <w:iCs/>
        </w:rPr>
        <w:t xml:space="preserve">“fire on everything”</w:t>
      </w:r>
      <w:r>
        <w:rPr>
          <w:i/>
          <w:iCs/>
        </w:rPr>
        <w:t xml:space="preserve"> </w:t>
      </w:r>
      <w:r>
        <w:rPr>
          <w:i/>
          <w:iCs/>
        </w:rPr>
        <w:t xml:space="preserve">formula scores IoU equal to the neuron’s density, our densities were ~0.50, and our IoUs were</w:t>
      </w:r>
      <w:r>
        <w:rPr>
          <w:i/>
          <w:iCs/>
        </w:rPr>
        <w:t xml:space="preserve"> </w:t>
      </w:r>
      <w:r>
        <w:rPr>
          <w:i/>
          <w:iCs/>
        </w:rPr>
        <w:t xml:space="preserve">~1.01x that. The number we were interpreting was the density.</w:t>
      </w:r>
    </w:p>
    <w:p>
      <w:r>
        <w:pict>
          <v:rect style="width:0;height:1.5pt" o:hralign="center" o:hrstd="t" o:hr="t"/>
        </w:pict>
      </w:r>
    </w:p>
    <w:bookmarkStart w:id="9" w:name="headline"/>
    <w:p>
      <w:pPr>
        <w:pStyle w:val="Heading2"/>
      </w:pPr>
      <w:r>
        <w:t xml:space="preserve">0. Headline</w:t>
      </w:r>
    </w:p>
    <w:p>
      <w:pPr>
        <w:pStyle w:val="FirstParagraph"/>
      </w:pPr>
      <w:r>
        <w:t xml:space="preserve">Every IoU in D5.2 and D5.3 sits within about 1% of what a formula that fires on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would score. The search was not finding weak explanations; it was finding</w:t>
      </w:r>
      <w:r>
        <w:t xml:space="preserve"> </w:t>
      </w:r>
      <w:r>
        <w:t xml:space="preserve">high-coverage blankets, and IoU at density 0.5 cannot tell those apart from real ones.</w:t>
      </w:r>
    </w:p>
    <w:p>
      <w:pPr>
        <w:pStyle w:val="BodyText"/>
      </w:pPr>
      <w:r>
        <w:t xml:space="preserve">The instrumentation that caught it is one line: the search returns</w:t>
      </w:r>
      <w:r>
        <w:t xml:space="preserve"> </w:t>
      </w:r>
      <w:r>
        <w:rPr>
          <w:rStyle w:val="VerbatimChar"/>
        </w:rPr>
        <w:t xml:space="preserve">(best_label, best_iou, 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src/real_token_search.py</w:t>
      </w:r>
      <w:r>
        <w:t xml:space="preserve"> </w:t>
      </w:r>
      <w:r>
        <w:t xml:space="preserve">was discarding</w:t>
      </w:r>
      <w:r>
        <w:t xml:space="preserve"> </w:t>
      </w:r>
      <w:r>
        <w:rPr>
          <w:rStyle w:val="VerbatimChar"/>
        </w:rPr>
        <w:t xml:space="preserve">best_label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. Two diary entries</w:t>
      </w:r>
      <w:r>
        <w:t xml:space="preserve"> </w:t>
      </w:r>
      <w:r>
        <w:t xml:space="preserve">reported a score with no record of the formula that produced it.</w:t>
      </w:r>
    </w:p>
    <w:p>
      <w:r>
        <w:pict>
          <v:rect style="width:0;height:1.5pt" o:hralign="center" o:hrstd="t" o:hr="t"/>
        </w:pict>
      </w:r>
    </w:p>
    <w:bookmarkEnd w:id="9"/>
    <w:bookmarkStart w:id="10" w:name="the-suspicion"/>
    <w:p>
      <w:pPr>
        <w:pStyle w:val="Heading2"/>
      </w:pPr>
      <w:r>
        <w:t xml:space="preserve">1. The suspicion</w:t>
      </w:r>
    </w:p>
    <w:p>
      <w:pPr>
        <w:pStyle w:val="FirstParagraph"/>
      </w:pPr>
      <w:r>
        <w:t xml:space="preserve">Best IoU for every real unit almost exactly equals that unit’s own activation density: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</w:tr>
    </w:tbl>
    <w:p>
      <w:pPr>
        <w:pStyle w:val="BodyText"/>
      </w:pPr>
      <w:r>
        <w:t xml:space="preserve">r = 0.98, mean |IoU − density| = 0.011.</w:t>
      </w:r>
    </w:p>
    <w:p>
      <w:pPr>
        <w:pStyle w:val="BodyText"/>
      </w:pPr>
      <w:r>
        <w:t xml:space="preserve">A formula F that fires everywhere gives |F∩N|/|F∪N| = d/1 = d. So IoU ≈ density is the</w:t>
      </w:r>
      <w:r>
        <w:t xml:space="preserve"> </w:t>
      </w:r>
      <w:r>
        <w:t xml:space="preserve">signature of a near-universal formula carrying no information about the neuron.</w:t>
      </w:r>
    </w:p>
    <w:p>
      <w:pPr>
        <w:pStyle w:val="BodyText"/>
      </w:pPr>
      <w:r>
        <w:t xml:space="preserve">The proxy neuron, on identical masks and identical code, scores IoU 0.905 at density 0.43 —</w:t>
      </w:r>
      <w:r>
        <w:t xml:space="preserve"> </w:t>
      </w:r>
      <w:r>
        <w:t xml:space="preserve">2.1x its density. So the pipeline was sound and the problem was specific to real targets.</w:t>
      </w:r>
    </w:p>
    <w:p>
      <w:r>
        <w:pict>
          <v:rect style="width:0;height:1.5pt" o:hralign="center" o:hrstd="t" o:hr="t"/>
        </w:pict>
      </w:r>
    </w:p>
    <w:bookmarkEnd w:id="10"/>
    <w:bookmarkStart w:id="11" w:name="Xfa35336d1886e3262b6854bb9d420c85432ebf9"/>
    <w:p>
      <w:pPr>
        <w:pStyle w:val="Heading2"/>
      </w:pPr>
      <w:r>
        <w:t xml:space="preserve">2. Instrumentation (</w:t>
      </w:r>
      <w:r>
        <w:rPr>
          <w:rStyle w:val="VerbatimChar"/>
        </w:rPr>
        <w:t xml:space="preserve">results/formula_dump_K15.csv</w:t>
      </w:r>
      <w:r>
        <w:t xml:space="preserve">)</w:t>
      </w:r>
    </w:p>
    <w:p>
      <w:pPr>
        <w:pStyle w:val="FirstParagraph"/>
      </w:pPr>
      <w:r>
        <w:t xml:space="preserve">Added to the per-unit output, downstream of the search and touching nothing it reads: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formula_cov</w:t>
      </w:r>
      <w:r>
        <w:t xml:space="preserve">,</w:t>
      </w:r>
      <w:r>
        <w:t xml:space="preserve"> </w:t>
      </w:r>
      <w:r>
        <w:rPr>
          <w:rStyle w:val="VerbatimChar"/>
        </w:rPr>
        <w:t xml:space="preserve">n_and</w:t>
      </w:r>
      <w:r>
        <w:t xml:space="preserve">/</w:t>
      </w:r>
      <w:r>
        <w:rPr>
          <w:rStyle w:val="VerbatimChar"/>
        </w:rPr>
        <w:t xml:space="preserve">n_or</w:t>
      </w:r>
      <w:r>
        <w:t xml:space="preserve">/</w:t>
      </w:r>
      <w:r>
        <w:rPr>
          <w:rStyle w:val="VerbatimChar"/>
        </w:rPr>
        <w:t xml:space="preserve">n_not</w:t>
      </w:r>
      <w:r>
        <w:t xml:space="preserve">,</w:t>
      </w:r>
      <w:r>
        <w:t xml:space="preserve"> </w:t>
      </w:r>
      <w:r>
        <w:rPr>
          <w:rStyle w:val="VerbatimChar"/>
        </w:rPr>
        <w:t xml:space="preserve">or_categories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max_same_cat_or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formula_cov</w:t>
      </w:r>
      <w:r>
        <w:t xml:space="preserve"> </w:t>
      </w:r>
      <w:r>
        <w:t xml:space="preserve">are now</w:t>
      </w:r>
      <w:r>
        <w:t xml:space="preserve"> </w:t>
      </w:r>
      <w:r>
        <w:rPr>
          <w:b/>
          <w:bCs/>
        </w:rPr>
        <w:t xml:space="preserve">permanent columns</w:t>
      </w:r>
      <w:r>
        <w:t xml:space="preserve"> </w:t>
      </w:r>
      <w:r>
        <w:t xml:space="preserve">— their absence is why this went</w:t>
      </w:r>
      <w:r>
        <w:t xml:space="preserve"> </w:t>
      </w:r>
      <w:r>
        <w:t xml:space="preserve">undetected across two entries.</w:t>
      </w:r>
    </w:p>
    <w:p>
      <w:pPr>
        <w:pStyle w:val="BodyText"/>
      </w:pPr>
      <w:r>
        <w:t xml:space="preserve">Every IoU reproduced the D5.2/D5.3 CSVs to four decimal places, so this is the same search.</w:t>
      </w:r>
    </w:p>
    <w:p>
      <w:pPr>
        <w:pStyle w:val="BodyText"/>
      </w:pPr>
      <w:r>
        <w:t xml:space="preserve">One incidental find: upstream’s</w:t>
      </w:r>
      <w:r>
        <w:t xml:space="preserve"> </w:t>
      </w:r>
      <w:r>
        <w:rPr>
          <w:rStyle w:val="VerbatimChar"/>
        </w:rPr>
        <w:t xml:space="preserve">BinaryNode.to_str</w:t>
      </w:r>
      <w:r>
        <w:t xml:space="preserve"> </w:t>
      </w:r>
      <w:r>
        <w:t xml:space="preserve">forwards a</w:t>
      </w:r>
      <w:r>
        <w:t xml:space="preserve"> </w:t>
      </w:r>
      <w:r>
        <w:rPr>
          <w:rStyle w:val="VerbatimChar"/>
        </w:rPr>
        <w:t xml:space="preserve">sort=</w:t>
      </w:r>
      <w:r>
        <w:t xml:space="preserve"> </w:t>
      </w:r>
      <w:r>
        <w:t xml:space="preserve">kwarg that</w:t>
      </w:r>
      <w:r>
        <w:t xml:space="preserve"> </w:t>
      </w:r>
      <w:r>
        <w:rPr>
          <w:rStyle w:val="VerbatimChar"/>
        </w:rPr>
        <w:t xml:space="preserve">Leaf.to_str</w:t>
      </w:r>
      <w:r>
        <w:t xml:space="preserve"> </w:t>
      </w:r>
      <w:r>
        <w:t xml:space="preserve">does not accept, so it raises on any leaf child. Formulas are rendered by hand.</w:t>
      </w:r>
    </w:p>
    <w:p>
      <w:r>
        <w:pict>
          <v:rect style="width:0;height:1.5pt" o:hralign="center" o:hrstd="t" o:hr="t"/>
        </w:pict>
      </w:r>
    </w:p>
    <w:bookmarkEnd w:id="11"/>
    <w:bookmarkStart w:id="12" w:name="what-the-formulas-actually-are"/>
    <w:p>
      <w:pPr>
        <w:pStyle w:val="Heading2"/>
      </w:pPr>
      <w:r>
        <w:t xml:space="preserve">3. What the formulas actually are</w:t>
      </w:r>
    </w:p>
    <w:p>
      <w:pPr>
        <w:pStyle w:val="SourceCode"/>
      </w:pPr>
      <w:r>
        <w:rPr>
          <w:rStyle w:val="VerbatimChar"/>
        </w:rPr>
        <w:t xml:space="preserve">tr 109  (((const=NP OR const=VP) OR dep=nsubj) OR dep=punct)          cov 0.956</w:t>
      </w:r>
      <w:r>
        <w:br/>
      </w:r>
      <w:r>
        <w:rPr>
          <w:rStyle w:val="VerbatimChar"/>
        </w:rPr>
        <w:t xml:space="preserve">tr 115  (((const=NP AND (NOT const=PP)) OR const=VP) OR tag=IN)       cov 0.788</w:t>
      </w:r>
      <w:r>
        <w:br/>
      </w:r>
      <w:r>
        <w:rPr>
          <w:rStyle w:val="VerbatimChar"/>
        </w:rPr>
        <w:t xml:space="preserve">tr 369  (((const=VP OR const=PP) AND (NOT dep=nsubj)) OR dep=punct)   cov 0.756</w:t>
      </w:r>
      <w:r>
        <w:br/>
      </w:r>
      <w:r>
        <w:rPr>
          <w:rStyle w:val="VerbatimChar"/>
        </w:rPr>
        <w:t xml:space="preserve">tr 389  (((const=NP AND (NOT tag=DT)) OR const=VP) OR dep=punct)      cov 0.859</w:t>
      </w:r>
      <w:r>
        <w:br/>
      </w:r>
      <w:r>
        <w:rPr>
          <w:rStyle w:val="VerbatimChar"/>
        </w:rPr>
        <w:t xml:space="preserve">tr 506  (((const=NP OR const=VP) AND (NOT dep=prep)) OR dep=punct)    cov 0.829</w:t>
      </w:r>
      <w:r>
        <w:br/>
      </w:r>
      <w:r>
        <w:rPr>
          <w:rStyle w:val="VerbatimChar"/>
        </w:rPr>
        <w:t xml:space="preserve">un  88  (((const=NP AND (NOT tag=DT)) OR const=VP) OR const=PP)       cov 0.839</w:t>
      </w:r>
      <w:r>
        <w:br/>
      </w:r>
      <w:r>
        <w:rPr>
          <w:rStyle w:val="VerbatimChar"/>
        </w:rPr>
        <w:t xml:space="preserve">un  92  (((const=NP OR const=VP) OR const=PP) OR dep=punct)           cov 0.954</w:t>
      </w:r>
      <w:r>
        <w:br/>
      </w:r>
      <w:r>
        <w:rPr>
          <w:rStyle w:val="VerbatimChar"/>
        </w:rPr>
        <w:t xml:space="preserve">un 396  (((const=NP OR const=VP) OR dep=nsubj) OR dep=punct)          cov 0.956</w:t>
      </w:r>
      <w:r>
        <w:br/>
      </w:r>
      <w:r>
        <w:rPr>
          <w:rStyle w:val="VerbatimChar"/>
        </w:rPr>
        <w:t xml:space="preserve">un 510  (((const=NP OR dep=punct) AND (NOT lemma=a)) OR const=VP)     cov 0.880</w:t>
      </w:r>
      <w:r>
        <w:br/>
      </w:r>
      <w:r>
        <w:rPr>
          <w:rStyle w:val="VerbatimChar"/>
        </w:rPr>
        <w:t xml:space="preserve">proxy   ((dep=det OR tag=IN) OR dep=pobj)                             cov 0.424</w:t>
      </w:r>
    </w:p>
    <w:p>
      <w:pPr>
        <w:pStyle w:val="FirstParagraph"/>
      </w:pPr>
      <w:r>
        <w:rPr>
          <w:b/>
          <w:bCs/>
        </w:rPr>
        <w:t xml:space="preserve">The mechanism I predicted was wrong.</w:t>
      </w:r>
      <w:r>
        <w:t xml:space="preserve"> </w:t>
      </w:r>
      <w:r>
        <w:t xml:space="preserve">I expected an OR over a near-partition of one</w:t>
      </w:r>
      <w:r>
        <w:t xml:space="preserve"> </w:t>
      </w:r>
      <w:r>
        <w:t xml:space="preserve">annotation category — mutually exclusive concepts unioning additively with no interaction</w:t>
      </w:r>
      <w:r>
        <w:t xml:space="preserve"> </w:t>
      </w:r>
      <w:r>
        <w:t xml:space="preserve">penalty. That is not what happened:</w:t>
      </w:r>
      <w:r>
        <w:t xml:space="preserve"> </w:t>
      </w:r>
      <w:r>
        <w:rPr>
          <w:rStyle w:val="VerbatimChar"/>
        </w:rPr>
        <w:t xml:space="preserve">max_same_cat_or</w:t>
      </w:r>
      <w:r>
        <w:t xml:space="preserve"> </w:t>
      </w:r>
      <w:r>
        <w:t xml:space="preserve">is 1–3 of ≤4 terms and the OR terms mix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dep</w:t>
      </w:r>
      <w:r>
        <w:t xml:space="preserve">/</w:t>
      </w:r>
      <w:r>
        <w:rPr>
          <w:rStyle w:val="VerbatimChar"/>
        </w:rPr>
        <w:t xml:space="preserve">tag</w:t>
      </w:r>
      <w:r>
        <w:t xml:space="preserve">/</w:t>
      </w:r>
      <w:r>
        <w:rPr>
          <w:rStyle w:val="VerbatimChar"/>
        </w:rPr>
        <w:t xml:space="preserve">lemma</w:t>
      </w:r>
      <w:r>
        <w:t xml:space="preserve">. Six of nine formulas spend an operator on an</w:t>
      </w:r>
      <w:r>
        <w:t xml:space="preserve"> </w:t>
      </w:r>
      <w:r>
        <w:rPr>
          <w:rStyle w:val="VerbatimChar"/>
        </w:rPr>
        <w:t xml:space="preserve">AND (NOT …)</w:t>
      </w:r>
      <w:r>
        <w:t xml:space="preserve">,</w:t>
      </w:r>
      <w:r>
        <w:t xml:space="preserve"> </w:t>
      </w:r>
      <w:r>
        <w:t xml:space="preserve">a narrowing move the degenerate story says should never pay.</w:t>
      </w:r>
    </w:p>
    <w:p>
      <w:pPr>
        <w:pStyle w:val="BodyText"/>
      </w:pPr>
      <w:r>
        <w:t xml:space="preserve">The actual mechanism is that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spans</w:t>
      </w:r>
      <w:r>
        <w:t xml:space="preserve"> </w:t>
      </w:r>
      <w:r>
        <w:rPr>
          <w:b/>
          <w:bCs/>
        </w:rPr>
        <w:t xml:space="preserve">nest</w:t>
      </w:r>
      <w:r>
        <w:t xml:space="preserve"> </w:t>
      </w:r>
      <w:r>
        <w:t xml:space="preserve">— a token is inside an NP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PP at</w:t>
      </w:r>
      <w:r>
        <w:t xml:space="preserve"> </w:t>
      </w:r>
      <w:r>
        <w:t xml:space="preserve">once — so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is precisely not disjoint, and it supplies the three highest-coverage</w:t>
      </w:r>
      <w:r>
        <w:t xml:space="preserve"> </w:t>
      </w:r>
      <w:r>
        <w:t xml:space="preserve">concepts in the K=15 vocabulary:</w:t>
      </w:r>
      <w:r>
        <w:t xml:space="preserve"> </w:t>
      </w:r>
      <w:r>
        <w:rPr>
          <w:rStyle w:val="VerbatimChar"/>
        </w:rPr>
        <w:t xml:space="preserve">const=NP</w:t>
      </w:r>
      <w:r>
        <w:t xml:space="preserve"> </w:t>
      </w:r>
      <w:r>
        <w:t xml:space="preserve">0.661,</w:t>
      </w:r>
      <w:r>
        <w:t xml:space="preserve"> </w:t>
      </w:r>
      <w:r>
        <w:rPr>
          <w:rStyle w:val="VerbatimChar"/>
        </w:rPr>
        <w:t xml:space="preserve">const=VP</w:t>
      </w:r>
      <w:r>
        <w:t xml:space="preserve"> </w:t>
      </w:r>
      <w:r>
        <w:t xml:space="preserve">0.543,</w:t>
      </w:r>
      <w:r>
        <w:t xml:space="preserve"> </w:t>
      </w:r>
      <w:r>
        <w:rPr>
          <w:rStyle w:val="VerbatimChar"/>
        </w:rPr>
        <w:t xml:space="preserve">const=PP</w:t>
      </w:r>
      <w:r>
        <w:t xml:space="preserve"> </w:t>
      </w:r>
      <w:r>
        <w:t xml:space="preserve">0.428.</w:t>
      </w:r>
      <w:r>
        <w:t xml:space="preserve"> </w:t>
      </w:r>
      <w:r>
        <w:t xml:space="preserve">Nothing else clears 0.23. Every winning formula is anchored on NP or VP.</w:t>
      </w:r>
    </w:p>
    <w:p>
      <w:pPr>
        <w:pStyle w:val="BodyText"/>
      </w:pPr>
      <w:r>
        <w:t xml:space="preserve">Two further signs this is an attractor in the concept set rather than anything about the</w:t>
      </w:r>
      <w:r>
        <w:t xml:space="preserve"> </w:t>
      </w:r>
      <w:r>
        <w:t xml:space="preserve">neurons: untrained 396 and trained 109 returned the</w:t>
      </w:r>
      <w:r>
        <w:t xml:space="preserve"> </w:t>
      </w:r>
      <w:r>
        <w:rPr>
          <w:b/>
          <w:bCs/>
        </w:rPr>
        <w:t xml:space="preserve">identical formula</w:t>
      </w:r>
      <w:r>
        <w:t xml:space="preserve"> </w:t>
      </w:r>
      <w:r>
        <w:t xml:space="preserve">despite different</w:t>
      </w:r>
      <w:r>
        <w:t xml:space="preserve"> </w:t>
      </w:r>
      <w:r>
        <w:t xml:space="preserve">activations and densities; and the search’s advantage over the trivial baseline 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IoU /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units</w:t>
            </w:r>
          </w:p>
        </w:tc>
        <w:tc>
          <w:tcPr/>
          <w:p>
            <w:pPr>
              <w:pStyle w:val="Compact"/>
            </w:pPr>
            <w:r>
              <w:t xml:space="preserve">0.974 – 1.047, mean 1.008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2.090</w:t>
            </w:r>
          </w:p>
        </w:tc>
      </w:tr>
    </w:tbl>
    <w:p>
      <w:pPr>
        <w:pStyle w:val="BodyText"/>
      </w:pPr>
      <w:r>
        <w:t xml:space="preserve">Three real units score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all-firing baseline. The single best individual concept</w:t>
      </w:r>
      <w:r>
        <w:t xml:space="preserve"> </w:t>
      </w:r>
      <w:r>
        <w:t xml:space="preserve">does worse still (0.355–0.541). The AND-NOT is real optimization buying 1–5%, not an</w:t>
      </w:r>
      <w:r>
        <w:t xml:space="preserve"> </w:t>
      </w:r>
      <w:r>
        <w:t xml:space="preserve">explanation.</w:t>
      </w:r>
    </w:p>
    <w:p>
      <w:r>
        <w:pict>
          <v:rect style="width:0;height:1.5pt" o:hralign="center" o:hrstd="t" o:hr="t"/>
        </w:pict>
      </w:r>
    </w:p>
    <w:bookmarkEnd w:id="12"/>
    <w:bookmarkStart w:id="13" w:name="withdrawal"/>
    <w:p>
      <w:pPr>
        <w:pStyle w:val="Heading2"/>
      </w:pPr>
      <w:r>
        <w:t xml:space="preserve">4. Withdrawal</w:t>
      </w:r>
    </w:p>
    <w:p>
      <w:pPr>
        <w:pStyle w:val="FirstParagraph"/>
      </w:pPr>
      <w:r>
        <w:t xml:space="preserve">The IoU-based conclusions in D5.2 §3 and D5.3 §3–§5 are withdrawn. Specifically:</w:t>
      </w:r>
    </w:p>
    <w:p>
      <w:pPr>
        <w:pStyle w:val="Compact"/>
        <w:numPr>
          <w:ilvl w:val="0"/>
          <w:numId w:val="1001"/>
        </w:numPr>
      </w:pPr>
      <w:r>
        <w:t xml:space="preserve">Any reading of real-unit IoU 0.46–0.65 as</w:t>
      </w:r>
      <w:r>
        <w:t xml:space="preserve"> </w:t>
      </w:r>
      <w:r>
        <w:t xml:space="preserve">“somewhat explainable”</w:t>
      </w:r>
      <w:r>
        <w:t xml:space="preserve"> </w:t>
      </w:r>
      <w:r>
        <w:t xml:space="preserve">is measuring density.</w:t>
      </w:r>
    </w:p>
    <w:p>
      <w:pPr>
        <w:pStyle w:val="Compact"/>
        <w:numPr>
          <w:ilvl w:val="0"/>
          <w:numId w:val="1001"/>
        </w:numPr>
      </w:pPr>
      <w:r>
        <w:t xml:space="preserve">The D5.3 trained-vs-untrained IoU comparison tracks the density gap and survives no</w:t>
      </w:r>
      <w:r>
        <w:t xml:space="preserve"> </w:t>
      </w:r>
      <w:r>
        <w:t xml:space="preserve">correction for it. That entry already flagged the difference as unestablished at n=5; the</w:t>
      </w:r>
      <w:r>
        <w:t xml:space="preserve"> </w:t>
      </w:r>
      <w:r>
        <w:t xml:space="preserve">reason is worse than sample size.</w:t>
      </w:r>
    </w:p>
    <w:p>
      <w:pPr>
        <w:pStyle w:val="Compact"/>
        <w:numPr>
          <w:ilvl w:val="0"/>
          <w:numId w:val="1001"/>
        </w:numPr>
      </w:pPr>
      <w:r>
        <w:t xml:space="preserve">D5.3 §5’s conclusion that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 </w:t>
      </w:r>
      <w:r>
        <w:t xml:space="preserve">is the binding constraint is unsupported. The</w:t>
      </w:r>
      <w:r>
        <w:t xml:space="preserve"> </w:t>
      </w:r>
      <w:r>
        <w:t xml:space="preserve">binding constraint was the activation range, which D5.5 corrects.</w:t>
      </w:r>
    </w:p>
    <w:p>
      <w:pPr>
        <w:pStyle w:val="FirstParagraph"/>
      </w:pPr>
      <w:r>
        <w:rPr>
          <w:b/>
          <w:bCs/>
        </w:rPr>
        <w:t xml:space="preserve">Untouched:</w:t>
      </w:r>
      <w:r>
        <w:t xml:space="preserve"> </w:t>
      </w:r>
      <w:r>
        <w:t xml:space="preserve">the frontier-explosion and search-cost results in D5.1–D5.3. They do not</w:t>
      </w:r>
      <w:r>
        <w:t xml:space="preserve"> </w:t>
      </w:r>
      <w:r>
        <w:t xml:space="preserve">depend on what the winning formula was.</w:t>
      </w:r>
    </w:p>
    <w:p>
      <w:r>
        <w:pict>
          <v:rect style="width:0;height:1.5pt" o:hralign="center" o:hrstd="t" o:hr="t"/>
        </w:pict>
      </w:r>
    </w:p>
    <w:bookmarkEnd w:id="13"/>
    <w:bookmarkStart w:id="14" w:name="why-it-took-two-entries"/>
    <w:p>
      <w:pPr>
        <w:pStyle w:val="Heading2"/>
      </w:pPr>
      <w:r>
        <w:t xml:space="preserve">5. Why it took two entries</w:t>
      </w:r>
    </w:p>
    <w:p>
      <w:pPr>
        <w:pStyle w:val="FirstParagraph"/>
      </w:pPr>
      <w:r>
        <w:t xml:space="preserve">A score with no artifact attached cannot be sanity-checked.</w:t>
      </w:r>
      <w:r>
        <w:t xml:space="preserve"> </w:t>
      </w:r>
      <w:r>
        <w:rPr>
          <w:rStyle w:val="VerbatimChar"/>
        </w:rPr>
        <w:t xml:space="preserve">best_iou</w:t>
      </w:r>
      <w:r>
        <w:t xml:space="preserve"> </w:t>
      </w:r>
      <w:r>
        <w:t xml:space="preserve">is a float that always</w:t>
      </w:r>
      <w:r>
        <w:t xml:space="preserve"> </w:t>
      </w:r>
      <w:r>
        <w:t xml:space="preserve">looks plausible;</w:t>
      </w:r>
      <w:r>
        <w:t xml:space="preserve"> </w:t>
      </w:r>
      <w:r>
        <w:rPr>
          <w:rStyle w:val="VerbatimChar"/>
        </w:rPr>
        <w:t xml:space="preserve">formula_cov = 0.956</w:t>
      </w:r>
      <w:r>
        <w:t xml:space="preserve"> </w:t>
      </w:r>
      <w:r>
        <w:t xml:space="preserve">is obviously wrong the moment you see it. The fix is</w:t>
      </w:r>
      <w:r>
        <w:t xml:space="preserve"> </w:t>
      </w:r>
      <w:r>
        <w:t xml:space="preserve">not vigilance, it is retaining the object alongside the score, which is now permanent.</w:t>
      </w:r>
    </w:p>
    <w:p>
      <w:r>
        <w:pict>
          <v:rect style="width:0;height:1.5pt" o:hralign="center" o:hrstd="t" o:hr="t"/>
        </w:pict>
      </w:r>
    </w:p>
    <w:bookmarkEnd w:id="14"/>
    <w:bookmarkStart w:id="15" w:name="artifacts"/>
    <w:p>
      <w:pPr>
        <w:pStyle w:val="Heading2"/>
      </w:pPr>
      <w:r>
        <w:t xml:space="preserve">6. Artifacts</w:t>
      </w:r>
    </w:p>
    <w:p>
      <w:pPr>
        <w:pStyle w:val="Compact"/>
        <w:numPr>
          <w:ilvl w:val="0"/>
          <w:numId w:val="1002"/>
        </w:numPr>
      </w:pPr>
      <w:r>
        <w:t xml:space="preserve">Instrumentation:</w:t>
      </w:r>
      <w:r>
        <w:t xml:space="preserve"> </w:t>
      </w:r>
      <w:r>
        <w:rPr>
          <w:rStyle w:val="VerbatimChar"/>
        </w:rPr>
        <w:t xml:space="preserve">src/real_token_search.py</w:t>
      </w:r>
      <w:r>
        <w:t xml:space="preserve"> </w:t>
      </w:r>
      <w:r>
        <w:t xml:space="preserve">(formula columns, now permanent)</w:t>
      </w:r>
    </w:p>
    <w:p>
      <w:pPr>
        <w:pStyle w:val="Compact"/>
        <w:numPr>
          <w:ilvl w:val="0"/>
          <w:numId w:val="1002"/>
        </w:numPr>
      </w:pPr>
      <w:r>
        <w:t xml:space="preserve">Dump:</w:t>
      </w:r>
      <w:r>
        <w:t xml:space="preserve"> </w:t>
      </w:r>
      <w:r>
        <w:rPr>
          <w:rStyle w:val="VerbatimChar"/>
        </w:rPr>
        <w:t xml:space="preserve">results/formula_dump_K15.csv</w:t>
      </w:r>
      <w:r>
        <w:t xml:space="preserve"> </w:t>
      </w:r>
      <w:r>
        <w:t xml:space="preserve">(M=2,547, alpha=0 — superseded by D5.5, retained for</w:t>
      </w:r>
      <w:r>
        <w:t xml:space="preserve"> </w:t>
      </w:r>
      <w:r>
        <w:t xml:space="preserve">provenance)</w:t>
      </w:r>
    </w:p>
    <w:p>
      <w:pPr>
        <w:pStyle w:val="Compact"/>
        <w:numPr>
          <w:ilvl w:val="0"/>
          <w:numId w:val="1002"/>
        </w:numPr>
      </w:pPr>
      <w:r>
        <w:t xml:space="preserve">Next: D5.5, which identifies the activation range as the cause and re-runs the protocol.</w:t>
      </w:r>
    </w:p>
    <w:bookmarkEnd w:id="15"/>
    <w:bookmarkEnd w:id="16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2026-07-31T22:03:44Z</dcterms:created>
  <dcterms:modified xsi:type="dcterms:W3CDTF">2026-07-31T22:03:44Z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