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sdt>
        <w:sdtPr>
          <w:id w:val="-661872674"/>
          <w:tag w:val="goog_rdk_0"/>
        </w:sdtPr>
        <w:sdtContent>
          <w:r w:rsidDel="00000000" w:rsidR="00000000" w:rsidRPr="00000000">
            <w:rPr>
              <w:rFonts w:ascii="Gungsuh" w:cs="Gungsuh" w:eastAsia="Gungsuh" w:hAnsi="Gungsuh"/>
              <w:b w:val="1"/>
              <w:bCs w:val="1"/>
              <w:sz w:val="44"/>
              <w:szCs w:val="44"/>
              <w:rtl w:val="0"/>
            </w:rPr>
            <w:t xml:space="preserve">研究計畫書（擴充版）</w:t>
          </w:r>
        </w:sdtContent>
      </w:sdt>
      <w:r w:rsidDel="00000000" w:rsidR="00000000" w:rsidRPr="00000000">
        <w:rPr>
          <w:rtl w:val="0"/>
        </w:rPr>
      </w:r>
    </w:p>
    <w:p w:rsidR="00000000" w:rsidDel="00000000" w:rsidP="00000000" w:rsidRDefault="00000000" w:rsidRPr="00000000" w14:paraId="00000008">
      <w:pPr>
        <w:jc w:val="center"/>
        <w:rPr/>
      </w:pPr>
      <w:sdt>
        <w:sdtPr>
          <w:id w:val="-1803674900"/>
          <w:tag w:val="goog_rdk_1"/>
        </w:sdtPr>
        <w:sdtContent>
          <w:r w:rsidDel="00000000" w:rsidR="00000000" w:rsidRPr="00000000">
            <w:rPr>
              <w:rFonts w:ascii="Gungsuh" w:cs="Gungsuh" w:eastAsia="Gungsuh" w:hAnsi="Gungsuh"/>
              <w:b w:val="1"/>
              <w:bCs w:val="1"/>
              <w:sz w:val="32"/>
              <w:szCs w:val="32"/>
              <w:rtl w:val="0"/>
            </w:rPr>
            <w:t xml:space="preserve">技術型高中電機電子群 AI 輔助教學轉型：</w:t>
            <w:br w:type="textWrapping"/>
            <w:t xml:space="preserve">PPM 架構下轉換意願與 AIPACK 專業能力建構之 IPA 分析</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sdt>
        <w:sdtPr>
          <w:id w:val="1656537807"/>
          <w:tag w:val="goog_rdk_2"/>
        </w:sdtPr>
        <w:sdtContent>
          <w:r w:rsidDel="00000000" w:rsidR="00000000" w:rsidRPr="00000000">
            <w:rPr>
              <w:rFonts w:ascii="Gungsuh" w:cs="Gungsuh" w:eastAsia="Gungsuh" w:hAnsi="Gungsuh"/>
              <w:i w:val="1"/>
              <w:iCs w:val="1"/>
              <w:sz w:val="28"/>
              <w:szCs w:val="28"/>
              <w:rtl w:val="0"/>
            </w:rPr>
            <w:t xml:space="preserve">——探討 PPM 架構下繫住力之干擾與中介效應</w:t>
          </w:r>
        </w:sdtContent>
      </w:sdt>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sdt>
        <w:sdtPr>
          <w:id w:val="1084636784"/>
          <w:tag w:val="goog_rdk_3"/>
        </w:sdtPr>
        <w:sdtContent>
          <w:r w:rsidDel="00000000" w:rsidR="00000000" w:rsidRPr="00000000">
            <w:rPr>
              <w:rFonts w:ascii="Gungsuh" w:cs="Gungsuh" w:eastAsia="Gungsuh" w:hAnsi="Gungsuh"/>
              <w:sz w:val="24"/>
              <w:szCs w:val="24"/>
              <w:rtl w:val="0"/>
            </w:rPr>
            <w:t xml:space="preserve">2026 年 6 月</w:t>
          </w:r>
        </w:sdtContent>
      </w:sdt>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sdt>
        <w:sdtPr>
          <w:id w:val="-1463125715"/>
          <w:tag w:val="goog_rdk_4"/>
        </w:sdtPr>
        <w:sdtContent>
          <w:r w:rsidDel="00000000" w:rsidR="00000000" w:rsidRPr="00000000">
            <w:rPr>
              <w:rFonts w:ascii="Gungsuh" w:cs="Gungsuh" w:eastAsia="Gungsuh" w:hAnsi="Gungsuh"/>
              <w:rtl w:val="0"/>
            </w:rPr>
            <w:t xml:space="preserve">第一章　研究背景與動機</w:t>
          </w:r>
        </w:sdtContent>
      </w:sdt>
      <w:r w:rsidDel="00000000" w:rsidR="00000000" w:rsidRPr="00000000">
        <w:rPr>
          <w:rtl w:val="0"/>
        </w:rPr>
      </w:r>
    </w:p>
    <w:p w:rsidR="00000000" w:rsidDel="00000000" w:rsidP="00000000" w:rsidRDefault="00000000" w:rsidRPr="00000000" w14:paraId="00000012">
      <w:pPr>
        <w:pStyle w:val="Heading2"/>
        <w:rPr/>
      </w:pPr>
      <w:sdt>
        <w:sdtPr>
          <w:id w:val="-967967569"/>
          <w:tag w:val="goog_rdk_5"/>
        </w:sdtPr>
        <w:sdtContent>
          <w:r w:rsidDel="00000000" w:rsidR="00000000" w:rsidRPr="00000000">
            <w:rPr>
              <w:rFonts w:ascii="Gungsuh" w:cs="Gungsuh" w:eastAsia="Gungsuh" w:hAnsi="Gungsuh"/>
              <w:rtl w:val="0"/>
            </w:rPr>
            <w:t xml:space="preserve">第一節　研究背景</w:t>
          </w:r>
        </w:sdtContent>
      </w:sdt>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sdt>
        <w:sdtPr>
          <w:id w:val="-1590732698"/>
          <w:tag w:val="goog_rdk_6"/>
        </w:sdtPr>
        <w:sdtContent>
          <w:r w:rsidDel="00000000" w:rsidR="00000000" w:rsidRPr="00000000">
            <w:rPr>
              <w:rFonts w:ascii="Gungsuh" w:cs="Gungsuh" w:eastAsia="Gungsuh" w:hAnsi="Gungsuh"/>
              <w:rtl w:val="0"/>
            </w:rPr>
            <w:t xml:space="preserve">人工智慧（Artificial Intelligence, AI）在教育領域的應用已從概念驗證邁入實務整合階段。Cao et al.（2026）針對 2,166 位教師的大規模研究指出，AI-TPACK 已成為數位轉型中可測量的具體成果，其中 AI 倫理知識（β = 0.42）與 AI 科技學科知識（β = 0.38）為最強的預測因子。聯合國教科文組織（UNESCO, 2024）亦發布 AI 教師能力框架，涵蓋以人為本思維、倫理、AI 基礎、AI 教學法、以及 AI 用於專業發展等五大維度，顯示 AI 融入教學已成為全球教育政策的核心議題。</w:t>
          </w:r>
        </w:sdtContent>
      </w:sdt>
    </w:p>
    <w:p w:rsidR="00000000" w:rsidDel="00000000" w:rsidP="00000000" w:rsidRDefault="00000000" w:rsidRPr="00000000" w14:paraId="00000014">
      <w:pPr>
        <w:rPr>
          <w:rFonts w:ascii="Times New Roman" w:cs="Times New Roman" w:eastAsia="Times New Roman" w:hAnsi="Times New Roman"/>
        </w:rPr>
      </w:pPr>
      <w:sdt>
        <w:sdtPr>
          <w:id w:val="1464379734"/>
          <w:tag w:val="goog_rdk_7"/>
        </w:sdtPr>
        <w:sdtContent>
          <w:r w:rsidDel="00000000" w:rsidR="00000000" w:rsidRPr="00000000">
            <w:rPr>
              <w:rFonts w:ascii="Gungsuh" w:cs="Gungsuh" w:eastAsia="Gungsuh" w:hAnsi="Gungsuh"/>
              <w:rtl w:val="0"/>
            </w:rPr>
            <w:t xml:space="preserve">在台灣，技術型高中（原高職）電機電子群肩負培育基礎科技人才的關鍵任務。Jou et al.（2025）針對台灣技職師培生的質性研究發現，生成式 AI 可作為教學推理的「共同參與者」，促進學生從不確定到自信、從基礎科技知識到批判意識覺醒的三條專業成長軌跡。然而，該研究僅有 18 位參與者，且屬質性設計，尚缺乏量化證據支持。</w:t>
          </w:r>
        </w:sdtContent>
      </w:sdt>
    </w:p>
    <w:p w:rsidR="00000000" w:rsidDel="00000000" w:rsidP="00000000" w:rsidRDefault="00000000" w:rsidRPr="00000000" w14:paraId="00000015">
      <w:pPr>
        <w:pStyle w:val="Heading2"/>
        <w:rPr/>
      </w:pPr>
      <w:bookmarkStart w:colFirst="0" w:colLast="0" w:name="_heading=h.xgxt983oksqb" w:id="0"/>
      <w:bookmarkEnd w:id="0"/>
      <w:sdt>
        <w:sdtPr>
          <w:id w:val="-612126691"/>
          <w:tag w:val="goog_rdk_8"/>
        </w:sdtPr>
        <w:sdtContent>
          <w:r w:rsidDel="00000000" w:rsidR="00000000" w:rsidRPr="00000000">
            <w:rPr>
              <w:rFonts w:ascii="Gungsuh" w:cs="Gungsuh" w:eastAsia="Gungsuh" w:hAnsi="Gungsuh"/>
              <w:rtl w:val="0"/>
            </w:rPr>
            <w:t xml:space="preserve">第二節　研究動機</w:t>
          </w:r>
        </w:sdtContent>
      </w:sdt>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sdt>
        <w:sdtPr>
          <w:id w:val="-2143687863"/>
          <w:tag w:val="goog_rdk_9"/>
        </w:sdtPr>
        <w:sdtContent>
          <w:r w:rsidDel="00000000" w:rsidR="00000000" w:rsidRPr="00000000">
            <w:rPr>
              <w:rFonts w:ascii="Gungsuh" w:cs="Gungsuh" w:eastAsia="Gungsuh" w:hAnsi="Gungsuh"/>
              <w:rtl w:val="0"/>
            </w:rPr>
            <w:t xml:space="preserve">儘管 AI-TPACK 與教師轉換意願各自都有豐富的研究成果，但目前學術文獻中存在三個重要的連結缺口。第一，PPM（Push-Pull-Mooring）模型在教育的應用多止於轉換意願（Lin et al., 2025; Song &amp; Zhou, 2026），未能連結至教師實際的專業能力建構。第二，Mooring（繫住力）在現有文獻中僅被視為干擾變項（Bansal et al., 2005），其是否同時扮演中介角色尚未被探討。第三，重要性—表現分析（IPA）在 AI-TPACK 領域的應用近乎空白。因此，本研究旨在整合 PPM 模型、AIPACK 架構與 IPA 分析，填補上述文獻缺口。</w:t>
          </w:r>
        </w:sdtContent>
      </w:sdt>
    </w:p>
    <w:p w:rsidR="00000000" w:rsidDel="00000000" w:rsidP="00000000" w:rsidRDefault="00000000" w:rsidRPr="00000000" w14:paraId="00000017">
      <w:pPr>
        <w:pStyle w:val="Heading1"/>
        <w:rPr/>
      </w:pPr>
      <w:sdt>
        <w:sdtPr>
          <w:id w:val="-524244210"/>
          <w:tag w:val="goog_rdk_10"/>
        </w:sdtPr>
        <w:sdtContent>
          <w:r w:rsidDel="00000000" w:rsidR="00000000" w:rsidRPr="00000000">
            <w:rPr>
              <w:rFonts w:ascii="Gungsuh" w:cs="Gungsuh" w:eastAsia="Gungsuh" w:hAnsi="Gungsuh"/>
              <w:rtl w:val="0"/>
            </w:rPr>
            <w:t xml:space="preserve">第二章　文獻探討（擴充版）</w:t>
          </w:r>
        </w:sdtContent>
      </w:sdt>
      <w:r w:rsidDel="00000000" w:rsidR="00000000" w:rsidRPr="00000000">
        <w:rPr>
          <w:rtl w:val="0"/>
        </w:rPr>
      </w:r>
    </w:p>
    <w:p w:rsidR="00000000" w:rsidDel="00000000" w:rsidP="00000000" w:rsidRDefault="00000000" w:rsidRPr="00000000" w14:paraId="00000018">
      <w:pPr>
        <w:pStyle w:val="Heading2"/>
        <w:rPr/>
      </w:pPr>
      <w:sdt>
        <w:sdtPr>
          <w:id w:val="-528136164"/>
          <w:tag w:val="goog_rdk_11"/>
        </w:sdtPr>
        <w:sdtContent>
          <w:r w:rsidDel="00000000" w:rsidR="00000000" w:rsidRPr="00000000">
            <w:rPr>
              <w:rFonts w:ascii="Gungsuh" w:cs="Gungsuh" w:eastAsia="Gungsuh" w:hAnsi="Gungsuh"/>
              <w:rtl w:val="0"/>
            </w:rPr>
            <w:t xml:space="preserve">第一節　TPACK 理論基礎與發展</w:t>
          </w:r>
        </w:sdtContent>
      </w:sdt>
      <w:r w:rsidDel="00000000" w:rsidR="00000000" w:rsidRPr="00000000">
        <w:rPr>
          <w:rtl w:val="0"/>
        </w:rPr>
      </w:r>
    </w:p>
    <w:p w:rsidR="00000000" w:rsidDel="00000000" w:rsidP="00000000" w:rsidRDefault="00000000" w:rsidRPr="00000000" w14:paraId="00000019">
      <w:pPr>
        <w:rPr/>
      </w:pPr>
      <w:sdt>
        <w:sdtPr>
          <w:id w:val="-1282771573"/>
          <w:tag w:val="goog_rdk_12"/>
        </w:sdtPr>
        <w:sdtContent>
          <w:r w:rsidDel="00000000" w:rsidR="00000000" w:rsidRPr="00000000">
            <w:rPr>
              <w:rFonts w:ascii="Gungsuh" w:cs="Gungsuh" w:eastAsia="Gungsuh" w:hAnsi="Gungsuh"/>
              <w:b w:val="0"/>
              <w:bCs w:val="0"/>
              <w:i w:val="0"/>
              <w:iCs w:val="0"/>
              <w:sz w:val="24"/>
              <w:szCs w:val="24"/>
              <w:rtl w:val="0"/>
            </w:rPr>
            <w:t xml:space="preserve">科技學科教學知識（Technological Pedagogical Content Knowledge, TPACK）框架由 Mishra </w:t>
          </w:r>
        </w:sdtContent>
      </w:sdt>
      <w:r w:rsidDel="00000000" w:rsidR="00000000" w:rsidRPr="00000000">
        <w:rPr>
          <w:rFonts w:ascii="Times New Roman" w:cs="Times New Roman" w:eastAsia="Times New Roman" w:hAnsi="Times New Roman"/>
          <w:rtl w:val="0"/>
        </w:rPr>
        <w:t xml:space="preserve">&amp;</w:t>
      </w:r>
      <w:sdt>
        <w:sdtPr>
          <w:id w:val="1304189769"/>
          <w:tag w:val="goog_rdk_13"/>
        </w:sdtPr>
        <w:sdtContent>
          <w:r w:rsidDel="00000000" w:rsidR="00000000" w:rsidRPr="00000000">
            <w:rPr>
              <w:rFonts w:ascii="Gungsuh" w:cs="Gungsuh" w:eastAsia="Gungsuh" w:hAnsi="Gungsuh"/>
              <w:b w:val="0"/>
              <w:bCs w:val="0"/>
              <w:i w:val="0"/>
              <w:iCs w:val="0"/>
              <w:sz w:val="24"/>
              <w:szCs w:val="24"/>
              <w:rtl w:val="0"/>
            </w:rPr>
            <w:t xml:space="preserve"> Koehler（2006）提出，建立在 Shulman（1986）學科教學知識（PCK）的基礎上，描述教師有效運用科技於教學所需具備的知識類型。該框架包含七個知識領域：科技知識（TK）、學科知識（CK）、教學知識（PK）、科技學科知識（TCK）、科技教學知識（TPK）、學科教學知識（PCK），以及三者交織的科技學科教學知識（TPACK），並以情境脈絡知識（XK）為外圍框架（Koehler &amp; Mishra, 2008; Mishra, 2019）。</w:t>
          </w:r>
        </w:sdtContent>
      </w:sdt>
      <w:r w:rsidDel="00000000" w:rsidR="00000000" w:rsidRPr="00000000">
        <w:rPr>
          <w:rtl w:val="0"/>
        </w:rPr>
      </w:r>
    </w:p>
    <w:p w:rsidR="00000000" w:rsidDel="00000000" w:rsidP="00000000" w:rsidRDefault="00000000" w:rsidRPr="00000000" w14:paraId="0000001A">
      <w:pPr>
        <w:rPr/>
      </w:pPr>
      <w:sdt>
        <w:sdtPr>
          <w:id w:val="301301278"/>
          <w:tag w:val="goog_rdk_14"/>
        </w:sdtPr>
        <w:sdtContent>
          <w:r w:rsidDel="00000000" w:rsidR="00000000" w:rsidRPr="00000000">
            <w:rPr>
              <w:rFonts w:ascii="Gungsuh" w:cs="Gungsuh" w:eastAsia="Gungsuh" w:hAnsi="Gungsuh"/>
              <w:b w:val="0"/>
              <w:bCs w:val="0"/>
              <w:i w:val="0"/>
              <w:iCs w:val="0"/>
              <w:sz w:val="24"/>
              <w:szCs w:val="24"/>
              <w:rtl w:val="0"/>
            </w:rPr>
            <w:t xml:space="preserve">TPACK框架提出近二十年來，已成為科技融入教學研究中最具影響力的理論模型之一。Harris </w:t>
          </w:r>
        </w:sdtContent>
      </w:sdt>
      <w:r w:rsidDel="00000000" w:rsidR="00000000" w:rsidRPr="00000000">
        <w:rPr>
          <w:rFonts w:ascii="Times New Roman" w:cs="Times New Roman" w:eastAsia="Times New Roman" w:hAnsi="Times New Roman"/>
          <w:rtl w:val="0"/>
        </w:rPr>
        <w:t xml:space="preserve">et al.</w:t>
      </w:r>
      <w:sdt>
        <w:sdtPr>
          <w:id w:val="-1719212645"/>
          <w:tag w:val="goog_rdk_15"/>
        </w:sdtPr>
        <w:sdtContent>
          <w:r w:rsidDel="00000000" w:rsidR="00000000" w:rsidRPr="00000000">
            <w:rPr>
              <w:rFonts w:ascii="Gungsuh" w:cs="Gungsuh" w:eastAsia="Gungsuh" w:hAnsi="Gungsuh"/>
              <w:b w:val="0"/>
              <w:bCs w:val="0"/>
              <w:i w:val="0"/>
              <w:iCs w:val="0"/>
              <w:sz w:val="24"/>
              <w:szCs w:val="24"/>
              <w:rtl w:val="0"/>
            </w:rPr>
            <w:t xml:space="preserve">（2009）進一步將其與學習活動類型連結，提出課程本位科技整合的具體策略。然而，隨著人工智慧技術的快速發展，Celik（2023）指出傳統 TPACK 框架缺乏針對 AI 倫理評量的知識構面，因而提出 Intelligent-TPACK</w:t>
          </w:r>
        </w:sdtContent>
      </w:sdt>
      <w:r w:rsidDel="00000000" w:rsidR="00000000" w:rsidRPr="00000000">
        <w:rPr>
          <w:rFonts w:ascii="Times New Roman" w:cs="Times New Roman" w:eastAsia="Times New Roman" w:hAnsi="Times New Roman"/>
          <w:rtl w:val="0"/>
        </w:rPr>
        <w:t xml:space="preserve">(I-TPACK)</w:t>
      </w:r>
      <w:sdt>
        <w:sdtPr>
          <w:id w:val="1440162299"/>
          <w:tag w:val="goog_rdk_16"/>
        </w:sdtPr>
        <w:sdtContent>
          <w:r w:rsidDel="00000000" w:rsidR="00000000" w:rsidRPr="00000000">
            <w:rPr>
              <w:rFonts w:ascii="Gungsuh" w:cs="Gungsuh" w:eastAsia="Gungsuh" w:hAnsi="Gungsuh"/>
              <w:b w:val="0"/>
              <w:bCs w:val="0"/>
              <w:i w:val="0"/>
              <w:iCs w:val="0"/>
              <w:sz w:val="24"/>
              <w:szCs w:val="24"/>
              <w:rtl w:val="0"/>
            </w:rPr>
            <w:t xml:space="preserve"> 框架，新增 AI 倫理評量知識（XK），並實證發現科技教學知識（TPK）與倫理知識同等重要。</w:t>
          </w:r>
        </w:sdtContent>
      </w:sdt>
      <w:r w:rsidDel="00000000" w:rsidR="00000000" w:rsidRPr="00000000">
        <w:rPr>
          <w:rtl w:val="0"/>
        </w:rPr>
      </w:r>
    </w:p>
    <w:p w:rsidR="00000000" w:rsidDel="00000000" w:rsidP="00000000" w:rsidRDefault="00000000" w:rsidRPr="00000000" w14:paraId="0000001B">
      <w:pPr>
        <w:pStyle w:val="Heading2"/>
        <w:rPr/>
      </w:pPr>
      <w:sdt>
        <w:sdtPr>
          <w:id w:val="-922801297"/>
          <w:tag w:val="goog_rdk_17"/>
        </w:sdtPr>
        <w:sdtContent>
          <w:r w:rsidDel="00000000" w:rsidR="00000000" w:rsidRPr="00000000">
            <w:rPr>
              <w:rFonts w:ascii="Gungsuh" w:cs="Gungsuh" w:eastAsia="Gungsuh" w:hAnsi="Gungsuh"/>
              <w:rtl w:val="0"/>
            </w:rPr>
            <w:t xml:space="preserve">第二節　AI-TPACK／AIPACK 知識架構的演進</w:t>
          </w:r>
        </w:sdtContent>
      </w:sdt>
      <w:r w:rsidDel="00000000" w:rsidR="00000000" w:rsidRPr="00000000">
        <w:rPr>
          <w:rtl w:val="0"/>
        </w:rPr>
      </w:r>
    </w:p>
    <w:p w:rsidR="00000000" w:rsidDel="00000000" w:rsidP="00000000" w:rsidRDefault="00000000" w:rsidRPr="00000000" w14:paraId="0000001C">
      <w:pPr>
        <w:rPr/>
      </w:pPr>
      <w:sdt>
        <w:sdtPr>
          <w:id w:val="551771272"/>
          <w:tag w:val="goog_rdk_18"/>
        </w:sdtPr>
        <w:sdtContent>
          <w:r w:rsidDel="00000000" w:rsidR="00000000" w:rsidRPr="00000000">
            <w:rPr>
              <w:rFonts w:ascii="Gungsuh" w:cs="Gungsuh" w:eastAsia="Gungsuh" w:hAnsi="Gungsuh"/>
              <w:b w:val="0"/>
              <w:bCs w:val="0"/>
              <w:i w:val="0"/>
              <w:iCs w:val="0"/>
              <w:sz w:val="24"/>
              <w:szCs w:val="24"/>
              <w:rtl w:val="0"/>
            </w:rPr>
            <w:t xml:space="preserve">在 Celik（2023）的 Intelligent-TPACK 基礎上，後續研究持續擴展 AI 時代教師知識架構。Setiyawan </w:t>
          </w:r>
        </w:sdtContent>
      </w:sdt>
      <w:r w:rsidDel="00000000" w:rsidR="00000000" w:rsidRPr="00000000">
        <w:rPr>
          <w:rFonts w:ascii="Times New Roman" w:cs="Times New Roman" w:eastAsia="Times New Roman" w:hAnsi="Times New Roman"/>
          <w:rtl w:val="0"/>
        </w:rPr>
        <w:t xml:space="preserve">et al.</w:t>
      </w:r>
      <w:sdt>
        <w:sdtPr>
          <w:id w:val="1563449698"/>
          <w:tag w:val="goog_rdk_19"/>
        </w:sdtPr>
        <w:sdtContent>
          <w:r w:rsidDel="00000000" w:rsidR="00000000" w:rsidRPr="00000000">
            <w:rPr>
              <w:rFonts w:ascii="Gungsuh" w:cs="Gungsuh" w:eastAsia="Gungsuh" w:hAnsi="Gungsuh"/>
              <w:b w:val="0"/>
              <w:bCs w:val="0"/>
              <w:i w:val="0"/>
              <w:iCs w:val="0"/>
              <w:sz w:val="24"/>
              <w:szCs w:val="24"/>
              <w:rtl w:val="0"/>
            </w:rPr>
            <w:t xml:space="preserve">（2025）發展職業教育 AI-TPACK 量表，以 460 位印尼職業教師驗證七構面結構的效度，成為技職教育領域的重要參考。Aldemir </w:t>
          </w:r>
        </w:sdtContent>
      </w:sdt>
      <w:r w:rsidDel="00000000" w:rsidR="00000000" w:rsidRPr="00000000">
        <w:rPr>
          <w:rFonts w:ascii="Times New Roman" w:cs="Times New Roman" w:eastAsia="Times New Roman" w:hAnsi="Times New Roman"/>
          <w:rtl w:val="0"/>
        </w:rPr>
        <w:t xml:space="preserve">et al.</w:t>
      </w:r>
      <w:sdt>
        <w:sdtPr>
          <w:id w:val="-1679930674"/>
          <w:tag w:val="goog_rdk_20"/>
        </w:sdtPr>
        <w:sdtContent>
          <w:r w:rsidDel="00000000" w:rsidR="00000000" w:rsidRPr="00000000">
            <w:rPr>
              <w:rFonts w:ascii="Gungsuh" w:cs="Gungsuh" w:eastAsia="Gungsuh" w:hAnsi="Gungsuh"/>
              <w:b w:val="0"/>
              <w:bCs w:val="0"/>
              <w:i w:val="0"/>
              <w:iCs w:val="0"/>
              <w:sz w:val="24"/>
              <w:szCs w:val="24"/>
              <w:rtl w:val="0"/>
            </w:rPr>
            <w:t xml:space="preserve">（2025）在 i-TPACK 實踐研究中進一步提出 i-CK（AI 作為教學內容）與 i-PD（AI 用於專業發展）兩個新構面，擴展了 AIPACK 的範疇。</w:t>
          </w:r>
        </w:sdtContent>
      </w:sdt>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i w:val="0"/>
          <w:iCs w:val="0"/>
          <w:sz w:val="24"/>
          <w:szCs w:val="24"/>
          <w:rtl w:val="0"/>
        </w:rPr>
        <w:t xml:space="preserve">Cao </w:t>
      </w:r>
      <w:r w:rsidDel="00000000" w:rsidR="00000000" w:rsidRPr="00000000">
        <w:rPr>
          <w:rFonts w:ascii="Times New Roman" w:cs="Times New Roman" w:eastAsia="Times New Roman" w:hAnsi="Times New Roman"/>
          <w:rtl w:val="0"/>
        </w:rPr>
        <w:t xml:space="preserve">et al.</w:t>
      </w:r>
      <w:sdt>
        <w:sdtPr>
          <w:id w:val="-1391731426"/>
          <w:tag w:val="goog_rdk_21"/>
        </w:sdtPr>
        <w:sdtContent>
          <w:r w:rsidDel="00000000" w:rsidR="00000000" w:rsidRPr="00000000">
            <w:rPr>
              <w:rFonts w:ascii="Gungsuh" w:cs="Gungsuh" w:eastAsia="Gungsuh" w:hAnsi="Gungsuh"/>
              <w:b w:val="0"/>
              <w:bCs w:val="0"/>
              <w:i w:val="0"/>
              <w:iCs w:val="0"/>
              <w:sz w:val="24"/>
              <w:szCs w:val="24"/>
              <w:rtl w:val="0"/>
            </w:rPr>
            <w:t xml:space="preserve">（2026）以大規模樣本（n = 2,166）結合機器學習與多層次模型分析 AI-TPACK，發現 AI 倫理知識（β = 0.42）與 AI 科技學科知識（β = 0.38）為最重要的預測因子，且教師層級因素影響大於學校層級因素，為 XK 獨立構面提供了強而有力的實證支持。</w:t>
          </w:r>
        </w:sdtContent>
      </w:sdt>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i w:val="0"/>
          <w:iCs w:val="0"/>
          <w:sz w:val="24"/>
          <w:szCs w:val="24"/>
          <w:rtl w:val="0"/>
        </w:rPr>
        <w:t xml:space="preserve">Chai </w:t>
      </w:r>
      <w:r w:rsidDel="00000000" w:rsidR="00000000" w:rsidRPr="00000000">
        <w:rPr>
          <w:rFonts w:ascii="Times New Roman" w:cs="Times New Roman" w:eastAsia="Times New Roman" w:hAnsi="Times New Roman"/>
          <w:rtl w:val="0"/>
        </w:rPr>
        <w:t xml:space="preserve">et al.</w:t>
      </w:r>
      <w:sdt>
        <w:sdtPr>
          <w:id w:val="1027709181"/>
          <w:tag w:val="goog_rdk_22"/>
        </w:sdtPr>
        <w:sdtContent>
          <w:r w:rsidDel="00000000" w:rsidR="00000000" w:rsidRPr="00000000">
            <w:rPr>
              <w:rFonts w:ascii="Gungsuh" w:cs="Gungsuh" w:eastAsia="Gungsuh" w:hAnsi="Gungsuh"/>
              <w:b w:val="0"/>
              <w:bCs w:val="0"/>
              <w:i w:val="0"/>
              <w:iCs w:val="0"/>
              <w:sz w:val="24"/>
              <w:szCs w:val="24"/>
              <w:rtl w:val="0"/>
            </w:rPr>
            <w:t xml:space="preserve">（2025）提出區分人類教師與 AI 機器教師的 AI-TPACK 雙軌模型，將 TPK 與 TPCK 分別區分為人類教師與機器教師兩個維度，共 23 題、6 維度的量表結構。Karatas 與 Aksu Ataç（2025）以 304 位職前教師的 SEM 分析發現 AI-TK 最高但倫理得分最低，且性別與 AI 經驗顯著影響 AI-TPACK </w:t>
          </w:r>
        </w:sdtContent>
      </w:sdt>
      <w:sdt>
        <w:sdtPr>
          <w:id w:val="-855250282"/>
          <w:tag w:val="goog_rdk_23"/>
        </w:sdtPr>
        <w:sdtContent>
          <w:r w:rsidDel="00000000" w:rsidR="00000000" w:rsidRPr="00000000">
            <w:rPr>
              <w:rFonts w:ascii="Gungsuh" w:cs="Gungsuh" w:eastAsia="Gungsuh" w:hAnsi="Gungsuh"/>
              <w:rtl w:val="0"/>
            </w:rPr>
            <w:t xml:space="preserve">的</w:t>
          </w:r>
        </w:sdtContent>
      </w:sdt>
      <w:sdt>
        <w:sdtPr>
          <w:id w:val="1763912391"/>
          <w:tag w:val="goog_rdk_24"/>
        </w:sdtPr>
        <w:sdtContent>
          <w:r w:rsidDel="00000000" w:rsidR="00000000" w:rsidRPr="00000000">
            <w:rPr>
              <w:rFonts w:ascii="Gungsuh" w:cs="Gungsuh" w:eastAsia="Gungsuh" w:hAnsi="Gungsuh"/>
              <w:b w:val="0"/>
              <w:bCs w:val="0"/>
              <w:i w:val="0"/>
              <w:iCs w:val="0"/>
              <w:sz w:val="24"/>
              <w:szCs w:val="24"/>
              <w:rtl w:val="0"/>
            </w:rPr>
            <w:t xml:space="preserve">表現。</w:t>
          </w:r>
        </w:sdtContent>
      </w:sdt>
      <w:r w:rsidDel="00000000" w:rsidR="00000000" w:rsidRPr="00000000">
        <w:rPr>
          <w:rtl w:val="0"/>
        </w:rPr>
      </w:r>
    </w:p>
    <w:p w:rsidR="00000000" w:rsidDel="00000000" w:rsidP="00000000" w:rsidRDefault="00000000" w:rsidRPr="00000000" w14:paraId="0000001F">
      <w:pPr>
        <w:rPr/>
      </w:pPr>
      <w:sdt>
        <w:sdtPr>
          <w:id w:val="383295787"/>
          <w:tag w:val="goog_rdk_25"/>
        </w:sdtPr>
        <w:sdtContent>
          <w:r w:rsidDel="00000000" w:rsidR="00000000" w:rsidRPr="00000000">
            <w:rPr>
              <w:rFonts w:ascii="Gungsuh" w:cs="Gungsuh" w:eastAsia="Gungsuh" w:hAnsi="Gungsuh"/>
              <w:b w:val="0"/>
              <w:bCs w:val="0"/>
              <w:i w:val="0"/>
              <w:iCs w:val="0"/>
              <w:sz w:val="24"/>
              <w:szCs w:val="24"/>
              <w:rtl w:val="0"/>
            </w:rPr>
            <w:t xml:space="preserve">在方法論層面，Dogan </w:t>
          </w:r>
        </w:sdtContent>
      </w:sdt>
      <w:r w:rsidDel="00000000" w:rsidR="00000000" w:rsidRPr="00000000">
        <w:rPr>
          <w:rFonts w:ascii="Times New Roman" w:cs="Times New Roman" w:eastAsia="Times New Roman" w:hAnsi="Times New Roman"/>
          <w:rtl w:val="0"/>
        </w:rPr>
        <w:t xml:space="preserve">et al.</w:t>
      </w:r>
      <w:sdt>
        <w:sdtPr>
          <w:id w:val="-81028437"/>
          <w:tag w:val="goog_rdk_26"/>
        </w:sdtPr>
        <w:sdtContent>
          <w:r w:rsidDel="00000000" w:rsidR="00000000" w:rsidRPr="00000000">
            <w:rPr>
              <w:rFonts w:ascii="Gungsuh" w:cs="Gungsuh" w:eastAsia="Gungsuh" w:hAnsi="Gungsuh"/>
              <w:b w:val="0"/>
              <w:bCs w:val="0"/>
              <w:i w:val="0"/>
              <w:iCs w:val="0"/>
              <w:sz w:val="24"/>
              <w:szCs w:val="24"/>
              <w:rtl w:val="0"/>
            </w:rPr>
            <w:t xml:space="preserve">（2025）對 AI 教師專業發展進行系統性回顧，採用 PRISMA 流程分析 AI 專業發展方案中的 TPACK 框架融合情況。ElSayary </w:t>
          </w:r>
        </w:sdtContent>
      </w:sdt>
      <w:r w:rsidDel="00000000" w:rsidR="00000000" w:rsidRPr="00000000">
        <w:rPr>
          <w:rFonts w:ascii="Times New Roman" w:cs="Times New Roman" w:eastAsia="Times New Roman" w:hAnsi="Times New Roman"/>
          <w:rtl w:val="0"/>
        </w:rPr>
        <w:t xml:space="preserve">et al.</w:t>
      </w:r>
      <w:sdt>
        <w:sdtPr>
          <w:id w:val="-940539330"/>
          <w:tag w:val="goog_rdk_27"/>
        </w:sdtPr>
        <w:sdtContent>
          <w:r w:rsidDel="00000000" w:rsidR="00000000" w:rsidRPr="00000000">
            <w:rPr>
              <w:rFonts w:ascii="Gungsuh" w:cs="Gungsuh" w:eastAsia="Gungsuh" w:hAnsi="Gungsuh"/>
              <w:b w:val="0"/>
              <w:bCs w:val="0"/>
              <w:i w:val="0"/>
              <w:iCs w:val="0"/>
              <w:sz w:val="24"/>
              <w:szCs w:val="24"/>
              <w:rtl w:val="0"/>
            </w:rPr>
            <w:t xml:space="preserve">（2026）則整合 TAM、TPACK 與 GenAI 框架，以 332 位教師為樣本，發現感知有用性是行為意向的最強預測因子。Xue </w:t>
          </w:r>
        </w:sdtContent>
      </w:sdt>
      <w:r w:rsidDel="00000000" w:rsidR="00000000" w:rsidRPr="00000000">
        <w:rPr>
          <w:rFonts w:ascii="Times New Roman" w:cs="Times New Roman" w:eastAsia="Times New Roman" w:hAnsi="Times New Roman"/>
          <w:rtl w:val="0"/>
        </w:rPr>
        <w:t xml:space="preserve">et al.</w:t>
      </w:r>
      <w:sdt>
        <w:sdtPr>
          <w:id w:val="-247441628"/>
          <w:tag w:val="goog_rdk_28"/>
        </w:sdtPr>
        <w:sdtContent>
          <w:r w:rsidDel="00000000" w:rsidR="00000000" w:rsidRPr="00000000">
            <w:rPr>
              <w:rFonts w:ascii="Gungsuh" w:cs="Gungsuh" w:eastAsia="Gungsuh" w:hAnsi="Gungsuh"/>
              <w:b w:val="0"/>
              <w:bCs w:val="0"/>
              <w:i w:val="0"/>
              <w:iCs w:val="0"/>
              <w:sz w:val="24"/>
              <w:szCs w:val="24"/>
              <w:rtl w:val="0"/>
            </w:rPr>
            <w:t xml:space="preserve">（2025）系統性回顧 33 篇 AI 教師採納研究，指出 TAM 為最常用的理論框架，但缺乏教育領域特定的接受模型。</w:t>
          </w:r>
        </w:sdtContent>
      </w:sdt>
      <w:r w:rsidDel="00000000" w:rsidR="00000000" w:rsidRPr="00000000">
        <w:rPr>
          <w:rtl w:val="0"/>
        </w:rPr>
      </w:r>
    </w:p>
    <w:p w:rsidR="00000000" w:rsidDel="00000000" w:rsidP="00000000" w:rsidRDefault="00000000" w:rsidRPr="00000000" w14:paraId="00000020">
      <w:pPr>
        <w:pStyle w:val="Heading2"/>
        <w:rPr/>
      </w:pPr>
      <w:sdt>
        <w:sdtPr>
          <w:id w:val="100413715"/>
          <w:tag w:val="goog_rdk_29"/>
        </w:sdtPr>
        <w:sdtContent>
          <w:r w:rsidDel="00000000" w:rsidR="00000000" w:rsidRPr="00000000">
            <w:rPr>
              <w:rFonts w:ascii="Gungsuh" w:cs="Gungsuh" w:eastAsia="Gungsuh" w:hAnsi="Gungsuh"/>
              <w:rtl w:val="0"/>
            </w:rPr>
            <w:t xml:space="preserve">第三節　PPM（Push-Pull-Mooring）模型與教育應用</w:t>
          </w:r>
        </w:sdtContent>
      </w:sdt>
      <w:r w:rsidDel="00000000" w:rsidR="00000000" w:rsidRPr="00000000">
        <w:rPr>
          <w:rtl w:val="0"/>
        </w:rPr>
      </w:r>
    </w:p>
    <w:p w:rsidR="00000000" w:rsidDel="00000000" w:rsidP="00000000" w:rsidRDefault="00000000" w:rsidRPr="00000000" w14:paraId="00000021">
      <w:pPr>
        <w:rPr/>
      </w:pPr>
      <w:sdt>
        <w:sdtPr>
          <w:id w:val="326008418"/>
          <w:tag w:val="goog_rdk_30"/>
        </w:sdtPr>
        <w:sdtContent>
          <w:r w:rsidDel="00000000" w:rsidR="00000000" w:rsidRPr="00000000">
            <w:rPr>
              <w:rFonts w:ascii="Gungsuh" w:cs="Gungsuh" w:eastAsia="Gungsuh" w:hAnsi="Gungsuh"/>
              <w:b w:val="0"/>
              <w:bCs w:val="0"/>
              <w:i w:val="0"/>
              <w:iCs w:val="0"/>
              <w:sz w:val="24"/>
              <w:szCs w:val="24"/>
              <w:rtl w:val="0"/>
            </w:rPr>
            <w:t xml:space="preserve">PPM 模型源自人口遷移學（Lee, 1966; Moon, 1995），由 Bansal </w:t>
          </w:r>
        </w:sdtContent>
      </w:sdt>
      <w:r w:rsidDel="00000000" w:rsidR="00000000" w:rsidRPr="00000000">
        <w:rPr>
          <w:rFonts w:ascii="Times New Roman" w:cs="Times New Roman" w:eastAsia="Times New Roman" w:hAnsi="Times New Roman"/>
          <w:rtl w:val="0"/>
        </w:rPr>
        <w:t xml:space="preserve">et al.</w:t>
      </w:r>
      <w:sdt>
        <w:sdtPr>
          <w:id w:val="-1035686758"/>
          <w:tag w:val="goog_rdk_31"/>
        </w:sdtPr>
        <w:sdtContent>
          <w:r w:rsidDel="00000000" w:rsidR="00000000" w:rsidRPr="00000000">
            <w:rPr>
              <w:rFonts w:ascii="Gungsuh" w:cs="Gungsuh" w:eastAsia="Gungsuh" w:hAnsi="Gungsuh"/>
              <w:b w:val="0"/>
              <w:bCs w:val="0"/>
              <w:i w:val="0"/>
              <w:iCs w:val="0"/>
              <w:sz w:val="24"/>
              <w:szCs w:val="24"/>
              <w:rtl w:val="0"/>
            </w:rPr>
            <w:t xml:space="preserve">（2005）引入消費者服務轉換領域。該模型包含三類因素：（1）推力（Push）——不滿意度、服務品質問題等促使離開現狀的負面因素；（2）拉力（Pull）——替代方案吸引力、情緒能力等吸引轉向新選擇的正面因素；（3）繫住力（Mooring）——轉換成本、慣性、社會規範等促進或阻礙轉換的個人與情境因素。Bansal </w:t>
          </w:r>
        </w:sdtContent>
      </w:sdt>
      <w:r w:rsidDel="00000000" w:rsidR="00000000" w:rsidRPr="00000000">
        <w:rPr>
          <w:rFonts w:ascii="Times New Roman" w:cs="Times New Roman" w:eastAsia="Times New Roman" w:hAnsi="Times New Roman"/>
          <w:rtl w:val="0"/>
        </w:rPr>
        <w:t xml:space="preserve">et al.</w:t>
      </w:r>
      <w:sdt>
        <w:sdtPr>
          <w:id w:val="148948428"/>
          <w:tag w:val="goog_rdk_32"/>
        </w:sdtPr>
        <w:sdtContent>
          <w:r w:rsidDel="00000000" w:rsidR="00000000" w:rsidRPr="00000000">
            <w:rPr>
              <w:rFonts w:ascii="Gungsuh" w:cs="Gungsuh" w:eastAsia="Gungsuh" w:hAnsi="Gungsuh"/>
              <w:b w:val="0"/>
              <w:bCs w:val="0"/>
              <w:i w:val="0"/>
              <w:iCs w:val="0"/>
              <w:sz w:val="24"/>
              <w:szCs w:val="24"/>
              <w:rtl w:val="0"/>
            </w:rPr>
            <w:t xml:space="preserve">（2005）以約 700 位消費者驗證 PPM 優於傳統滿意度模型，且三類變項皆有直接效果。</w:t>
          </w:r>
        </w:sdtContent>
      </w:sdt>
      <w:r w:rsidDel="00000000" w:rsidR="00000000" w:rsidRPr="00000000">
        <w:rPr>
          <w:rtl w:val="0"/>
        </w:rPr>
      </w:r>
    </w:p>
    <w:p w:rsidR="00000000" w:rsidDel="00000000" w:rsidP="00000000" w:rsidRDefault="00000000" w:rsidRPr="00000000" w14:paraId="00000022">
      <w:pPr>
        <w:rPr/>
      </w:pPr>
      <w:sdt>
        <w:sdtPr>
          <w:id w:val="-1122862686"/>
          <w:tag w:val="goog_rdk_33"/>
        </w:sdtPr>
        <w:sdtContent>
          <w:r w:rsidDel="00000000" w:rsidR="00000000" w:rsidRPr="00000000">
            <w:rPr>
              <w:rFonts w:ascii="Gungsuh" w:cs="Gungsuh" w:eastAsia="Gungsuh" w:hAnsi="Gungsuh"/>
              <w:b w:val="0"/>
              <w:bCs w:val="0"/>
              <w:i w:val="0"/>
              <w:iCs w:val="0"/>
              <w:sz w:val="24"/>
              <w:szCs w:val="24"/>
              <w:rtl w:val="0"/>
            </w:rPr>
            <w:t xml:space="preserve">Marx（2025）對 148 篇 PPM 實證研究的後設分析發現，最常用的三類變項分別為不滿意度（Push）、替代方案吸引力（Pull）與轉換成本（Mooring），模型解釋轉換意圖 30% 的變異量與轉換行為 31% 的變異量。這項後設分析為 PPM 模型的整體解釋力提供了系統性的實證基礎。</w:t>
          </w:r>
        </w:sdtContent>
      </w:sdt>
      <w:r w:rsidDel="00000000" w:rsidR="00000000" w:rsidRPr="00000000">
        <w:rPr>
          <w:rtl w:val="0"/>
        </w:rPr>
      </w:r>
    </w:p>
    <w:p w:rsidR="00000000" w:rsidDel="00000000" w:rsidP="00000000" w:rsidRDefault="00000000" w:rsidRPr="00000000" w14:paraId="00000023">
      <w:pPr>
        <w:rPr/>
      </w:pPr>
      <w:sdt>
        <w:sdtPr>
          <w:id w:val="-881065412"/>
          <w:tag w:val="goog_rdk_34"/>
        </w:sdtPr>
        <w:sdtContent>
          <w:r w:rsidDel="00000000" w:rsidR="00000000" w:rsidRPr="00000000">
            <w:rPr>
              <w:rFonts w:ascii="Gungsuh" w:cs="Gungsuh" w:eastAsia="Gungsuh" w:hAnsi="Gungsuh"/>
              <w:b w:val="0"/>
              <w:bCs w:val="0"/>
              <w:i w:val="0"/>
              <w:iCs w:val="0"/>
              <w:sz w:val="24"/>
              <w:szCs w:val="24"/>
              <w:rtl w:val="0"/>
            </w:rPr>
            <w:t xml:space="preserve">在教育領域，Lin </w:t>
          </w:r>
        </w:sdtContent>
      </w:sdt>
      <w:r w:rsidDel="00000000" w:rsidR="00000000" w:rsidRPr="00000000">
        <w:rPr>
          <w:rFonts w:ascii="Times New Roman" w:cs="Times New Roman" w:eastAsia="Times New Roman" w:hAnsi="Times New Roman"/>
          <w:rtl w:val="0"/>
        </w:rPr>
        <w:t xml:space="preserve">et al.</w:t>
      </w:r>
      <w:sdt>
        <w:sdtPr>
          <w:id w:val="1438084656"/>
          <w:tag w:val="goog_rdk_35"/>
        </w:sdtPr>
        <w:sdtContent>
          <w:r w:rsidDel="00000000" w:rsidR="00000000" w:rsidRPr="00000000">
            <w:rPr>
              <w:rFonts w:ascii="Gungsuh" w:cs="Gungsuh" w:eastAsia="Gungsuh" w:hAnsi="Gungsuh"/>
              <w:b w:val="0"/>
              <w:bCs w:val="0"/>
              <w:i w:val="0"/>
              <w:iCs w:val="0"/>
              <w:sz w:val="24"/>
              <w:szCs w:val="24"/>
              <w:rtl w:val="0"/>
            </w:rPr>
            <w:t xml:space="preserve">（2025）以 283 位大學教師為樣本，驗證 PPM 對 COVID-19 期間線上教學轉換意願的解釋力，發現安全風險（Push）、任務科技適配與教學自我效能（Pull）及習慣（Mooring）皆為顯著預測因子。Song </w:t>
          </w:r>
        </w:sdtContent>
      </w:sdt>
      <w:r w:rsidDel="00000000" w:rsidR="00000000" w:rsidRPr="00000000">
        <w:rPr>
          <w:rFonts w:ascii="Times New Roman" w:cs="Times New Roman" w:eastAsia="Times New Roman" w:hAnsi="Times New Roman"/>
          <w:rtl w:val="0"/>
        </w:rPr>
        <w:t xml:space="preserve">&amp;</w:t>
      </w:r>
      <w:sdt>
        <w:sdtPr>
          <w:id w:val="-1318902363"/>
          <w:tag w:val="goog_rdk_36"/>
        </w:sdtPr>
        <w:sdtContent>
          <w:r w:rsidDel="00000000" w:rsidR="00000000" w:rsidRPr="00000000">
            <w:rPr>
              <w:rFonts w:ascii="Gungsuh" w:cs="Gungsuh" w:eastAsia="Gungsuh" w:hAnsi="Gungsuh"/>
              <w:b w:val="0"/>
              <w:bCs w:val="0"/>
              <w:i w:val="0"/>
              <w:iCs w:val="0"/>
              <w:sz w:val="24"/>
              <w:szCs w:val="24"/>
              <w:rtl w:val="0"/>
            </w:rPr>
            <w:t xml:space="preserve"> Zhou（2026）進一步將 PPM 應用於生成式 AI 服務轉換，以 451 份跨國樣本發現情緒能力為最強的 Pull 因子（揭示 AI 若能展現情緒理解力將大幅提升吸引力），而慣性則負向調節 Push 與 Pull 的效果。Hava </w:t>
          </w:r>
        </w:sdtContent>
      </w:sdt>
      <w:r w:rsidDel="00000000" w:rsidR="00000000" w:rsidRPr="00000000">
        <w:rPr>
          <w:rFonts w:ascii="Times New Roman" w:cs="Times New Roman" w:eastAsia="Times New Roman" w:hAnsi="Times New Roman"/>
          <w:rtl w:val="0"/>
        </w:rPr>
        <w:t xml:space="preserve">&amp;</w:t>
      </w:r>
      <w:sdt>
        <w:sdtPr>
          <w:id w:val="-652470762"/>
          <w:tag w:val="goog_rdk_37"/>
        </w:sdtPr>
        <w:sdtContent>
          <w:r w:rsidDel="00000000" w:rsidR="00000000" w:rsidRPr="00000000">
            <w:rPr>
              <w:rFonts w:ascii="Gungsuh" w:cs="Gungsuh" w:eastAsia="Gungsuh" w:hAnsi="Gungsuh"/>
              <w:b w:val="0"/>
              <w:bCs w:val="0"/>
              <w:i w:val="0"/>
              <w:iCs w:val="0"/>
              <w:sz w:val="24"/>
              <w:szCs w:val="24"/>
              <w:rtl w:val="0"/>
            </w:rPr>
            <w:t xml:space="preserve"> Babayigit（2025）則針對數位環境中的 AI-TPACK 進行探討，補充了科技接受度與知識整合的觀點。</w:t>
          </w:r>
        </w:sdtContent>
      </w:sdt>
      <w:r w:rsidDel="00000000" w:rsidR="00000000" w:rsidRPr="00000000">
        <w:rPr>
          <w:rtl w:val="0"/>
        </w:rPr>
      </w:r>
    </w:p>
    <w:p w:rsidR="00000000" w:rsidDel="00000000" w:rsidP="00000000" w:rsidRDefault="00000000" w:rsidRPr="00000000" w14:paraId="00000024">
      <w:pPr>
        <w:pStyle w:val="Heading2"/>
        <w:rPr/>
      </w:pPr>
      <w:sdt>
        <w:sdtPr>
          <w:id w:val="912049669"/>
          <w:tag w:val="goog_rdk_38"/>
        </w:sdtPr>
        <w:sdtContent>
          <w:r w:rsidDel="00000000" w:rsidR="00000000" w:rsidRPr="00000000">
            <w:rPr>
              <w:rFonts w:ascii="Gungsuh" w:cs="Gungsuh" w:eastAsia="Gungsuh" w:hAnsi="Gungsuh"/>
              <w:rtl w:val="0"/>
            </w:rPr>
            <w:t xml:space="preserve">第四節　Mooring 繫住力的理論定位與缺口</w:t>
          </w:r>
        </w:sdtContent>
      </w:sdt>
      <w:r w:rsidDel="00000000" w:rsidR="00000000" w:rsidRPr="00000000">
        <w:rPr>
          <w:rtl w:val="0"/>
        </w:rPr>
      </w:r>
    </w:p>
    <w:p w:rsidR="00000000" w:rsidDel="00000000" w:rsidP="00000000" w:rsidRDefault="00000000" w:rsidRPr="00000000" w14:paraId="00000025">
      <w:pPr>
        <w:rPr/>
      </w:pPr>
      <w:sdt>
        <w:sdtPr>
          <w:id w:val="-886381850"/>
          <w:tag w:val="goog_rdk_39"/>
        </w:sdtPr>
        <w:sdtContent>
          <w:r w:rsidDel="00000000" w:rsidR="00000000" w:rsidRPr="00000000">
            <w:rPr>
              <w:rFonts w:ascii="Gungsuh" w:cs="Gungsuh" w:eastAsia="Gungsuh" w:hAnsi="Gungsuh"/>
              <w:b w:val="0"/>
              <w:bCs w:val="0"/>
              <w:i w:val="0"/>
              <w:iCs w:val="0"/>
              <w:sz w:val="24"/>
              <w:szCs w:val="24"/>
              <w:rtl w:val="0"/>
            </w:rPr>
            <w:t xml:space="preserve">Mooring 在 PPM 文獻中的角色長期以來被視為調節變項（Bansal et al., 2005; Song &amp; Zhou, 2026）。然而，從社會認知理論（Bandura, 1977, 1986）與自我效能理論的觀點來看，Mooring 因素（如自我效能、學校支持、慣性、焦慮）不僅會調節推拉力的效果，其本身也可能是推拉力對轉換意願影響過程中的中介機制。</w:t>
          </w:r>
        </w:sdtContent>
      </w:sdt>
      <w:r w:rsidDel="00000000" w:rsidR="00000000" w:rsidRPr="00000000">
        <w:rPr>
          <w:rtl w:val="0"/>
        </w:rPr>
      </w:r>
    </w:p>
    <w:p w:rsidR="00000000" w:rsidDel="00000000" w:rsidP="00000000" w:rsidRDefault="00000000" w:rsidRPr="00000000" w14:paraId="00000026">
      <w:pPr>
        <w:rPr/>
      </w:pPr>
      <w:sdt>
        <w:sdtPr>
          <w:id w:val="-1943960835"/>
          <w:tag w:val="goog_rdk_40"/>
        </w:sdtPr>
        <w:sdtContent>
          <w:r w:rsidDel="00000000" w:rsidR="00000000" w:rsidRPr="00000000">
            <w:rPr>
              <w:rFonts w:ascii="Gungsuh" w:cs="Gungsuh" w:eastAsia="Gungsuh" w:hAnsi="Gungsuh"/>
              <w:b w:val="0"/>
              <w:bCs w:val="0"/>
              <w:i w:val="0"/>
              <w:iCs w:val="0"/>
              <w:sz w:val="24"/>
              <w:szCs w:val="24"/>
              <w:rtl w:val="0"/>
            </w:rPr>
            <w:t xml:space="preserve">具體而言，教師面臨教學困境（Push）時，可能促使其重新評估自身的自我效能（Mooring 改變），進而產生轉換意願。同樣地，AI 的吸引力（Pull）也可能透過提升教師的自我效能與支持認知（Mooring 中介），進而增強轉換意願。目前尚無研究同時檢驗 Mooring 的干擾與中介雙重角色，這是本研究擬填補的重要理論缺口。</w:t>
          </w:r>
        </w:sdtContent>
      </w:sdt>
      <w:r w:rsidDel="00000000" w:rsidR="00000000" w:rsidRPr="00000000">
        <w:rPr>
          <w:rtl w:val="0"/>
        </w:rPr>
      </w:r>
    </w:p>
    <w:p w:rsidR="00000000" w:rsidDel="00000000" w:rsidP="00000000" w:rsidRDefault="00000000" w:rsidRPr="00000000" w14:paraId="00000027">
      <w:pPr>
        <w:pStyle w:val="Heading2"/>
        <w:rPr/>
      </w:pPr>
      <w:sdt>
        <w:sdtPr>
          <w:id w:val="-698181305"/>
          <w:tag w:val="goog_rdk_41"/>
        </w:sdtPr>
        <w:sdtContent>
          <w:r w:rsidDel="00000000" w:rsidR="00000000" w:rsidRPr="00000000">
            <w:rPr>
              <w:rFonts w:ascii="Gungsuh" w:cs="Gungsuh" w:eastAsia="Gungsuh" w:hAnsi="Gungsuh"/>
              <w:rtl w:val="0"/>
            </w:rPr>
            <w:t xml:space="preserve">第五節　IPA（重要性—表現分析）方法論</w:t>
          </w:r>
        </w:sdtContent>
      </w:sdt>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i w:val="0"/>
          <w:iCs w:val="0"/>
          <w:sz w:val="24"/>
          <w:szCs w:val="24"/>
          <w:rtl w:val="0"/>
        </w:rPr>
        <w:t xml:space="preserve">Martilla </w:t>
      </w:r>
      <w:r w:rsidDel="00000000" w:rsidR="00000000" w:rsidRPr="00000000">
        <w:rPr>
          <w:rFonts w:ascii="Times New Roman" w:cs="Times New Roman" w:eastAsia="Times New Roman" w:hAnsi="Times New Roman"/>
          <w:rtl w:val="0"/>
        </w:rPr>
        <w:t xml:space="preserve">&amp;</w:t>
      </w:r>
      <w:sdt>
        <w:sdtPr>
          <w:id w:val="-1858348775"/>
          <w:tag w:val="goog_rdk_42"/>
        </w:sdtPr>
        <w:sdtContent>
          <w:r w:rsidDel="00000000" w:rsidR="00000000" w:rsidRPr="00000000">
            <w:rPr>
              <w:rFonts w:ascii="Gungsuh" w:cs="Gungsuh" w:eastAsia="Gungsuh" w:hAnsi="Gungsuh"/>
              <w:b w:val="0"/>
              <w:bCs w:val="0"/>
              <w:i w:val="0"/>
              <w:iCs w:val="0"/>
              <w:sz w:val="24"/>
              <w:szCs w:val="24"/>
              <w:rtl w:val="0"/>
            </w:rPr>
            <w:t xml:space="preserve"> James（1977）提出 IPA 作為同時測量屬性重要度與表現度的診斷工具，將分析結果繪製於四象限矩陣：優勢維持區（高重要高表現）、優先改善區（高重要低表現）、低優先區（低重要低表現）、過度投入區（低重要高表現）。該方法因其直觀性與實用性，廣泛應用於行銷、旅遊、教育等領域。</w:t>
          </w:r>
        </w:sdtContent>
      </w:sdt>
      <w:r w:rsidDel="00000000" w:rsidR="00000000" w:rsidRPr="00000000">
        <w:rPr>
          <w:rtl w:val="0"/>
        </w:rPr>
      </w:r>
    </w:p>
    <w:p w:rsidR="00000000" w:rsidDel="00000000" w:rsidP="00000000" w:rsidRDefault="00000000" w:rsidRPr="00000000" w14:paraId="00000029">
      <w:pPr>
        <w:rPr/>
      </w:pPr>
      <w:sdt>
        <w:sdtPr>
          <w:id w:val="-209931317"/>
          <w:tag w:val="goog_rdk_43"/>
        </w:sdtPr>
        <w:sdtContent>
          <w:r w:rsidDel="00000000" w:rsidR="00000000" w:rsidRPr="00000000">
            <w:rPr>
              <w:rFonts w:ascii="Gungsuh" w:cs="Gungsuh" w:eastAsia="Gungsuh" w:hAnsi="Gungsuh"/>
              <w:b w:val="0"/>
              <w:bCs w:val="0"/>
              <w:i w:val="0"/>
              <w:iCs w:val="0"/>
              <w:sz w:val="24"/>
              <w:szCs w:val="24"/>
              <w:rtl w:val="0"/>
            </w:rPr>
            <w:t xml:space="preserve">Oh（2001）對 IPA 方法論進行系統性評述，指出三個關鍵議題：（1）重要度的操作化定義需區分顯著性（Salience）、重要性（Importance）與決定性（Determinance）；（2）切割點的選擇（尺度中點、總均值、各構面中點）會影響象限歸類；（3）表現度的操作化需區分滿意度（Satisfaction）與表現度（Performance）。Deng（2007）進一步提出修正版 IPA，整合三因子理論、偏相關分析與自然對數轉換，以處理屬性表現與整體滿意度間的非對稱關係。</w:t>
          </w:r>
        </w:sdtContent>
      </w:sdt>
      <w:r w:rsidDel="00000000" w:rsidR="00000000" w:rsidRPr="00000000">
        <w:rPr>
          <w:rtl w:val="0"/>
        </w:rPr>
      </w:r>
    </w:p>
    <w:p w:rsidR="00000000" w:rsidDel="00000000" w:rsidP="00000000" w:rsidRDefault="00000000" w:rsidRPr="00000000" w14:paraId="0000002A">
      <w:pPr>
        <w:rPr/>
      </w:pPr>
      <w:sdt>
        <w:sdtPr>
          <w:id w:val="-946389204"/>
          <w:tag w:val="goog_rdk_44"/>
        </w:sdtPr>
        <w:sdtContent>
          <w:r w:rsidDel="00000000" w:rsidR="00000000" w:rsidRPr="00000000">
            <w:rPr>
              <w:rFonts w:ascii="Gungsuh" w:cs="Gungsuh" w:eastAsia="Gungsuh" w:hAnsi="Gungsuh"/>
              <w:b w:val="0"/>
              <w:bCs w:val="0"/>
              <w:i w:val="0"/>
              <w:iCs w:val="0"/>
              <w:sz w:val="24"/>
              <w:szCs w:val="24"/>
              <w:rtl w:val="0"/>
            </w:rPr>
            <w:t xml:space="preserve">本研究採用 SmartPLS 4 內建的 IPMA（Importance-Performance Matrix Analysis）功能（Ringle &amp; Sarstedt, 2016），以潛在變項的總效果為重要性、平均潛在變項分數（轉換為 0-100 分）為表現度，自動化實現 IPA 診斷。</w:t>
          </w:r>
        </w:sdtContent>
      </w:sdt>
      <w:r w:rsidDel="00000000" w:rsidR="00000000" w:rsidRPr="00000000">
        <w:rPr>
          <w:rtl w:val="0"/>
        </w:rPr>
      </w:r>
    </w:p>
    <w:p w:rsidR="00000000" w:rsidDel="00000000" w:rsidP="00000000" w:rsidRDefault="00000000" w:rsidRPr="00000000" w14:paraId="0000002B">
      <w:pPr>
        <w:pStyle w:val="Heading2"/>
        <w:rPr/>
      </w:pPr>
      <w:sdt>
        <w:sdtPr>
          <w:id w:val="1084992079"/>
          <w:tag w:val="goog_rdk_45"/>
        </w:sdtPr>
        <w:sdtContent>
          <w:r w:rsidDel="00000000" w:rsidR="00000000" w:rsidRPr="00000000">
            <w:rPr>
              <w:rFonts w:ascii="Gungsuh" w:cs="Gungsuh" w:eastAsia="Gungsuh" w:hAnsi="Gungsuh"/>
              <w:rtl w:val="0"/>
            </w:rPr>
            <w:t xml:space="preserve">第六節　科技接受模式與教師技術整合</w:t>
          </w:r>
        </w:sdtContent>
      </w:sdt>
      <w:r w:rsidDel="00000000" w:rsidR="00000000" w:rsidRPr="00000000">
        <w:rPr>
          <w:rtl w:val="0"/>
        </w:rPr>
      </w:r>
    </w:p>
    <w:p w:rsidR="00000000" w:rsidDel="00000000" w:rsidP="00000000" w:rsidRDefault="00000000" w:rsidRPr="00000000" w14:paraId="0000002C">
      <w:pPr>
        <w:rPr/>
      </w:pPr>
      <w:sdt>
        <w:sdtPr>
          <w:id w:val="-144336707"/>
          <w:tag w:val="goog_rdk_46"/>
        </w:sdtPr>
        <w:sdtContent>
          <w:r w:rsidDel="00000000" w:rsidR="00000000" w:rsidRPr="00000000">
            <w:rPr>
              <w:rFonts w:ascii="Gungsuh" w:cs="Gungsuh" w:eastAsia="Gungsuh" w:hAnsi="Gungsuh"/>
              <w:b w:val="0"/>
              <w:bCs w:val="0"/>
              <w:i w:val="0"/>
              <w:iCs w:val="0"/>
              <w:sz w:val="24"/>
              <w:szCs w:val="24"/>
              <w:rtl w:val="0"/>
            </w:rPr>
            <w:t xml:space="preserve">科技接受模式（TAM; Davis, 1989）與整合性科技接受模式（UTAUT; Venkatesh et al., 2003）為解釋教師科技使用行為的兩大主流理論。Scherer </w:t>
          </w:r>
        </w:sdtContent>
      </w:sdt>
      <w:r w:rsidDel="00000000" w:rsidR="00000000" w:rsidRPr="00000000">
        <w:rPr>
          <w:rFonts w:ascii="Times New Roman" w:cs="Times New Roman" w:eastAsia="Times New Roman" w:hAnsi="Times New Roman"/>
          <w:rtl w:val="0"/>
        </w:rPr>
        <w:t xml:space="preserve">et al.</w:t>
      </w:r>
      <w:sdt>
        <w:sdtPr>
          <w:id w:val="1606440842"/>
          <w:tag w:val="goog_rdk_47"/>
        </w:sdtPr>
        <w:sdtContent>
          <w:r w:rsidDel="00000000" w:rsidR="00000000" w:rsidRPr="00000000">
            <w:rPr>
              <w:rFonts w:ascii="Gungsuh" w:cs="Gungsuh" w:eastAsia="Gungsuh" w:hAnsi="Gungsuh"/>
              <w:b w:val="0"/>
              <w:bCs w:val="0"/>
              <w:i w:val="0"/>
              <w:iCs w:val="0"/>
              <w:sz w:val="24"/>
              <w:szCs w:val="24"/>
              <w:rtl w:val="0"/>
            </w:rPr>
            <w:t xml:space="preserve">（2019）對 TAM 在教育領域應用的後設分析發現，感知有用性與感知易用性對教師行為意向的預測效果在不同教育階段間存在顯著異質性。Tsai </w:t>
          </w:r>
        </w:sdtContent>
      </w:sdt>
      <w:r w:rsidDel="00000000" w:rsidR="00000000" w:rsidRPr="00000000">
        <w:rPr>
          <w:rFonts w:ascii="Times New Roman" w:cs="Times New Roman" w:eastAsia="Times New Roman" w:hAnsi="Times New Roman"/>
          <w:rtl w:val="0"/>
        </w:rPr>
        <w:t xml:space="preserve">&amp;</w:t>
      </w:r>
      <w:sdt>
        <w:sdtPr>
          <w:id w:val="1709135785"/>
          <w:tag w:val="goog_rdk_48"/>
        </w:sdtPr>
        <w:sdtContent>
          <w:r w:rsidDel="00000000" w:rsidR="00000000" w:rsidRPr="00000000">
            <w:rPr>
              <w:rFonts w:ascii="Gungsuh" w:cs="Gungsuh" w:eastAsia="Gungsuh" w:hAnsi="Gungsuh"/>
              <w:b w:val="0"/>
              <w:bCs w:val="0"/>
              <w:i w:val="0"/>
              <w:iCs w:val="0"/>
              <w:sz w:val="24"/>
              <w:szCs w:val="24"/>
              <w:rtl w:val="0"/>
            </w:rPr>
            <w:t xml:space="preserve"> Chai（2012）提出科技整合的「第三層次障礙」，指出教師信念與態度是超越硬體與技能的核心障礙因素。</w:t>
          </w:r>
        </w:sdtContent>
      </w:sdt>
      <w:r w:rsidDel="00000000" w:rsidR="00000000" w:rsidRPr="00000000">
        <w:rPr>
          <w:rtl w:val="0"/>
        </w:rPr>
      </w:r>
    </w:p>
    <w:p w:rsidR="00000000" w:rsidDel="00000000" w:rsidP="00000000" w:rsidRDefault="00000000" w:rsidRPr="00000000" w14:paraId="0000002D">
      <w:pPr>
        <w:rPr/>
      </w:pPr>
      <w:sdt>
        <w:sdtPr>
          <w:id w:val="-70980534"/>
          <w:tag w:val="goog_rdk_49"/>
        </w:sdtPr>
        <w:sdtContent>
          <w:r w:rsidDel="00000000" w:rsidR="00000000" w:rsidRPr="00000000">
            <w:rPr>
              <w:rFonts w:ascii="Gungsuh" w:cs="Gungsuh" w:eastAsia="Gungsuh" w:hAnsi="Gungsuh"/>
              <w:b w:val="0"/>
              <w:bCs w:val="0"/>
              <w:i w:val="0"/>
              <w:iCs w:val="0"/>
              <w:sz w:val="24"/>
              <w:szCs w:val="24"/>
              <w:rtl w:val="0"/>
            </w:rPr>
            <w:t xml:space="preserve">本研究有別於 TAM/UTAUT 的「科技接受」視角，採用 PPM 的「轉換遷移」視角，更能捕捉教師從傳統教學到 AI 融入教學的動態轉變過程。PPM 的優勢在於同時考量推力（對現狀的不滿意）與拉力（對新方案的期待），以及繫住力（個人與情境因素）的調節與中介效果，提供比 TAM 更全面的理論框架。</w:t>
          </w:r>
        </w:sdtContent>
      </w:sdt>
      <w:r w:rsidDel="00000000" w:rsidR="00000000" w:rsidRPr="00000000">
        <w:rPr>
          <w:rtl w:val="0"/>
        </w:rPr>
      </w:r>
    </w:p>
    <w:p w:rsidR="00000000" w:rsidDel="00000000" w:rsidP="00000000" w:rsidRDefault="00000000" w:rsidRPr="00000000" w14:paraId="0000002E">
      <w:pPr>
        <w:pStyle w:val="Heading2"/>
        <w:rPr/>
      </w:pPr>
      <w:sdt>
        <w:sdtPr>
          <w:id w:val="-1965826375"/>
          <w:tag w:val="goog_rdk_50"/>
        </w:sdtPr>
        <w:sdtContent>
          <w:r w:rsidDel="00000000" w:rsidR="00000000" w:rsidRPr="00000000">
            <w:rPr>
              <w:rFonts w:ascii="Gungsuh" w:cs="Gungsuh" w:eastAsia="Gungsuh" w:hAnsi="Gungsuh"/>
              <w:rtl w:val="0"/>
            </w:rPr>
            <w:t xml:space="preserve">第七節　台灣技職教育脈絡與 AI 政策</w:t>
          </w:r>
        </w:sdtContent>
      </w:sdt>
      <w:r w:rsidDel="00000000" w:rsidR="00000000" w:rsidRPr="00000000">
        <w:rPr>
          <w:rtl w:val="0"/>
        </w:rPr>
      </w:r>
    </w:p>
    <w:p w:rsidR="00000000" w:rsidDel="00000000" w:rsidP="00000000" w:rsidRDefault="00000000" w:rsidRPr="00000000" w14:paraId="0000002F">
      <w:pPr>
        <w:rPr/>
      </w:pPr>
      <w:sdt>
        <w:sdtPr>
          <w:id w:val="-326163010"/>
          <w:tag w:val="goog_rdk_51"/>
        </w:sdtPr>
        <w:sdtContent>
          <w:r w:rsidDel="00000000" w:rsidR="00000000" w:rsidRPr="00000000">
            <w:rPr>
              <w:rFonts w:ascii="Gungsuh" w:cs="Gungsuh" w:eastAsia="Gungsuh" w:hAnsi="Gungsuh"/>
              <w:rtl w:val="0"/>
            </w:rPr>
            <w:t xml:space="preserve">我國</w:t>
          </w:r>
        </w:sdtContent>
      </w:sdt>
      <w:sdt>
        <w:sdtPr>
          <w:id w:val="1900345942"/>
          <w:tag w:val="goog_rdk_52"/>
        </w:sdtPr>
        <w:sdtContent>
          <w:r w:rsidDel="00000000" w:rsidR="00000000" w:rsidRPr="00000000">
            <w:rPr>
              <w:rFonts w:ascii="Gungsuh" w:cs="Gungsuh" w:eastAsia="Gungsuh" w:hAnsi="Gungsuh"/>
              <w:b w:val="0"/>
              <w:bCs w:val="0"/>
              <w:i w:val="0"/>
              <w:iCs w:val="0"/>
              <w:sz w:val="24"/>
              <w:szCs w:val="24"/>
              <w:rtl w:val="0"/>
            </w:rPr>
            <w:t xml:space="preserve">教育部於 2024 年宣布將 AI 納入中小學教育，目標兩年內成為亞洲 AI 教育領導者（Taipei Times, 2024）。教育部並於 2025 年公布營運計畫，明確將 AI 素養納入課程發展重點（Taiwan MOE, 2024）。在技職教育方面，Jou </w:t>
          </w:r>
        </w:sdtContent>
      </w:sdt>
      <w:r w:rsidDel="00000000" w:rsidR="00000000" w:rsidRPr="00000000">
        <w:rPr>
          <w:rFonts w:ascii="Times New Roman" w:cs="Times New Roman" w:eastAsia="Times New Roman" w:hAnsi="Times New Roman"/>
          <w:rtl w:val="0"/>
        </w:rPr>
        <w:t xml:space="preserve">et al.</w:t>
      </w:r>
      <w:sdt>
        <w:sdtPr>
          <w:id w:val="-390939883"/>
          <w:tag w:val="goog_rdk_53"/>
        </w:sdtPr>
        <w:sdtContent>
          <w:r w:rsidDel="00000000" w:rsidR="00000000" w:rsidRPr="00000000">
            <w:rPr>
              <w:rFonts w:ascii="Gungsuh" w:cs="Gungsuh" w:eastAsia="Gungsuh" w:hAnsi="Gungsuh"/>
              <w:b w:val="0"/>
              <w:bCs w:val="0"/>
              <w:i w:val="0"/>
              <w:iCs w:val="0"/>
              <w:sz w:val="24"/>
              <w:szCs w:val="24"/>
              <w:rtl w:val="0"/>
            </w:rPr>
            <w:t xml:space="preserve">（2025）針對台灣技職師培生（n = 18）的質性研究發現，生成式 AI 可促進學生從不確定到自信、情境化 TPACK 發展與批判意識覺醒三條專業成長軌跡。台灣</w:t>
          </w:r>
        </w:sdtContent>
      </w:sdt>
      <w:sdt>
        <w:sdtPr>
          <w:id w:val="-140410849"/>
          <w:tag w:val="goog_rdk_54"/>
        </w:sdtPr>
        <w:sdtContent>
          <w:r w:rsidDel="00000000" w:rsidR="00000000" w:rsidRPr="00000000">
            <w:rPr>
              <w:rFonts w:ascii="Gungsuh" w:cs="Gungsuh" w:eastAsia="Gungsuh" w:hAnsi="Gungsuh"/>
              <w:rtl w:val="0"/>
            </w:rPr>
            <w:t xml:space="preserve">各</w:t>
          </w:r>
        </w:sdtContent>
      </w:sdt>
      <w:sdt>
        <w:sdtPr>
          <w:id w:val="-1621608360"/>
          <w:tag w:val="goog_rdk_55"/>
        </w:sdtPr>
        <w:sdtContent>
          <w:r w:rsidDel="00000000" w:rsidR="00000000" w:rsidRPr="00000000">
            <w:rPr>
              <w:rFonts w:ascii="Gungsuh" w:cs="Gungsuh" w:eastAsia="Gungsuh" w:hAnsi="Gungsuh"/>
              <w:b w:val="0"/>
              <w:bCs w:val="0"/>
              <w:i w:val="0"/>
              <w:iCs w:val="0"/>
              <w:sz w:val="24"/>
              <w:szCs w:val="24"/>
              <w:rtl w:val="0"/>
            </w:rPr>
            <w:t xml:space="preserve">科技大學亦積極推動 AI 教育向下扎根，協助高中與技職學校教師與學生掌握最新科技趨勢。</w:t>
          </w:r>
        </w:sdtContent>
      </w:sdt>
      <w:r w:rsidDel="00000000" w:rsidR="00000000" w:rsidRPr="00000000">
        <w:rPr>
          <w:rtl w:val="0"/>
        </w:rPr>
      </w:r>
    </w:p>
    <w:p w:rsidR="00000000" w:rsidDel="00000000" w:rsidP="00000000" w:rsidRDefault="00000000" w:rsidRPr="00000000" w14:paraId="00000030">
      <w:pPr>
        <w:rPr/>
      </w:pPr>
      <w:sdt>
        <w:sdtPr>
          <w:id w:val="-790598029"/>
          <w:tag w:val="goog_rdk_56"/>
        </w:sdtPr>
        <w:sdtContent>
          <w:r w:rsidDel="00000000" w:rsidR="00000000" w:rsidRPr="00000000">
            <w:rPr>
              <w:rFonts w:ascii="Gungsuh" w:cs="Gungsuh" w:eastAsia="Gungsuh" w:hAnsi="Gungsuh"/>
              <w:b w:val="0"/>
              <w:bCs w:val="0"/>
              <w:i w:val="0"/>
              <w:iCs w:val="0"/>
              <w:sz w:val="24"/>
              <w:szCs w:val="24"/>
              <w:rtl w:val="0"/>
            </w:rPr>
            <w:t xml:space="preserve">然而，目前針對台灣技術型高中電機電子群教師 AI 融入教學的量化研究仍屬罕見。Setiyawan </w:t>
          </w:r>
        </w:sdtContent>
      </w:sdt>
      <w:r w:rsidDel="00000000" w:rsidR="00000000" w:rsidRPr="00000000">
        <w:rPr>
          <w:rFonts w:ascii="Times New Roman" w:cs="Times New Roman" w:eastAsia="Times New Roman" w:hAnsi="Times New Roman"/>
          <w:rtl w:val="0"/>
        </w:rPr>
        <w:t xml:space="preserve">et al.</w:t>
      </w:r>
      <w:sdt>
        <w:sdtPr>
          <w:id w:val="-1425296105"/>
          <w:tag w:val="goog_rdk_57"/>
        </w:sdtPr>
        <w:sdtContent>
          <w:r w:rsidDel="00000000" w:rsidR="00000000" w:rsidRPr="00000000">
            <w:rPr>
              <w:rFonts w:ascii="Gungsuh" w:cs="Gungsuh" w:eastAsia="Gungsuh" w:hAnsi="Gungsuh"/>
              <w:b w:val="0"/>
              <w:bCs w:val="0"/>
              <w:i w:val="0"/>
              <w:iCs w:val="0"/>
              <w:sz w:val="24"/>
              <w:szCs w:val="24"/>
              <w:rtl w:val="0"/>
            </w:rPr>
            <w:t xml:space="preserve">（2025）的職業 AI-TPACK 研究以印尼為背景，Cao </w:t>
          </w:r>
        </w:sdtContent>
      </w:sdt>
      <w:r w:rsidDel="00000000" w:rsidR="00000000" w:rsidRPr="00000000">
        <w:rPr>
          <w:rFonts w:ascii="Times New Roman" w:cs="Times New Roman" w:eastAsia="Times New Roman" w:hAnsi="Times New Roman"/>
          <w:rtl w:val="0"/>
        </w:rPr>
        <w:t xml:space="preserve">et al.</w:t>
      </w:r>
      <w:sdt>
        <w:sdtPr>
          <w:id w:val="-369157257"/>
          <w:tag w:val="goog_rdk_58"/>
        </w:sdtPr>
        <w:sdtContent>
          <w:r w:rsidDel="00000000" w:rsidR="00000000" w:rsidRPr="00000000">
            <w:rPr>
              <w:rFonts w:ascii="Gungsuh" w:cs="Gungsuh" w:eastAsia="Gungsuh" w:hAnsi="Gungsuh"/>
              <w:b w:val="0"/>
              <w:bCs w:val="0"/>
              <w:i w:val="0"/>
              <w:iCs w:val="0"/>
              <w:sz w:val="24"/>
              <w:szCs w:val="24"/>
              <w:rtl w:val="0"/>
            </w:rPr>
            <w:t xml:space="preserve">（2026）以中國一般教師為對象，Jou </w:t>
          </w:r>
        </w:sdtContent>
      </w:sdt>
      <w:r w:rsidDel="00000000" w:rsidR="00000000" w:rsidRPr="00000000">
        <w:rPr>
          <w:rFonts w:ascii="Times New Roman" w:cs="Times New Roman" w:eastAsia="Times New Roman" w:hAnsi="Times New Roman"/>
          <w:rtl w:val="0"/>
        </w:rPr>
        <w:t xml:space="preserve">et al.</w:t>
      </w:r>
      <w:sdt>
        <w:sdtPr>
          <w:id w:val="131735623"/>
          <w:tag w:val="goog_rdk_59"/>
        </w:sdtPr>
        <w:sdtContent>
          <w:r w:rsidDel="00000000" w:rsidR="00000000" w:rsidRPr="00000000">
            <w:rPr>
              <w:rFonts w:ascii="Gungsuh" w:cs="Gungsuh" w:eastAsia="Gungsuh" w:hAnsi="Gungsuh"/>
              <w:b w:val="0"/>
              <w:bCs w:val="0"/>
              <w:i w:val="0"/>
              <w:iCs w:val="0"/>
              <w:sz w:val="24"/>
              <w:szCs w:val="24"/>
              <w:rtl w:val="0"/>
            </w:rPr>
            <w:t xml:space="preserve">（2025）為質性設計，尚缺乏針對台灣技職教師的量化 SEM 研究，這是本研究的主要脈絡貢獻所在。</w:t>
          </w:r>
        </w:sdtContent>
      </w:sdt>
      <w:r w:rsidDel="00000000" w:rsidR="00000000" w:rsidRPr="00000000">
        <w:rPr>
          <w:rtl w:val="0"/>
        </w:rPr>
      </w:r>
    </w:p>
    <w:p w:rsidR="00000000" w:rsidDel="00000000" w:rsidP="00000000" w:rsidRDefault="00000000" w:rsidRPr="00000000" w14:paraId="00000031">
      <w:pPr>
        <w:pStyle w:val="Heading2"/>
        <w:rPr/>
      </w:pPr>
      <w:sdt>
        <w:sdtPr>
          <w:id w:val="-193312316"/>
          <w:tag w:val="goog_rdk_60"/>
        </w:sdtPr>
        <w:sdtContent>
          <w:r w:rsidDel="00000000" w:rsidR="00000000" w:rsidRPr="00000000">
            <w:rPr>
              <w:rFonts w:ascii="Gungsuh" w:cs="Gungsuh" w:eastAsia="Gungsuh" w:hAnsi="Gungsuh"/>
              <w:rtl w:val="0"/>
            </w:rPr>
            <w:t xml:space="preserve">第八節　本研究定位與文獻缺口整合</w:t>
          </w:r>
        </w:sdtContent>
      </w:sdt>
      <w:r w:rsidDel="00000000" w:rsidR="00000000" w:rsidRPr="00000000">
        <w:rPr>
          <w:rtl w:val="0"/>
        </w:rPr>
      </w:r>
    </w:p>
    <w:p w:rsidR="00000000" w:rsidDel="00000000" w:rsidP="00000000" w:rsidRDefault="00000000" w:rsidRPr="00000000" w14:paraId="00000032">
      <w:pPr>
        <w:rPr/>
      </w:pPr>
      <w:sdt>
        <w:sdtPr>
          <w:id w:val="2034963717"/>
          <w:tag w:val="goog_rdk_61"/>
        </w:sdtPr>
        <w:sdtContent>
          <w:r w:rsidDel="00000000" w:rsidR="00000000" w:rsidRPr="00000000">
            <w:rPr>
              <w:rFonts w:ascii="Gungsuh" w:cs="Gungsuh" w:eastAsia="Gungsuh" w:hAnsi="Gungsuh"/>
              <w:b w:val="0"/>
              <w:bCs w:val="0"/>
              <w:i w:val="0"/>
              <w:iCs w:val="0"/>
              <w:sz w:val="24"/>
              <w:szCs w:val="24"/>
              <w:rtl w:val="0"/>
            </w:rPr>
            <w:t xml:space="preserve">綜合上述文獻回顧，本研究定位於六個文獻缺口的交會點：</w:t>
          </w:r>
        </w:sdtContent>
      </w:sdt>
      <w:r w:rsidDel="00000000" w:rsidR="00000000" w:rsidRPr="00000000">
        <w:rPr>
          <w:rtl w:val="0"/>
        </w:rPr>
      </w:r>
    </w:p>
    <w:p w:rsidR="00000000" w:rsidDel="00000000" w:rsidP="00000000" w:rsidRDefault="00000000" w:rsidRPr="00000000" w14:paraId="00000033">
      <w:pPr>
        <w:rPr/>
      </w:pPr>
      <w:sdt>
        <w:sdtPr>
          <w:id w:val="-1484572845"/>
          <w:tag w:val="goog_rdk_62"/>
        </w:sdtPr>
        <w:sdtContent>
          <w:r w:rsidDel="00000000" w:rsidR="00000000" w:rsidRPr="00000000">
            <w:rPr>
              <w:rFonts w:ascii="Gungsuh" w:cs="Gungsuh" w:eastAsia="Gungsuh" w:hAnsi="Gungsuh"/>
              <w:b w:val="0"/>
              <w:bCs w:val="0"/>
              <w:i w:val="0"/>
              <w:iCs w:val="0"/>
              <w:sz w:val="24"/>
              <w:szCs w:val="24"/>
              <w:rtl w:val="0"/>
            </w:rPr>
            <w:t xml:space="preserve">G1：PPM 停於轉換意圖，未連結能力建構——Lin（2025）、Song &amp; Zhou（2026）的 DV 皆為 switching intention，本研究延伸至 AIPACK 專業能力建構。</w:t>
            <w:br w:type="textWrapping"/>
            <w:t xml:space="preserve">G2：Mooring 僅為干擾變項——Bansal（2005）至 Song &amp; Zhou（2026）皆僅檢驗 moderation，本研究同時檢驗 mediation 與 moderation。</w:t>
            <w:br w:type="textWrapping"/>
            <w:t xml:space="preserve">G3：IPA 未用於 AI-TPACK 診斷——Martilla &amp; James（1977）以來的 IPA 應用多限於行銷與服務品質，本研究應用於 AI-TPACK 知識構面診斷。</w:t>
            <w:br w:type="textWrapping"/>
            <w:t xml:space="preserve">G4：Mooring 未區分類型——文獻將 mooring 視為單一構念（慣性/習慣），本研究區分促進型繫力（效能、支持）與阻礙型繫力（慣性、焦慮）。</w:t>
            <w:br w:type="textWrapping"/>
            <w:t xml:space="preserve">G5：台灣技職量化缺口——現有文獻以質性或國外背景為主，缺乏台灣電機電子群教師的量化 SEM 研究。</w:t>
            <w:br w:type="textWrapping"/>
            <w:t xml:space="preserve">G6：未用 PLS-SEM + IPMA——多數 AI-TPACK 研究採 CB-SEM（AMOS），本研究採用 PLS-SEM 搭配 IPMA。</w:t>
          </w:r>
        </w:sdtContent>
      </w:sdt>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sdt>
        <w:sdtPr>
          <w:id w:val="-1288673711"/>
          <w:tag w:val="goog_rdk_63"/>
        </w:sdtPr>
        <w:sdtContent>
          <w:r w:rsidDel="00000000" w:rsidR="00000000" w:rsidRPr="00000000">
            <w:rPr>
              <w:rFonts w:ascii="Gungsuh" w:cs="Gungsuh" w:eastAsia="Gungsuh" w:hAnsi="Gungsuh"/>
              <w:rtl w:val="0"/>
            </w:rPr>
            <w:t xml:space="preserve">參考文獻（50 篇）</w:t>
          </w:r>
        </w:sdtContent>
      </w:sdt>
      <w:r w:rsidDel="00000000" w:rsidR="00000000" w:rsidRPr="00000000">
        <w:rPr>
          <w:rtl w:val="0"/>
        </w:rPr>
      </w:r>
    </w:p>
    <w:p w:rsidR="00000000" w:rsidDel="00000000" w:rsidP="00000000" w:rsidRDefault="00000000" w:rsidRPr="00000000" w14:paraId="00000036">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Aldemir, T., Celik, I., &amp; Korkmaz, G. (2025). Intelligent-TPACK in practice: Design and evidence from a three-week teacher preparation module. Computers and Education Open, 9, 100306.</w:t>
      </w:r>
      <w:r w:rsidDel="00000000" w:rsidR="00000000" w:rsidRPr="00000000">
        <w:rPr>
          <w:rtl w:val="0"/>
        </w:rPr>
      </w:r>
    </w:p>
    <w:p w:rsidR="00000000" w:rsidDel="00000000" w:rsidP="00000000" w:rsidRDefault="00000000" w:rsidRPr="00000000" w14:paraId="00000037">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Antonio, R. (2025). Fostering preservice science teachers' AI-TPACK competence and reflections through an AI-focused pedagogical learning course. Journal of Technology and Science Education, 15(3), 784–809.</w:t>
      </w:r>
      <w:r w:rsidDel="00000000" w:rsidR="00000000" w:rsidRPr="00000000">
        <w:rPr>
          <w:rtl w:val="0"/>
        </w:rPr>
      </w:r>
    </w:p>
    <w:p w:rsidR="00000000" w:rsidDel="00000000" w:rsidP="00000000" w:rsidRDefault="00000000" w:rsidRPr="00000000" w14:paraId="00000038">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Bansal, H. S., Taylor, S. F., &amp; St. James, Y. (2005). "Migrating" to new service providers: Toward a unifying framework of consumers' switching behaviors. Journal of the Academy of Marketing Science, 33(1), 96–115.</w:t>
      </w:r>
      <w:r w:rsidDel="00000000" w:rsidR="00000000" w:rsidRPr="00000000">
        <w:rPr>
          <w:rtl w:val="0"/>
        </w:rPr>
      </w:r>
    </w:p>
    <w:p w:rsidR="00000000" w:rsidDel="00000000" w:rsidP="00000000" w:rsidRDefault="00000000" w:rsidRPr="00000000" w14:paraId="00000039">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Cao, X., Huang, Z., Li, M., &amp; He, T. (2026). Teachers' AI-TPACK as a tangible outcome in the digital transformation of education: A machine learning-based multilevel approach. Teaching and Teacher Education, 169, 105270.</w:t>
      </w:r>
      <w:r w:rsidDel="00000000" w:rsidR="00000000" w:rsidRPr="00000000">
        <w:rPr>
          <w:rtl w:val="0"/>
        </w:rPr>
      </w:r>
    </w:p>
    <w:p w:rsidR="00000000" w:rsidDel="00000000" w:rsidP="00000000" w:rsidRDefault="00000000" w:rsidRPr="00000000" w14:paraId="0000003A">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Celik, I. (2023). Towards Intelligent-TPACK: An empirical study on teachers' professional knowledge to ethically integrate artificial intelligence (AI)-based tools into education. Computers in Human Behavior, 138, 107468.</w:t>
      </w:r>
      <w:r w:rsidDel="00000000" w:rsidR="00000000" w:rsidRPr="00000000">
        <w:rPr>
          <w:rtl w:val="0"/>
        </w:rPr>
      </w:r>
    </w:p>
    <w:p w:rsidR="00000000" w:rsidDel="00000000" w:rsidP="00000000" w:rsidRDefault="00000000" w:rsidRPr="00000000" w14:paraId="0000003B">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Chai, C. S., Chiu, T. K. F., &amp; Liang, J. C. (2025). Development of an Artificial Intelligence Technology Pedagogical Content Knowledge (AI-TPACK) Scale for Human and AI Concurrently as Teachers. The Asia-Pacific Education Researcher.</w:t>
      </w:r>
      <w:r w:rsidDel="00000000" w:rsidR="00000000" w:rsidRPr="00000000">
        <w:rPr>
          <w:rtl w:val="0"/>
        </w:rPr>
      </w:r>
    </w:p>
    <w:p w:rsidR="00000000" w:rsidDel="00000000" w:rsidP="00000000" w:rsidRDefault="00000000" w:rsidRPr="00000000" w14:paraId="0000003C">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Davis, F. D. (1989). Perceived usefulness, perceived ease of use, and user acceptance of information technology. MIS Quarterly, 13(3), 319–340.</w:t>
      </w:r>
      <w:r w:rsidDel="00000000" w:rsidR="00000000" w:rsidRPr="00000000">
        <w:rPr>
          <w:rtl w:val="0"/>
        </w:rPr>
      </w:r>
    </w:p>
    <w:p w:rsidR="00000000" w:rsidDel="00000000" w:rsidP="00000000" w:rsidRDefault="00000000" w:rsidRPr="00000000" w14:paraId="0000003D">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Deng, W. J. (2007). Using a revised importance–performance analysis approach: The case of Taiwanese hot springs tourism. Tourism Management, 28(5), 1274–1284.</w:t>
      </w:r>
      <w:r w:rsidDel="00000000" w:rsidR="00000000" w:rsidRPr="00000000">
        <w:rPr>
          <w:rtl w:val="0"/>
        </w:rPr>
      </w:r>
    </w:p>
    <w:p w:rsidR="00000000" w:rsidDel="00000000" w:rsidP="00000000" w:rsidRDefault="00000000" w:rsidRPr="00000000" w14:paraId="0000003E">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Dogan, S., Nalbantoglu, U. Y., Celik, I., &amp; Agacli Dogan, N. (2025). Artificial intelligence professional development: A systematic review of TPACK, designs, and effects for teacher learning. Professional Development in Education, 51(3), 519–546.</w:t>
      </w:r>
      <w:r w:rsidDel="00000000" w:rsidR="00000000" w:rsidRPr="00000000">
        <w:rPr>
          <w:rtl w:val="0"/>
        </w:rPr>
      </w:r>
    </w:p>
    <w:p w:rsidR="00000000" w:rsidDel="00000000" w:rsidP="00000000" w:rsidRDefault="00000000" w:rsidRPr="00000000" w14:paraId="0000003F">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ElSayary, A., Al Murshidi, G., Ragab, K., &amp; Al Zaabi, A. (2026). AI transformation in education: Examining teachers' perceptions using an integrated TAM-TPACK-GenAI framework. Contemporary Educational Technology, 18(1), ep636.</w:t>
      </w:r>
      <w:r w:rsidDel="00000000" w:rsidR="00000000" w:rsidRPr="00000000">
        <w:rPr>
          <w:rtl w:val="0"/>
        </w:rPr>
      </w:r>
    </w:p>
    <w:p w:rsidR="00000000" w:rsidDel="00000000" w:rsidP="00000000" w:rsidRDefault="00000000" w:rsidRPr="00000000" w14:paraId="00000040">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Fornell, C., &amp; Larcker, D. F. (1981). Evaluating structural equation models with unobservable and measurement errors. Journal of Marketing Research, 18(1), 39–50.</w:t>
      </w:r>
      <w:r w:rsidDel="00000000" w:rsidR="00000000" w:rsidRPr="00000000">
        <w:rPr>
          <w:rtl w:val="0"/>
        </w:rPr>
      </w:r>
    </w:p>
    <w:p w:rsidR="00000000" w:rsidDel="00000000" w:rsidP="00000000" w:rsidRDefault="00000000" w:rsidRPr="00000000" w14:paraId="00000041">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Hair, J. F., Risher, J. J., Sarstedt, M., &amp; Ringle, C. M. (2019). When to use and how to report the results of PLS-SEM. European Business Review, 31(1), 2–24.</w:t>
      </w:r>
      <w:r w:rsidDel="00000000" w:rsidR="00000000" w:rsidRPr="00000000">
        <w:rPr>
          <w:rtl w:val="0"/>
        </w:rPr>
      </w:r>
    </w:p>
    <w:p w:rsidR="00000000" w:rsidDel="00000000" w:rsidP="00000000" w:rsidRDefault="00000000" w:rsidRPr="00000000" w14:paraId="00000042">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Hair, J. F., Hult, G. T. M., Ringle, C. M., &amp; Sarstedt, M. (2022). A primer on partial least squares structural equation modeling (PLS-SEM) (3rd ed.). Sage.</w:t>
      </w:r>
      <w:r w:rsidDel="00000000" w:rsidR="00000000" w:rsidRPr="00000000">
        <w:rPr>
          <w:rtl w:val="0"/>
        </w:rPr>
      </w:r>
    </w:p>
    <w:p w:rsidR="00000000" w:rsidDel="00000000" w:rsidP="00000000" w:rsidRDefault="00000000" w:rsidRPr="00000000" w14:paraId="00000043">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Harris, J., Mishra, P., &amp; Koehler, M. (2009). Teachers' technological pedagogical content knowledge and learning activity types. Journal of Research on Technology in Education, 41(4), 393–416.</w:t>
      </w:r>
      <w:r w:rsidDel="00000000" w:rsidR="00000000" w:rsidRPr="00000000">
        <w:rPr>
          <w:rtl w:val="0"/>
        </w:rPr>
      </w:r>
    </w:p>
    <w:p w:rsidR="00000000" w:rsidDel="00000000" w:rsidP="00000000" w:rsidRDefault="00000000" w:rsidRPr="00000000" w14:paraId="00000044">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Hava, K., &amp; Babayigit, O. (2025). AI-TPACK in digital environments: Examining pre-service teachers' readiness. Education and Information Technologies.</w:t>
      </w:r>
      <w:r w:rsidDel="00000000" w:rsidR="00000000" w:rsidRPr="00000000">
        <w:rPr>
          <w:rtl w:val="0"/>
        </w:rPr>
      </w:r>
    </w:p>
    <w:p w:rsidR="00000000" w:rsidDel="00000000" w:rsidP="00000000" w:rsidRDefault="00000000" w:rsidRPr="00000000" w14:paraId="00000045">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Henseler, J., Ringle, C. M., &amp; Sarstedt, M. (2015). A new criterion for assessing discriminant validity in variance-based structural equation modeling. Journal of the Academy of Marketing Science, 43(1), 115–135.</w:t>
      </w:r>
      <w:r w:rsidDel="00000000" w:rsidR="00000000" w:rsidRPr="00000000">
        <w:rPr>
          <w:rtl w:val="0"/>
        </w:rPr>
      </w:r>
    </w:p>
    <w:p w:rsidR="00000000" w:rsidDel="00000000" w:rsidP="00000000" w:rsidRDefault="00000000" w:rsidRPr="00000000" w14:paraId="00000046">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Jou, M., Kuo, T.-H., Chiang, Y.-C., Hao, Y., &amp; Huang, C.-C. (2025). Integrating Generative AI in Teacher Education: A Qualitative Exploration of TPACK Growth and Critical Reflection. The Turkish Online Journal of Educational Technology, 24(4), 101–120.</w:t>
      </w:r>
      <w:r w:rsidDel="00000000" w:rsidR="00000000" w:rsidRPr="00000000">
        <w:rPr>
          <w:rtl w:val="0"/>
        </w:rPr>
      </w:r>
    </w:p>
    <w:p w:rsidR="00000000" w:rsidDel="00000000" w:rsidP="00000000" w:rsidRDefault="00000000" w:rsidRPr="00000000" w14:paraId="00000047">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Karatas, F., &amp; Aksu Ataç, B. (2025). When TPACK meets artificial intelligence: Analyzing TPACK and AI-TPACK components through structural equation modelling. Education and Information Technologies, 30, 8979–9004.</w:t>
      </w:r>
      <w:r w:rsidDel="00000000" w:rsidR="00000000" w:rsidRPr="00000000">
        <w:rPr>
          <w:rtl w:val="0"/>
        </w:rPr>
      </w:r>
    </w:p>
    <w:p w:rsidR="00000000" w:rsidDel="00000000" w:rsidP="00000000" w:rsidRDefault="00000000" w:rsidRPr="00000000" w14:paraId="00000048">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Koehler, M. J., &amp; Mishra, P. (2008). Introducing TPCK. In AACTE (Ed.), Handbook of technological pedagogical content knowledge (pp. 3–29). Routledge.</w:t>
      </w:r>
      <w:r w:rsidDel="00000000" w:rsidR="00000000" w:rsidRPr="00000000">
        <w:rPr>
          <w:rtl w:val="0"/>
        </w:rPr>
      </w:r>
    </w:p>
    <w:p w:rsidR="00000000" w:rsidDel="00000000" w:rsidP="00000000" w:rsidRDefault="00000000" w:rsidRPr="00000000" w14:paraId="00000049">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Lee, E. S. (1966). A theory of migration. Demography, 3, 47–57.</w:t>
      </w:r>
      <w:r w:rsidDel="00000000" w:rsidR="00000000" w:rsidRPr="00000000">
        <w:rPr>
          <w:rtl w:val="0"/>
        </w:rPr>
      </w:r>
    </w:p>
    <w:p w:rsidR="00000000" w:rsidDel="00000000" w:rsidP="00000000" w:rsidRDefault="00000000" w:rsidRPr="00000000" w14:paraId="0000004A">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Lin, C.-L., Liu, J.-Y., Li, C.-H., Su, Y.-S., &amp; Zhou, J. (2025). The impact of switching intention of teachers' online teaching in the COVID-19 era: The perspective of Push-Pull-Mooring. International Review of Research in Open and Distributed Learning, 26(1), 38–56.</w:t>
      </w:r>
      <w:r w:rsidDel="00000000" w:rsidR="00000000" w:rsidRPr="00000000">
        <w:rPr>
          <w:rtl w:val="0"/>
        </w:rPr>
      </w:r>
    </w:p>
    <w:p w:rsidR="00000000" w:rsidDel="00000000" w:rsidP="00000000" w:rsidRDefault="00000000" w:rsidRPr="00000000" w14:paraId="0000004B">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Lorenz, U., &amp; Romeike, R. (2023). What Is AI-PACK? Outline of AI Competencies for Teaching with DPACK. ISSEP 2023, LNCS 14296, 13–25.</w:t>
      </w:r>
      <w:r w:rsidDel="00000000" w:rsidR="00000000" w:rsidRPr="00000000">
        <w:rPr>
          <w:rtl w:val="0"/>
        </w:rPr>
      </w:r>
    </w:p>
    <w:p w:rsidR="00000000" w:rsidDel="00000000" w:rsidP="00000000" w:rsidRDefault="00000000" w:rsidRPr="00000000" w14:paraId="0000004C">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Martilla, J. A., &amp; James, J. C. (1977). Importance-performance analysis. Journal of Marketing, 41(1), 77–79.</w:t>
      </w:r>
      <w:r w:rsidDel="00000000" w:rsidR="00000000" w:rsidRPr="00000000">
        <w:rPr>
          <w:rtl w:val="0"/>
        </w:rPr>
      </w:r>
    </w:p>
    <w:p w:rsidR="00000000" w:rsidDel="00000000" w:rsidP="00000000" w:rsidRDefault="00000000" w:rsidRPr="00000000" w14:paraId="0000004D">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Marx, T. (2025). The push-pull-mooring model of consumer service switching: A meta-analytical review. Journal of Service Theory and Practice, 35(7), 1–29.</w:t>
      </w:r>
      <w:r w:rsidDel="00000000" w:rsidR="00000000" w:rsidRPr="00000000">
        <w:rPr>
          <w:rtl w:val="0"/>
        </w:rPr>
      </w:r>
    </w:p>
    <w:p w:rsidR="00000000" w:rsidDel="00000000" w:rsidP="00000000" w:rsidRDefault="00000000" w:rsidRPr="00000000" w14:paraId="0000004E">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Memon, M. A., Ramayah, T., Cheah, J.-H., &amp; Ting, H. (2026). Moderated mediation analysis using SmartPLS: A tutorial for business researchers. Journal of Applied Structural Equation Modeling, 10(1), 1–29.</w:t>
      </w:r>
      <w:r w:rsidDel="00000000" w:rsidR="00000000" w:rsidRPr="00000000">
        <w:rPr>
          <w:rtl w:val="0"/>
        </w:rPr>
      </w:r>
    </w:p>
    <w:p w:rsidR="00000000" w:rsidDel="00000000" w:rsidP="00000000" w:rsidRDefault="00000000" w:rsidRPr="00000000" w14:paraId="0000004F">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Miao, F., &amp; Cukurova, M. (2024). AI competency framework for teachers. UNESCO.</w:t>
      </w:r>
      <w:r w:rsidDel="00000000" w:rsidR="00000000" w:rsidRPr="00000000">
        <w:rPr>
          <w:rtl w:val="0"/>
        </w:rPr>
      </w:r>
    </w:p>
    <w:p w:rsidR="00000000" w:rsidDel="00000000" w:rsidP="00000000" w:rsidRDefault="00000000" w:rsidRPr="00000000" w14:paraId="00000050">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Mishra, P., &amp; Koehler, M. J. (2006). Technological pedagogical content knowledge: A framework for teacher knowledge. Teachers College Record, 108(6), 1017–1054.</w:t>
      </w:r>
      <w:r w:rsidDel="00000000" w:rsidR="00000000" w:rsidRPr="00000000">
        <w:rPr>
          <w:rtl w:val="0"/>
        </w:rPr>
      </w:r>
    </w:p>
    <w:p w:rsidR="00000000" w:rsidDel="00000000" w:rsidP="00000000" w:rsidRDefault="00000000" w:rsidRPr="00000000" w14:paraId="00000051">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Mishra, P. (2019). Considering contextual knowledge: The TPACK diagram gets an upgrade. Journal of Digital Learning in Teacher Education, 35(2), 76–78.</w:t>
      </w:r>
      <w:r w:rsidDel="00000000" w:rsidR="00000000" w:rsidRPr="00000000">
        <w:rPr>
          <w:rtl w:val="0"/>
        </w:rPr>
      </w:r>
    </w:p>
    <w:p w:rsidR="00000000" w:rsidDel="00000000" w:rsidP="00000000" w:rsidRDefault="00000000" w:rsidRPr="00000000" w14:paraId="00000052">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Moon, B. (1995). Paradigms in migration research: Exploring 'moorings' as a schema. Progress in Human Geography, 19(4), 504–524.</w:t>
      </w:r>
      <w:r w:rsidDel="00000000" w:rsidR="00000000" w:rsidRPr="00000000">
        <w:rPr>
          <w:rtl w:val="0"/>
        </w:rPr>
      </w:r>
    </w:p>
    <w:p w:rsidR="00000000" w:rsidDel="00000000" w:rsidP="00000000" w:rsidRDefault="00000000" w:rsidRPr="00000000" w14:paraId="00000053">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Oh, H. (2001). Revisiting importance-performance analysis. Tourism Management, 22(6), 617–627.</w:t>
      </w:r>
      <w:r w:rsidDel="00000000" w:rsidR="00000000" w:rsidRPr="00000000">
        <w:rPr>
          <w:rtl w:val="0"/>
        </w:rPr>
      </w:r>
    </w:p>
    <w:p w:rsidR="00000000" w:rsidDel="00000000" w:rsidP="00000000" w:rsidRDefault="00000000" w:rsidRPr="00000000" w14:paraId="00000054">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Ringle, C. M., &amp; Sarstedt, M. (2016). Gain more insight from your PLS-SEM results: The importance-performance map analysis. Industrial Management &amp; Data Systems, 116(9), 1865–1886.</w:t>
      </w:r>
      <w:r w:rsidDel="00000000" w:rsidR="00000000" w:rsidRPr="00000000">
        <w:rPr>
          <w:rtl w:val="0"/>
        </w:rPr>
      </w:r>
    </w:p>
    <w:p w:rsidR="00000000" w:rsidDel="00000000" w:rsidP="00000000" w:rsidRDefault="00000000" w:rsidRPr="00000000" w14:paraId="00000055">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Scherer, R., Siddiq, F., &amp; Tondeur, J. (2019). The technology acceptance model (TAM): A meta-analytic structural equation modeling approach to explaining teachers' adoption of digital technology in education. Computers &amp; Education, 128, 13–35.</w:t>
      </w:r>
      <w:r w:rsidDel="00000000" w:rsidR="00000000" w:rsidRPr="00000000">
        <w:rPr>
          <w:rtl w:val="0"/>
        </w:rPr>
      </w:r>
    </w:p>
    <w:p w:rsidR="00000000" w:rsidDel="00000000" w:rsidP="00000000" w:rsidRDefault="00000000" w:rsidRPr="00000000" w14:paraId="00000056">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Setiyawan, A., Soeharto, S., Wijaya, T. T., Korenova, L., &amp; Lavicza, Z. (2025). Measuring Teachers' competencies for AI integration: Development and validation of the AI-TPACK in vocational education. Computers and Education Open, 9, 100319.</w:t>
      </w:r>
      <w:r w:rsidDel="00000000" w:rsidR="00000000" w:rsidRPr="00000000">
        <w:rPr>
          <w:rtl w:val="0"/>
        </w:rPr>
      </w:r>
    </w:p>
    <w:p w:rsidR="00000000" w:rsidDel="00000000" w:rsidP="00000000" w:rsidRDefault="00000000" w:rsidRPr="00000000" w14:paraId="00000057">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Shmueli, G., Sarstedt, M., Hair, J. F., Cheah, J.-H., Ting, H., Vaithilingam, S., &amp; Ringle, C. M. (2019). Predictive model assessment in PLS-SEM: Guidelines for using PLSpredict. European Journal of Marketing, 53(11), 2322–2347.</w:t>
      </w:r>
      <w:r w:rsidDel="00000000" w:rsidR="00000000" w:rsidRPr="00000000">
        <w:rPr>
          <w:rtl w:val="0"/>
        </w:rPr>
      </w:r>
    </w:p>
    <w:p w:rsidR="00000000" w:rsidDel="00000000" w:rsidP="00000000" w:rsidRDefault="00000000" w:rsidRPr="00000000" w14:paraId="00000058">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Shulman, L. S. (1986). Those who understand: Knowledge growth in teaching. Educational Researcher, 15(2), 4–14.</w:t>
      </w:r>
      <w:r w:rsidDel="00000000" w:rsidR="00000000" w:rsidRPr="00000000">
        <w:rPr>
          <w:rtl w:val="0"/>
        </w:rPr>
      </w:r>
    </w:p>
    <w:p w:rsidR="00000000" w:rsidDel="00000000" w:rsidP="00000000" w:rsidRDefault="00000000" w:rsidRPr="00000000" w14:paraId="00000059">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Song, C., &amp; Zhou, S. (2026). Push or Pull? Understanding switching intentions from human services to GAI agents through the PPM framework. Computers in Human Behavior, 176, 108874.</w:t>
      </w:r>
      <w:r w:rsidDel="00000000" w:rsidR="00000000" w:rsidRPr="00000000">
        <w:rPr>
          <w:rtl w:val="0"/>
        </w:rPr>
      </w:r>
    </w:p>
    <w:p w:rsidR="00000000" w:rsidDel="00000000" w:rsidP="00000000" w:rsidRDefault="00000000" w:rsidRPr="00000000" w14:paraId="0000005A">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Taiwan Ministry of Education. (2024). Ministry of Education operational plan for 2025 [draft version]. https://ws.moe.edu.tw/</w:t>
      </w:r>
      <w:r w:rsidDel="00000000" w:rsidR="00000000" w:rsidRPr="00000000">
        <w:rPr>
          <w:rtl w:val="0"/>
        </w:rPr>
      </w:r>
    </w:p>
    <w:p w:rsidR="00000000" w:rsidDel="00000000" w:rsidP="00000000" w:rsidRDefault="00000000" w:rsidRPr="00000000" w14:paraId="0000005B">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Tsai, C. C., &amp; Chai, C. S. (2012). The "third"-order barrier for technology-integration instruction. Australasian Journal of Educational Technology, 28(6).</w:t>
      </w:r>
      <w:r w:rsidDel="00000000" w:rsidR="00000000" w:rsidRPr="00000000">
        <w:rPr>
          <w:rtl w:val="0"/>
        </w:rPr>
      </w:r>
    </w:p>
    <w:p w:rsidR="00000000" w:rsidDel="00000000" w:rsidP="00000000" w:rsidRDefault="00000000" w:rsidRPr="00000000" w14:paraId="0000005C">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Venkatesh, V., Morris, M. G., Davis, G. B., &amp; Davis, F. D. (2003). User acceptance of information technology. MIS Quarterly, 27(3), 425–478.</w:t>
      </w:r>
      <w:r w:rsidDel="00000000" w:rsidR="00000000" w:rsidRPr="00000000">
        <w:rPr>
          <w:rtl w:val="0"/>
        </w:rPr>
      </w:r>
    </w:p>
    <w:p w:rsidR="00000000" w:rsidDel="00000000" w:rsidP="00000000" w:rsidRDefault="00000000" w:rsidRPr="00000000" w14:paraId="0000005D">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Wu, H.-C., &amp; Wu, C.-C. (2025). GHEX-IPACK: Generative AI-extended IPACK framework for teachers' AI competencies.</w:t>
      </w:r>
      <w:r w:rsidDel="00000000" w:rsidR="00000000" w:rsidRPr="00000000">
        <w:rPr>
          <w:rtl w:val="0"/>
        </w:rPr>
      </w:r>
    </w:p>
    <w:p w:rsidR="00000000" w:rsidDel="00000000" w:rsidP="00000000" w:rsidRDefault="00000000" w:rsidRPr="00000000" w14:paraId="0000005E">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Xue, L., Ghazali, N., &amp; Mahat, J. (2025). Artificial intelligence (AI) adoption among teachers: A systematic review and agenda for future research. International Journal of Technology in Education, 8(3), 802–824.</w:t>
      </w:r>
      <w:r w:rsidDel="00000000" w:rsidR="00000000" w:rsidRPr="00000000">
        <w:rPr>
          <w:rtl w:val="0"/>
        </w:rPr>
      </w:r>
    </w:p>
    <w:p w:rsidR="00000000" w:rsidDel="00000000" w:rsidP="00000000" w:rsidRDefault="00000000" w:rsidRPr="00000000" w14:paraId="0000005F">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Bandura, A. (1977). Self-efficacy: Toward a unifying theory of behavioral change. Psychological Review, 84(2), 191–215.</w:t>
      </w:r>
      <w:r w:rsidDel="00000000" w:rsidR="00000000" w:rsidRPr="00000000">
        <w:rPr>
          <w:rtl w:val="0"/>
        </w:rPr>
      </w:r>
    </w:p>
    <w:p w:rsidR="00000000" w:rsidDel="00000000" w:rsidP="00000000" w:rsidRDefault="00000000" w:rsidRPr="00000000" w14:paraId="00000060">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Bandura, A. (1986). Social foundations of thought and action: A social cognitive theory. Prentice-Hall.</w:t>
      </w:r>
      <w:r w:rsidDel="00000000" w:rsidR="00000000" w:rsidRPr="00000000">
        <w:rPr>
          <w:rtl w:val="0"/>
        </w:rPr>
      </w:r>
    </w:p>
    <w:p w:rsidR="00000000" w:rsidDel="00000000" w:rsidP="00000000" w:rsidRDefault="00000000" w:rsidRPr="00000000" w14:paraId="00000061">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Braun, V., &amp; Clarke, V. (2006). Using thematic analysis in psychology. Qualitative Research in Psychology, 3(2), 77–101.</w:t>
      </w:r>
      <w:r w:rsidDel="00000000" w:rsidR="00000000" w:rsidRPr="00000000">
        <w:rPr>
          <w:rtl w:val="0"/>
        </w:rPr>
      </w:r>
    </w:p>
    <w:p w:rsidR="00000000" w:rsidDel="00000000" w:rsidP="00000000" w:rsidRDefault="00000000" w:rsidRPr="00000000" w14:paraId="00000062">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Cheah, J.-H., Nitzl, C., Roldán, J. L., Cepeda-Carrion, G., &amp; Gudergan, S. P. (2021). A primer on the conditional mediation analysis in PLS-SEM. The DATA BASE for Advances in Information Systems, 52(SI), 43–100.</w:t>
      </w:r>
      <w:r w:rsidDel="00000000" w:rsidR="00000000" w:rsidRPr="00000000">
        <w:rPr>
          <w:rtl w:val="0"/>
        </w:rPr>
      </w:r>
    </w:p>
    <w:p w:rsidR="00000000" w:rsidDel="00000000" w:rsidP="00000000" w:rsidRDefault="00000000" w:rsidRPr="00000000" w14:paraId="00000063">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Seta, H. B., et al. (2025). Push-pull-mooring theory and the moderating effect of inertia. Journal of Information and Organizational Sciences.</w:t>
      </w:r>
      <w:r w:rsidDel="00000000" w:rsidR="00000000" w:rsidRPr="00000000">
        <w:rPr>
          <w:rtl w:val="0"/>
        </w:rPr>
      </w:r>
    </w:p>
    <w:p w:rsidR="00000000" w:rsidDel="00000000" w:rsidP="00000000" w:rsidRDefault="00000000" w:rsidRPr="00000000" w14:paraId="00000064">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Teo, T. (2009). Modelling technology acceptance in education: A study of pre-service teachers. Computers &amp; Education, 52(1), 302–312.</w:t>
      </w:r>
      <w:r w:rsidDel="00000000" w:rsidR="00000000" w:rsidRPr="00000000">
        <w:rPr>
          <w:rtl w:val="0"/>
        </w:rPr>
      </w:r>
    </w:p>
    <w:p w:rsidR="00000000" w:rsidDel="00000000" w:rsidP="00000000" w:rsidRDefault="00000000" w:rsidRPr="00000000" w14:paraId="00000065">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Al-Emran, M., Mezhuyev, V., &amp; Kamaludin, A. (2018). Technology Acceptance Model in education. International Journal of Information and Communication Technology Education, 14(1), 49–62.</w:t>
      </w:r>
      <w:r w:rsidDel="00000000" w:rsidR="00000000" w:rsidRPr="00000000">
        <w:rPr>
          <w:rtl w:val="0"/>
        </w:rPr>
      </w:r>
    </w:p>
    <w:p w:rsidR="00000000" w:rsidDel="00000000" w:rsidP="00000000" w:rsidRDefault="00000000" w:rsidRPr="00000000" w14:paraId="00000066">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Bacon, D. R. (2003). A comparison of approaches to importance-performance analysis. International Journal of Market Research, 45(1), 1–15.</w:t>
      </w:r>
      <w:r w:rsidDel="00000000" w:rsidR="00000000" w:rsidRPr="00000000">
        <w:rPr>
          <w:rtl w:val="0"/>
        </w:rPr>
      </w:r>
    </w:p>
    <w:p w:rsidR="00000000" w:rsidDel="00000000" w:rsidP="00000000" w:rsidRDefault="00000000" w:rsidRPr="00000000" w14:paraId="00000067">
      <w:pPr>
        <w:spacing w:after="80" w:lineRule="auto"/>
        <w:ind w:left="720" w:hanging="720"/>
        <w:rPr/>
      </w:pPr>
      <w:r w:rsidDel="00000000" w:rsidR="00000000" w:rsidRPr="00000000">
        <w:rPr>
          <w:rFonts w:ascii="Times New Roman" w:cs="Times New Roman" w:eastAsia="Times New Roman" w:hAnsi="Times New Roman"/>
          <w:sz w:val="22"/>
          <w:szCs w:val="22"/>
          <w:rtl w:val="0"/>
        </w:rPr>
        <w:t xml:space="preserve">Hava, K., &amp; Babayigit, O. (2025). AI-TPACK in digital environments. Education and Information Technologies.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J1TMjVBFT+wNFRyr4UeoMUUY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yDmgueGd4dDk4M29rc3FiOAByITE3X1J2YlpZUDlGQlpqcG1TcGJ4T0J6emtCLTN0ckhp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