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2" w:history="1">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A450A7"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EE6F5C" w:rsidP="00EE6F5C">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noProof/>
          <w:lang w:eastAsia="en-PH"/>
        </w:rPr>
        <w:drawing>
          <wp:anchor distT="0" distB="0" distL="114300" distR="114300" simplePos="0" relativeHeight="251667456" behindDoc="0" locked="0" layoutInCell="1" allowOverlap="1" wp14:anchorId="4627A31D" wp14:editId="79A96F97">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910806" w:rsidRPr="00910806" w:rsidRDefault="00EE6F5C" w:rsidP="00910806">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910806" w:rsidRPr="00910806">
        <w:rPr>
          <w:rFonts w:ascii="Lucida Console" w:hAnsi="Lucida Console"/>
          <w:color w:val="0000FF"/>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colors &lt;- c("darkorchid2", "springgreen2", "slategray2", "lightpink2", "sienna2", "tomato2", "chocolate2", "mediumpurple2", "khaki2", "violetred2", "dodgerblue2", "orange2", "magenta2", "mistyrose2", "lightsalmon2", "gray4", "yellow2")</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7" w:name="_Toc478297025"/>
      <w:r>
        <w:rPr>
          <w:rFonts w:ascii="Arial" w:hAnsi="Arial" w:cs="Arial"/>
          <w:b/>
          <w:sz w:val="28"/>
          <w:szCs w:val="28"/>
        </w:rPr>
        <w:t>Expenditure of Families Per Region</w:t>
      </w:r>
      <w:bookmarkEnd w:id="7"/>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8" w:name="_Toc478297026"/>
      <w:r>
        <w:rPr>
          <w:rFonts w:ascii="Arial" w:hAnsi="Arial" w:cs="Arial"/>
          <w:b/>
          <w:sz w:val="28"/>
          <w:szCs w:val="28"/>
        </w:rPr>
        <w:t>Poverty Incidence by Population 2012</w:t>
      </w:r>
      <w:bookmarkEnd w:id="8"/>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9" w:name="_Toc478297027"/>
      <w:r>
        <w:rPr>
          <w:rFonts w:ascii="Arial" w:hAnsi="Arial" w:cs="Arial"/>
          <w:b/>
          <w:sz w:val="28"/>
          <w:szCs w:val="28"/>
        </w:rPr>
        <w:t>Poverty Incidence by Population 2015</w:t>
      </w:r>
      <w:bookmarkEnd w:id="9"/>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01194E" w:rsidRDefault="00EE6F5C" w:rsidP="00EE6F5C">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8"/>
      <w:r>
        <w:rPr>
          <w:rFonts w:ascii="Arial" w:hAnsi="Arial" w:cs="Arial"/>
          <w:b/>
          <w:sz w:val="28"/>
          <w:szCs w:val="28"/>
        </w:rPr>
        <w:t>Poverty Incidence by Families 2012 and 2015</w:t>
      </w:r>
      <w:bookmarkEnd w:id="10"/>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Default="00EE6F5C" w:rsidP="00EE6F5C">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79744" behindDoc="0" locked="0" layoutInCell="1" allowOverlap="1" wp14:anchorId="69C08F17" wp14:editId="1B3E53BA">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297029"/>
      <w:r>
        <w:rPr>
          <w:rFonts w:ascii="Arial" w:hAnsi="Arial" w:cs="Arial"/>
          <w:b/>
          <w:sz w:val="28"/>
          <w:szCs w:val="28"/>
        </w:rPr>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7A5E43" w:rsidP="00EE6F5C">
      <w:bookmarkStart w:id="12" w:name="_GoBack"/>
      <w:bookmarkEnd w:id="12"/>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3" w:name="_Toc478297030"/>
      <w:r>
        <w:rPr>
          <w:rFonts w:ascii="Arial" w:hAnsi="Arial" w:cs="Arial"/>
          <w:b/>
          <w:sz w:val="28"/>
        </w:rPr>
        <w:t>Number of Schools b</w:t>
      </w:r>
      <w:r w:rsidRPr="00942632">
        <w:rPr>
          <w:rFonts w:ascii="Arial" w:hAnsi="Arial" w:cs="Arial"/>
          <w:b/>
          <w:sz w:val="28"/>
        </w:rPr>
        <w:t>y Population</w:t>
      </w:r>
      <w:bookmarkEnd w:id="13"/>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A7" w:rsidRDefault="00A450A7" w:rsidP="00544C17">
      <w:pPr>
        <w:spacing w:after="0" w:line="240" w:lineRule="auto"/>
      </w:pPr>
      <w:r>
        <w:separator/>
      </w:r>
    </w:p>
  </w:endnote>
  <w:endnote w:type="continuationSeparator" w:id="0">
    <w:p w:rsidR="00A450A7" w:rsidRDefault="00A450A7"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A7" w:rsidRDefault="00A450A7" w:rsidP="00544C17">
      <w:pPr>
        <w:spacing w:after="0" w:line="240" w:lineRule="auto"/>
      </w:pPr>
      <w:r>
        <w:separator/>
      </w:r>
    </w:p>
  </w:footnote>
  <w:footnote w:type="continuationSeparator" w:id="0">
    <w:p w:rsidR="00A450A7" w:rsidRDefault="00A450A7"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8FAOjbVp0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8421D"/>
    <w:rsid w:val="00191A4F"/>
    <w:rsid w:val="00195EDA"/>
    <w:rsid w:val="001E238D"/>
    <w:rsid w:val="002001A4"/>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5E43"/>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57E47"/>
    <w:rsid w:val="00E6495B"/>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22</Pages>
  <Words>3368</Words>
  <Characters>19202</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132</cp:revision>
  <dcterms:created xsi:type="dcterms:W3CDTF">2017-03-18T14:03:00Z</dcterms:created>
  <dcterms:modified xsi:type="dcterms:W3CDTF">2017-03-26T08:58:00Z</dcterms:modified>
</cp:coreProperties>
</file>