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2926A" w14:textId="5277E238" w:rsidR="00176200" w:rsidRDefault="00176200" w:rsidP="00176200">
      <w:pPr>
        <w:jc w:val="center"/>
      </w:pPr>
      <w:r>
        <w:t>Conflict and Catastrophe in GCAM</w:t>
      </w:r>
    </w:p>
    <w:p w14:paraId="2B755412" w14:textId="77777777" w:rsidR="00176200" w:rsidRDefault="00176200"/>
    <w:p w14:paraId="24A15978" w14:textId="77777777" w:rsidR="00176200" w:rsidRDefault="00176200"/>
    <w:p w14:paraId="333D518D" w14:textId="39B72F21" w:rsidR="00C02840" w:rsidRDefault="00C02840">
      <w:r>
        <w:t>Objective: To what extent can IAMs, like GCAM, be linked to large-scale conflicts or catastrophes?</w:t>
      </w:r>
    </w:p>
    <w:p w14:paraId="04147F1E" w14:textId="088CBF43" w:rsidR="00033059" w:rsidRDefault="00C02840">
      <w:r>
        <w:t>Motivation: While IAMs, such as the Global Change Assessment Model, have been developed to explore long-term trends in closely interlinked energy, water, and land use sectors, the models also raise interesting questions about their utility to provide insight on short-term conflict. For example,</w:t>
      </w:r>
      <w:r w:rsidR="00C47CE3">
        <w:t xml:space="preserve"> can GCAM accurately reflect long-term impacts of a decadal drought in a key basin? Can we assess </w:t>
      </w:r>
      <w:proofErr w:type="gramStart"/>
      <w:r w:rsidR="00C47CE3">
        <w:t>elevated</w:t>
      </w:r>
      <w:proofErr w:type="gramEnd"/>
      <w:r w:rsidR="00C47CE3">
        <w:t xml:space="preserve"> risk of resource-driven conflicts in the future? </w:t>
      </w:r>
      <w:r w:rsidR="0003194E">
        <w:t xml:space="preserve">What is the possibility of exploring </w:t>
      </w:r>
      <w:r w:rsidR="00F64DCF">
        <w:t xml:space="preserve">the effects </w:t>
      </w:r>
      <w:r w:rsidR="0003194E">
        <w:t>large</w:t>
      </w:r>
      <w:r w:rsidR="00F64DCF">
        <w:t xml:space="preserve"> </w:t>
      </w:r>
      <w:r w:rsidR="0003194E">
        <w:t xml:space="preserve">on-going conflicts, such </w:t>
      </w:r>
      <w:r w:rsidR="00F64DCF">
        <w:t>as the Ukraine War, on global wheat prices? Although these models were not developed for this purpose, we sought to explore to what capacity they may provide insights</w:t>
      </w:r>
      <w:r w:rsidR="005D768E">
        <w:t xml:space="preserve"> on conflict or catastrophe modeling and to identify focus areas to improve th</w:t>
      </w:r>
      <w:r w:rsidR="0083756B">
        <w:t>is intersection.</w:t>
      </w:r>
      <w:r w:rsidR="00033059">
        <w:t xml:space="preserve"> This work is designed to complement and direct </w:t>
      </w:r>
      <w:r w:rsidR="00293D53">
        <w:t xml:space="preserve">future and </w:t>
      </w:r>
      <w:r w:rsidR="00033059">
        <w:t xml:space="preserve">ongoing efforts to link GCAM more closely to societal elements and assessments of well-being. </w:t>
      </w:r>
    </w:p>
    <w:p w14:paraId="001615FC" w14:textId="5F01B2D8" w:rsidR="00D25AC4" w:rsidRDefault="00D25AC4">
      <w:r>
        <w:t>Conflict modeling</w:t>
      </w:r>
      <w:r w:rsidR="004066FA">
        <w:t xml:space="preserve"> in GCAM</w:t>
      </w:r>
      <w:r>
        <w:t>:</w:t>
      </w:r>
    </w:p>
    <w:p w14:paraId="2A91B1D9" w14:textId="2EE0E337" w:rsidR="00D25AC4" w:rsidRDefault="00D25AC4">
      <w:r>
        <w:t>Either forwards or backwards</w:t>
      </w:r>
      <w:r w:rsidR="00033059">
        <w:t>; each approach has different limitations or implications</w:t>
      </w:r>
    </w:p>
    <w:p w14:paraId="20080A21" w14:textId="4D2BACC0" w:rsidR="00033059" w:rsidRDefault="00033059">
      <w:r w:rsidRPr="00033059">
        <w:rPr>
          <w:noProof/>
        </w:rPr>
        <w:drawing>
          <wp:inline distT="0" distB="0" distL="0" distR="0" wp14:anchorId="1F8F1DD7" wp14:editId="7F1C081E">
            <wp:extent cx="4699000" cy="2385646"/>
            <wp:effectExtent l="0" t="0" r="6350" b="0"/>
            <wp:docPr id="74978409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84091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259" cy="23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5B93" w14:textId="77777777" w:rsidR="00033059" w:rsidRDefault="00033059"/>
    <w:p w14:paraId="23BB20C2" w14:textId="0325DED3" w:rsidR="00033059" w:rsidRDefault="00033059">
      <w:r>
        <w:t xml:space="preserve">Projects: </w:t>
      </w:r>
    </w:p>
    <w:p w14:paraId="1C524EAD" w14:textId="13B57A76" w:rsidR="00033059" w:rsidRDefault="00033059" w:rsidP="00033059">
      <w:pPr>
        <w:pStyle w:val="ListParagraph"/>
        <w:numPr>
          <w:ilvl w:val="0"/>
          <w:numId w:val="2"/>
        </w:numPr>
      </w:pPr>
      <w:r w:rsidRPr="00033059">
        <w:t>Can we combine methods to map FEW-scarcity indicators onto a GCAM ensemble to assess where and when conflict risk in specific regions may occur?</w:t>
      </w:r>
    </w:p>
    <w:p w14:paraId="2193249D" w14:textId="5BA76129" w:rsidR="00033059" w:rsidRDefault="00033059" w:rsidP="00033059">
      <w:pPr>
        <w:pStyle w:val="ListParagraph"/>
        <w:numPr>
          <w:ilvl w:val="1"/>
          <w:numId w:val="2"/>
        </w:numPr>
      </w:pPr>
      <w:r>
        <w:t>Uses existing index along SSPs and with CO2 emission reduction</w:t>
      </w:r>
    </w:p>
    <w:p w14:paraId="2BE8002B" w14:textId="6701A126" w:rsidR="00033059" w:rsidRDefault="00033059" w:rsidP="00033059">
      <w:pPr>
        <w:pStyle w:val="ListParagraph"/>
        <w:numPr>
          <w:ilvl w:val="1"/>
          <w:numId w:val="2"/>
        </w:numPr>
      </w:pPr>
      <w:r>
        <w:t xml:space="preserve">Can be done- what is the meaning? </w:t>
      </w:r>
    </w:p>
    <w:p w14:paraId="68A4E5B3" w14:textId="244E8618" w:rsidR="00033059" w:rsidRDefault="00033059" w:rsidP="00033059">
      <w:pPr>
        <w:pStyle w:val="ListParagraph"/>
        <w:numPr>
          <w:ilvl w:val="1"/>
          <w:numId w:val="2"/>
        </w:numPr>
      </w:pPr>
      <w:r>
        <w:t xml:space="preserve">Implications of looping </w:t>
      </w:r>
      <w:proofErr w:type="gramStart"/>
      <w:r>
        <w:t>all of</w:t>
      </w:r>
      <w:proofErr w:type="gramEnd"/>
      <w:r>
        <w:t xml:space="preserve"> these issues into one metric</w:t>
      </w:r>
    </w:p>
    <w:p w14:paraId="54B6F578" w14:textId="3AFF7762" w:rsidR="00033059" w:rsidRDefault="00033059" w:rsidP="00033059">
      <w:pPr>
        <w:pStyle w:val="ListParagraph"/>
        <w:numPr>
          <w:ilvl w:val="1"/>
          <w:numId w:val="2"/>
        </w:numPr>
      </w:pPr>
      <w:r>
        <w:t>However, proof of concept and supporting literature suggest this could be a beneficial way forward</w:t>
      </w:r>
    </w:p>
    <w:p w14:paraId="7275032E" w14:textId="7593C1BD" w:rsidR="00033059" w:rsidRDefault="00033059" w:rsidP="00033059">
      <w:pPr>
        <w:pStyle w:val="ListParagraph"/>
        <w:numPr>
          <w:ilvl w:val="0"/>
          <w:numId w:val="2"/>
        </w:numPr>
      </w:pPr>
      <w:r w:rsidRPr="00033059">
        <w:t xml:space="preserve">Can we cause short-term </w:t>
      </w:r>
      <w:proofErr w:type="gramStart"/>
      <w:r w:rsidRPr="00033059">
        <w:t>catastrophe’s</w:t>
      </w:r>
      <w:proofErr w:type="gramEnd"/>
      <w:r w:rsidRPr="00033059">
        <w:t xml:space="preserve"> in GCAM?</w:t>
      </w:r>
      <w:r>
        <w:t xml:space="preserve"> </w:t>
      </w:r>
    </w:p>
    <w:p w14:paraId="024952B0" w14:textId="4BFFCCDF" w:rsidR="00033059" w:rsidRDefault="00033059" w:rsidP="00033059">
      <w:pPr>
        <w:pStyle w:val="ListParagraph"/>
        <w:numPr>
          <w:ilvl w:val="1"/>
          <w:numId w:val="2"/>
        </w:numPr>
      </w:pPr>
      <w:r>
        <w:lastRenderedPageBreak/>
        <w:t>The spatial and temporal disaggregation problem is particularly evident here, especially in the water sector</w:t>
      </w:r>
    </w:p>
    <w:p w14:paraId="14B503C8" w14:textId="71ADAE99" w:rsidR="00033059" w:rsidRDefault="00033059" w:rsidP="00033059">
      <w:pPr>
        <w:pStyle w:val="ListParagraph"/>
        <w:numPr>
          <w:ilvl w:val="1"/>
          <w:numId w:val="2"/>
        </w:numPr>
      </w:pPr>
      <w:r>
        <w:t xml:space="preserve">Potential for decadal droughts much larger than for fires, floods, </w:t>
      </w:r>
      <w:proofErr w:type="spellStart"/>
      <w:r>
        <w:t>etc</w:t>
      </w:r>
      <w:proofErr w:type="spellEnd"/>
    </w:p>
    <w:p w14:paraId="6E985366" w14:textId="0837756E" w:rsidR="00033059" w:rsidRDefault="00033059" w:rsidP="00033059">
      <w:pPr>
        <w:pStyle w:val="ListParagraph"/>
        <w:numPr>
          <w:ilvl w:val="0"/>
          <w:numId w:val="2"/>
        </w:numPr>
      </w:pPr>
      <w:r>
        <w:t xml:space="preserve">Can we mimic </w:t>
      </w:r>
      <w:proofErr w:type="gramStart"/>
      <w:r>
        <w:t>effects</w:t>
      </w:r>
      <w:proofErr w:type="gramEnd"/>
      <w:r>
        <w:t xml:space="preserve"> of large-scale war by limiting geographic farming area?</w:t>
      </w:r>
    </w:p>
    <w:p w14:paraId="33AEB7E0" w14:textId="19327780" w:rsidR="00743B7C" w:rsidRDefault="00033059" w:rsidP="00E560D6">
      <w:pPr>
        <w:pStyle w:val="ListParagraph"/>
        <w:numPr>
          <w:ilvl w:val="1"/>
          <w:numId w:val="2"/>
        </w:numPr>
      </w:pPr>
      <w:r>
        <w:t>Difficulty in changing this to the extent to where effects are felt- an assumption challenge?</w:t>
      </w:r>
    </w:p>
    <w:p w14:paraId="5BC21243" w14:textId="33586546" w:rsidR="004066FA" w:rsidRDefault="004066FA" w:rsidP="004066FA">
      <w:r>
        <w:t>Project 1 Details…….</w:t>
      </w:r>
    </w:p>
    <w:p w14:paraId="6D4DC5AA" w14:textId="1A2DDF78" w:rsidR="004066FA" w:rsidRDefault="004066FA" w:rsidP="004066FA">
      <w:r>
        <w:t>Project 2 Details…</w:t>
      </w:r>
      <w:proofErr w:type="gramStart"/>
      <w:r>
        <w:t>…..</w:t>
      </w:r>
      <w:proofErr w:type="gramEnd"/>
    </w:p>
    <w:p w14:paraId="5279AFD2" w14:textId="573B7CC3" w:rsidR="004066FA" w:rsidRDefault="004066FA" w:rsidP="004066FA">
      <w:r>
        <w:t>Project 3 Details…</w:t>
      </w:r>
      <w:proofErr w:type="gramStart"/>
      <w:r>
        <w:t>…..</w:t>
      </w:r>
      <w:proofErr w:type="gramEnd"/>
    </w:p>
    <w:p w14:paraId="54B61967" w14:textId="2A72AEF7" w:rsidR="00743B7C" w:rsidRDefault="00743B7C">
      <w:r>
        <w:t>Lessons/Discussion:</w:t>
      </w:r>
      <w:r w:rsidR="00033059" w:rsidRPr="00033059">
        <w:t xml:space="preserve"> How should we approach and use GCAM</w:t>
      </w:r>
      <w:r w:rsidR="00033059">
        <w:t xml:space="preserve"> in the catastrophe and conflict space</w:t>
      </w:r>
      <w:r w:rsidR="00033059" w:rsidRPr="00033059">
        <w:t>, given the complexities of the systems it represents?</w:t>
      </w:r>
    </w:p>
    <w:p w14:paraId="23878FAE" w14:textId="534D235E" w:rsidR="00743B7C" w:rsidRDefault="00743B7C" w:rsidP="00743B7C">
      <w:pPr>
        <w:pStyle w:val="ListParagraph"/>
        <w:numPr>
          <w:ilvl w:val="0"/>
          <w:numId w:val="1"/>
        </w:numPr>
      </w:pPr>
      <w:r>
        <w:t xml:space="preserve">Disaggregation (both temporally and spatially) presents a large bottleneck in </w:t>
      </w:r>
      <w:r w:rsidR="0096345A">
        <w:t xml:space="preserve">linking IAMs with conflict models. Intermediary relationships between broader GCAM outputs and finer granularity </w:t>
      </w:r>
      <w:proofErr w:type="gramStart"/>
      <w:r w:rsidR="0096345A">
        <w:t>is</w:t>
      </w:r>
      <w:proofErr w:type="gramEnd"/>
      <w:r w:rsidR="0096345A">
        <w:t xml:space="preserve"> required.</w:t>
      </w:r>
      <w:r w:rsidR="00957358">
        <w:t xml:space="preserve"> This makes it difficult to see longstanding impacts of prolonged climate catastrophes, such as a decadal long drought.</w:t>
      </w:r>
    </w:p>
    <w:p w14:paraId="13758C6A" w14:textId="0353CC9E" w:rsidR="0096345A" w:rsidRDefault="0096345A" w:rsidP="00743B7C">
      <w:pPr>
        <w:pStyle w:val="ListParagraph"/>
        <w:numPr>
          <w:ilvl w:val="0"/>
          <w:numId w:val="1"/>
        </w:numPr>
      </w:pPr>
      <w:r>
        <w:t xml:space="preserve">Projects must be reasonable: the </w:t>
      </w:r>
      <w:r w:rsidR="00846536">
        <w:t>method must match the application. GCAM’s strengths lie in the exploratory space, not the predictive one.</w:t>
      </w:r>
      <w:r w:rsidR="00957358">
        <w:t xml:space="preserve"> The assumptions made </w:t>
      </w:r>
      <w:proofErr w:type="gramStart"/>
      <w:r w:rsidR="00957358">
        <w:t>is</w:t>
      </w:r>
      <w:proofErr w:type="gramEnd"/>
      <w:r w:rsidR="00957358">
        <w:t xml:space="preserve"> part of this: we need to use equilibrium models in the right way</w:t>
      </w:r>
      <w:r w:rsidR="004066FA">
        <w:t>, especially when these models may be used to develop policy.</w:t>
      </w:r>
    </w:p>
    <w:p w14:paraId="52F37041" w14:textId="634E53B5" w:rsidR="00846536" w:rsidRDefault="00846536" w:rsidP="00743B7C">
      <w:pPr>
        <w:pStyle w:val="ListParagraph"/>
        <w:numPr>
          <w:ilvl w:val="0"/>
          <w:numId w:val="1"/>
        </w:numPr>
      </w:pPr>
      <w:r>
        <w:t xml:space="preserve">There is a barrier to entry with GCAM: </w:t>
      </w:r>
      <w:r w:rsidR="009E0056">
        <w:t>it is a daunting task to mess with the source code.</w:t>
      </w:r>
      <w:r w:rsidR="004066FA">
        <w:t xml:space="preserve"> </w:t>
      </w:r>
    </w:p>
    <w:p w14:paraId="7D02CDF6" w14:textId="489F1056" w:rsidR="00A94CB3" w:rsidRDefault="004E4F3E" w:rsidP="00DD750C">
      <w:pPr>
        <w:pStyle w:val="ListParagraph"/>
        <w:numPr>
          <w:ilvl w:val="0"/>
          <w:numId w:val="1"/>
        </w:numPr>
      </w:pPr>
      <w:r>
        <w:t>Despite this, if we get it right, this can be super meaningful</w:t>
      </w:r>
      <w:r w:rsidR="004066FA">
        <w:t>!</w:t>
      </w:r>
      <w:r>
        <w:t xml:space="preserve"> We just need to get it right.</w:t>
      </w:r>
      <w:r w:rsidR="004066FA">
        <w:t xml:space="preserve"> Incorporating societal effects, such as elevated risk of local conflict, can indicate a more pressing need </w:t>
      </w:r>
      <w:proofErr w:type="gramStart"/>
      <w:r w:rsidR="004066FA">
        <w:t>to</w:t>
      </w:r>
      <w:proofErr w:type="gramEnd"/>
      <w:r w:rsidR="004066FA">
        <w:t xml:space="preserve"> decision-makers to adapt or mitigate some of the effects of climate change. </w:t>
      </w:r>
    </w:p>
    <w:p w14:paraId="230A54A9" w14:textId="5389B186" w:rsidR="004066FA" w:rsidRDefault="004066FA" w:rsidP="00DD750C">
      <w:pPr>
        <w:pStyle w:val="ListParagraph"/>
        <w:numPr>
          <w:ilvl w:val="0"/>
          <w:numId w:val="1"/>
        </w:numPr>
      </w:pPr>
      <w:r>
        <w:t>Future goals:</w:t>
      </w:r>
    </w:p>
    <w:p w14:paraId="2AE5E471" w14:textId="4A2CAD5D" w:rsidR="004066FA" w:rsidRDefault="004066FA" w:rsidP="004066FA">
      <w:pPr>
        <w:pStyle w:val="ListParagraph"/>
        <w:numPr>
          <w:ilvl w:val="1"/>
          <w:numId w:val="1"/>
        </w:numPr>
      </w:pPr>
      <w:r>
        <w:t>Endogenous GCAM</w:t>
      </w:r>
    </w:p>
    <w:p w14:paraId="389CB025" w14:textId="469CC4D6" w:rsidR="004066FA" w:rsidRDefault="004066FA" w:rsidP="004066FA">
      <w:pPr>
        <w:pStyle w:val="ListParagraph"/>
        <w:numPr>
          <w:ilvl w:val="1"/>
          <w:numId w:val="1"/>
        </w:numPr>
      </w:pPr>
      <w:r>
        <w:t>Methods for spatial or temporal disaggregation</w:t>
      </w:r>
    </w:p>
    <w:p w14:paraId="0ECFEC6D" w14:textId="31CE32E5" w:rsidR="004066FA" w:rsidRDefault="004066FA" w:rsidP="004066FA">
      <w:pPr>
        <w:pStyle w:val="ListParagraph"/>
        <w:numPr>
          <w:ilvl w:val="1"/>
          <w:numId w:val="1"/>
        </w:numPr>
      </w:pPr>
      <w:r>
        <w:t>Delay in shifting supply- shocks aren’t effectively captured</w:t>
      </w:r>
    </w:p>
    <w:p w14:paraId="7A044447" w14:textId="7ABFA421" w:rsidR="004066FA" w:rsidRDefault="004066FA" w:rsidP="004066FA">
      <w:pPr>
        <w:pStyle w:val="ListParagraph"/>
        <w:numPr>
          <w:ilvl w:val="1"/>
          <w:numId w:val="1"/>
        </w:numPr>
      </w:pPr>
      <w:r>
        <w:t>Linkages to predictions of social indicators (or the potential for a broader ensemble with socioeconomics beyond population/GDP) along the deciles previously developed</w:t>
      </w:r>
    </w:p>
    <w:p w14:paraId="288477CE" w14:textId="5E0ED4BD" w:rsidR="004066FA" w:rsidRDefault="004066FA">
      <w:r>
        <w:t>Key References:</w:t>
      </w:r>
    </w:p>
    <w:p w14:paraId="5D78C3D3" w14:textId="6C89F1E7" w:rsidR="004066FA" w:rsidRDefault="004066FA">
      <w:r w:rsidRPr="004066FA">
        <w:t>E. Gilmore, H. Hegre, K. Petrova, J. Moyer, and D. Bowlsby, “Projecting Conflict and Cooperation under Climate Change Scenarios White Paper for Discussion,” 2017.</w:t>
      </w:r>
    </w:p>
    <w:p w14:paraId="550876EB" w14:textId="77777777" w:rsidR="004066FA" w:rsidRDefault="004066FA" w:rsidP="004066FA">
      <w:r>
        <w:t xml:space="preserve">C. Raleigh and H. Urdal, “Climate change, environmental degradation and armed conflict,” </w:t>
      </w:r>
      <w:r>
        <w:rPr>
          <w:i/>
          <w:iCs/>
        </w:rPr>
        <w:t>Political Geography</w:t>
      </w:r>
      <w:r>
        <w:t xml:space="preserve">, vol. 26, no. 6, pp. 674–694, Aug. 2007, </w:t>
      </w:r>
      <w:proofErr w:type="spellStart"/>
      <w:r>
        <w:t>doi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10.1016/j.polgeo.2007.06.005</w:t>
        </w:r>
      </w:hyperlink>
      <w:r>
        <w:t>.</w:t>
      </w:r>
    </w:p>
    <w:p w14:paraId="7CE16295" w14:textId="0D527EE0" w:rsidR="004066FA" w:rsidRPr="004066FA" w:rsidRDefault="004066FA" w:rsidP="004066FA">
      <w:pPr>
        <w:spacing w:after="0" w:line="240" w:lineRule="auto"/>
      </w:pPr>
      <w:r w:rsidRPr="004066FA">
        <w:t>R. Dahm, K. Meijer, E. Kuneman, and L. van Schaik, “What climate? The different meaning of climate indicators in violent conflict studies,” Climatic Change, vol. 176, no. 11, p. 145, 2023.</w:t>
      </w:r>
    </w:p>
    <w:p w14:paraId="3A436352" w14:textId="77777777" w:rsidR="004066FA" w:rsidRPr="004066FA" w:rsidRDefault="004066FA" w:rsidP="004066FA">
      <w:pPr>
        <w:spacing w:after="0" w:line="240" w:lineRule="auto"/>
      </w:pPr>
    </w:p>
    <w:p w14:paraId="651050D3" w14:textId="30DA1AD0" w:rsidR="004066FA" w:rsidRPr="004066FA" w:rsidRDefault="004066FA" w:rsidP="004066FA">
      <w:pPr>
        <w:spacing w:after="0" w:line="240" w:lineRule="auto"/>
      </w:pPr>
      <w:r w:rsidRPr="004066FA">
        <w:lastRenderedPageBreak/>
        <w:t>H. Hegre, J. Karlsen, H. M. Nygård, H. Strand, and H. Urdal, “Predicting armed conflict, 2010–2050,” International Studies Quarterly, vol. 57, no. 2, pp. 250–270, 2013.</w:t>
      </w:r>
    </w:p>
    <w:p w14:paraId="43C89ADF" w14:textId="77777777" w:rsidR="004066FA" w:rsidRPr="004066FA" w:rsidRDefault="004066FA" w:rsidP="0040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7AAE11" w14:textId="79F58353" w:rsidR="004066FA" w:rsidRDefault="004066FA"/>
    <w:p w14:paraId="7A50815B" w14:textId="77777777" w:rsidR="004066FA" w:rsidRDefault="004066FA"/>
    <w:p w14:paraId="0C150066" w14:textId="77777777" w:rsidR="004066FA" w:rsidRDefault="004066FA"/>
    <w:p w14:paraId="734F4C0F" w14:textId="77777777" w:rsidR="004066FA" w:rsidRDefault="004066FA"/>
    <w:p w14:paraId="2D98945D" w14:textId="08977251" w:rsidR="00743B7C" w:rsidRDefault="00743B7C">
      <w:r>
        <w:t>Potential journals:</w:t>
      </w:r>
    </w:p>
    <w:p w14:paraId="51E2C734" w14:textId="0F6AE59B" w:rsidR="00743B7C" w:rsidRDefault="00743B7C">
      <w:r>
        <w:t>Research letter, IOP of science</w:t>
      </w:r>
    </w:p>
    <w:p w14:paraId="0EFC4812" w14:textId="32358BBD" w:rsidR="00CA4041" w:rsidRDefault="00033059">
      <w:hyperlink r:id="rId7" w:history="1">
        <w:r w:rsidRPr="00771922">
          <w:rPr>
            <w:rStyle w:val="Hyperlink"/>
          </w:rPr>
          <w:t>https://publishingsupport.iopscience.iop.org/journals/environmental-research-letters/about-environmental-research-letters/</w:t>
        </w:r>
      </w:hyperlink>
    </w:p>
    <w:p w14:paraId="79202195" w14:textId="77777777" w:rsidR="00033059" w:rsidRDefault="00033059"/>
    <w:p w14:paraId="47FB95AC" w14:textId="3865D2E2" w:rsidR="00033059" w:rsidRDefault="00033059">
      <w:r>
        <w:t xml:space="preserve">Google slides from final presentation: </w:t>
      </w:r>
      <w:hyperlink r:id="rId8" w:history="1">
        <w:r w:rsidRPr="00771922">
          <w:rPr>
            <w:rStyle w:val="Hyperlink"/>
          </w:rPr>
          <w:t>https://docs.google.com/presentation/d/1iG-zMby9YYWeOWEdDQAiSaN0frviraJwwKw2XEik9Qs/edit?usp=sharing</w:t>
        </w:r>
      </w:hyperlink>
    </w:p>
    <w:p w14:paraId="72C00FBF" w14:textId="77777777" w:rsidR="00033059" w:rsidRDefault="00033059"/>
    <w:sectPr w:rsidR="0003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613"/>
    <w:multiLevelType w:val="hybridMultilevel"/>
    <w:tmpl w:val="B2A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702C"/>
    <w:multiLevelType w:val="hybridMultilevel"/>
    <w:tmpl w:val="450C6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872011">
    <w:abstractNumId w:val="0"/>
  </w:num>
  <w:num w:numId="2" w16cid:durableId="50921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1D"/>
    <w:rsid w:val="0003194E"/>
    <w:rsid w:val="00033059"/>
    <w:rsid w:val="00176200"/>
    <w:rsid w:val="00221D20"/>
    <w:rsid w:val="00241B1D"/>
    <w:rsid w:val="00293D53"/>
    <w:rsid w:val="002B6CDA"/>
    <w:rsid w:val="00376F2C"/>
    <w:rsid w:val="004066FA"/>
    <w:rsid w:val="004E4F3E"/>
    <w:rsid w:val="004F3738"/>
    <w:rsid w:val="005562B3"/>
    <w:rsid w:val="005D768E"/>
    <w:rsid w:val="00675EC4"/>
    <w:rsid w:val="00743B7C"/>
    <w:rsid w:val="008308F4"/>
    <w:rsid w:val="0083756B"/>
    <w:rsid w:val="00846536"/>
    <w:rsid w:val="00862363"/>
    <w:rsid w:val="008D5B06"/>
    <w:rsid w:val="00957358"/>
    <w:rsid w:val="0096345A"/>
    <w:rsid w:val="009E0056"/>
    <w:rsid w:val="00A94CB3"/>
    <w:rsid w:val="00C02840"/>
    <w:rsid w:val="00C47CE3"/>
    <w:rsid w:val="00CA4041"/>
    <w:rsid w:val="00D25AC4"/>
    <w:rsid w:val="00F6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B41C"/>
  <w15:chartTrackingRefBased/>
  <w15:docId w15:val="{71A4A6E6-6436-4BAD-94B4-59D7BF43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0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27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94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0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1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iG-zMby9YYWeOWEdDQAiSaN0frviraJwwKw2XEik9Qs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shingsupport.iopscience.iop.org/journals/environmental-research-letters/about-environmental-research-let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polgeo.2007.06.00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Knox</dc:creator>
  <cp:keywords/>
  <dc:description/>
  <cp:lastModifiedBy>Catherine Knox</cp:lastModifiedBy>
  <cp:revision>2</cp:revision>
  <dcterms:created xsi:type="dcterms:W3CDTF">2025-01-06T15:42:00Z</dcterms:created>
  <dcterms:modified xsi:type="dcterms:W3CDTF">2025-01-06T15:42:00Z</dcterms:modified>
</cp:coreProperties>
</file>