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E29B1" w14:textId="369E90EA" w:rsidR="002E16B1" w:rsidRPr="002E16B1" w:rsidRDefault="002E16B1" w:rsidP="00E94EE0">
      <w:pPr>
        <w:spacing w:line="480" w:lineRule="auto"/>
        <w:rPr>
          <w:rFonts w:cstheme="minorHAnsi"/>
        </w:rPr>
      </w:pPr>
      <w:r w:rsidRPr="002E16B1">
        <w:rPr>
          <w:rFonts w:cstheme="minorHAnsi"/>
        </w:rPr>
        <w:t>Joe Hilleary</w:t>
      </w:r>
    </w:p>
    <w:p w14:paraId="7C2A397F" w14:textId="5CB05E7F" w:rsidR="002E16B1" w:rsidRPr="002E16B1" w:rsidRDefault="002E16B1" w:rsidP="00E94EE0">
      <w:pPr>
        <w:spacing w:line="480" w:lineRule="auto"/>
        <w:rPr>
          <w:rFonts w:cstheme="minorHAnsi"/>
        </w:rPr>
      </w:pPr>
      <w:r w:rsidRPr="002E16B1">
        <w:rPr>
          <w:rFonts w:cstheme="minorHAnsi"/>
        </w:rPr>
        <w:t>Tufts University</w:t>
      </w:r>
    </w:p>
    <w:p w14:paraId="73D1897E" w14:textId="6E5A7914" w:rsidR="002E16B1" w:rsidRPr="002E16B1" w:rsidRDefault="002E16B1" w:rsidP="00E94EE0">
      <w:pPr>
        <w:spacing w:line="480" w:lineRule="auto"/>
        <w:rPr>
          <w:rFonts w:cstheme="minorHAnsi"/>
        </w:rPr>
      </w:pPr>
      <w:r w:rsidRPr="002E16B1">
        <w:rPr>
          <w:rFonts w:cstheme="minorHAnsi"/>
        </w:rPr>
        <w:t>Classical Historians Fall 2022</w:t>
      </w:r>
    </w:p>
    <w:p w14:paraId="7BF4A64F" w14:textId="3E1B4122" w:rsidR="002E16B1" w:rsidRPr="002E16B1" w:rsidRDefault="002E16B1" w:rsidP="00E94EE0">
      <w:pPr>
        <w:spacing w:line="480" w:lineRule="auto"/>
        <w:rPr>
          <w:rFonts w:cstheme="minorHAnsi"/>
        </w:rPr>
      </w:pPr>
      <w:r w:rsidRPr="002E16B1">
        <w:rPr>
          <w:rFonts w:cstheme="minorHAnsi"/>
        </w:rPr>
        <w:t>Prof. Greg Crane</w:t>
      </w:r>
    </w:p>
    <w:p w14:paraId="5DAFB59E" w14:textId="7C544796" w:rsidR="002E16B1" w:rsidRDefault="002E16B1" w:rsidP="00E94EE0">
      <w:pPr>
        <w:spacing w:line="480" w:lineRule="auto"/>
        <w:jc w:val="center"/>
        <w:rPr>
          <w:rFonts w:cstheme="minorHAnsi"/>
          <w:i/>
          <w:iCs/>
        </w:rPr>
      </w:pPr>
      <w:r w:rsidRPr="002E16B1">
        <w:rPr>
          <w:rFonts w:cstheme="minorHAnsi"/>
        </w:rPr>
        <w:t xml:space="preserve">Exploring Scholar Descriptions in </w:t>
      </w:r>
      <w:r w:rsidRPr="002E16B1">
        <w:rPr>
          <w:rFonts w:cstheme="minorHAnsi"/>
          <w:i/>
          <w:iCs/>
        </w:rPr>
        <w:t xml:space="preserve">Tarikh </w:t>
      </w:r>
      <w:r w:rsidR="004E6F88">
        <w:rPr>
          <w:rFonts w:cstheme="minorHAnsi"/>
          <w:i/>
          <w:iCs/>
        </w:rPr>
        <w:t>a</w:t>
      </w:r>
      <w:r w:rsidR="00E31450">
        <w:rPr>
          <w:rFonts w:cstheme="minorHAnsi"/>
          <w:i/>
          <w:iCs/>
        </w:rPr>
        <w:t>l</w:t>
      </w:r>
      <w:r w:rsidRPr="002E16B1">
        <w:rPr>
          <w:rFonts w:cstheme="minorHAnsi"/>
          <w:i/>
          <w:iCs/>
        </w:rPr>
        <w:t>-Sudan</w:t>
      </w:r>
    </w:p>
    <w:p w14:paraId="171FAF7D" w14:textId="559B9A7B" w:rsidR="002E16B1" w:rsidRDefault="00E31450" w:rsidP="00E94EE0">
      <w:pPr>
        <w:spacing w:line="480" w:lineRule="auto"/>
      </w:pPr>
      <w:r>
        <w:rPr>
          <w:rFonts w:cstheme="minorHAnsi"/>
        </w:rPr>
        <w:t xml:space="preserve">What did it take to become the </w:t>
      </w:r>
      <w:r>
        <w:rPr>
          <w:rFonts w:cstheme="minorHAnsi"/>
          <w:i/>
          <w:iCs/>
        </w:rPr>
        <w:t>qadi</w:t>
      </w:r>
      <w:r>
        <w:rPr>
          <w:rFonts w:cstheme="minorHAnsi"/>
        </w:rPr>
        <w:t xml:space="preserve"> of the most illustrious scholarly communities in West Africa? That is the motivating question for this work. In reading </w:t>
      </w:r>
      <w:r>
        <w:rPr>
          <w:i/>
          <w:iCs/>
        </w:rPr>
        <w:t xml:space="preserve">Tarikh </w:t>
      </w:r>
      <w:r w:rsidR="004E6F88">
        <w:rPr>
          <w:i/>
          <w:iCs/>
        </w:rPr>
        <w:t>a</w:t>
      </w:r>
      <w:r>
        <w:rPr>
          <w:i/>
          <w:iCs/>
        </w:rPr>
        <w:t>l-Sudan</w:t>
      </w:r>
      <w:r>
        <w:t>, one of the Timbuktu Chronicles that forms the basis for much of the written history of the Songhai Empire,</w:t>
      </w:r>
      <w:r w:rsidR="001B1268">
        <w:rPr>
          <w:rStyle w:val="FootnoteReference"/>
        </w:rPr>
        <w:footnoteReference w:id="1"/>
      </w:r>
      <w:r>
        <w:t xml:space="preserve"> I was struck by three chapters dedicated to describing the scholar</w:t>
      </w:r>
      <w:r w:rsidR="00B00690">
        <w:t>s</w:t>
      </w:r>
      <w:r>
        <w:t xml:space="preserve"> of </w:t>
      </w:r>
      <w:proofErr w:type="spellStart"/>
      <w:r>
        <w:t>Djenn</w:t>
      </w:r>
      <w:r w:rsidR="004E6F88">
        <w:t>é</w:t>
      </w:r>
      <w:proofErr w:type="spellEnd"/>
      <w:r w:rsidR="004E6F88">
        <w:t xml:space="preserve"> </w:t>
      </w:r>
      <w:r>
        <w:t>and Timbuktu. It’s well established that these two cities served as a crucial epicenter of Islamic learning and study</w:t>
      </w:r>
      <w:r w:rsidR="00B00690">
        <w:t xml:space="preserve"> for centuries</w:t>
      </w:r>
      <w:r>
        <w:t>.</w:t>
      </w:r>
      <w:r w:rsidR="00C17C5C">
        <w:rPr>
          <w:rStyle w:val="FootnoteReference"/>
        </w:rPr>
        <w:footnoteReference w:id="2"/>
      </w:r>
      <w:r w:rsidR="00C17C5C">
        <w:rPr>
          <w:rStyle w:val="FootnoteReference"/>
        </w:rPr>
        <w:footnoteReference w:id="3"/>
      </w:r>
      <w:r>
        <w:t xml:space="preserve"> </w:t>
      </w:r>
      <w:r w:rsidR="00B00690">
        <w:t xml:space="preserve">In chapters 6, 9, and 10 of </w:t>
      </w:r>
      <w:r w:rsidR="00B00690">
        <w:rPr>
          <w:i/>
          <w:iCs/>
        </w:rPr>
        <w:t xml:space="preserve">Tarikh </w:t>
      </w:r>
      <w:r w:rsidR="00962CCF">
        <w:rPr>
          <w:i/>
          <w:iCs/>
        </w:rPr>
        <w:t>a</w:t>
      </w:r>
      <w:r w:rsidR="00B00690">
        <w:rPr>
          <w:i/>
          <w:iCs/>
        </w:rPr>
        <w:t>l-Sudan</w:t>
      </w:r>
      <w:r w:rsidR="00B00690">
        <w:rPr>
          <w:i/>
          <w:iCs/>
        </w:rPr>
        <w:t xml:space="preserve">, </w:t>
      </w:r>
      <w:r w:rsidR="00B00690">
        <w:t xml:space="preserve">the author, </w:t>
      </w:r>
      <w:r w:rsidR="004E6F88">
        <w:t>a</w:t>
      </w:r>
      <w:r w:rsidR="00B00690">
        <w:t>l-</w:t>
      </w:r>
      <w:proofErr w:type="spellStart"/>
      <w:r w:rsidR="00B00690">
        <w:t>Sa’di</w:t>
      </w:r>
      <w:proofErr w:type="spellEnd"/>
      <w:r w:rsidR="00B00690">
        <w:t xml:space="preserve">, sketches out the network of men he feels represent the cream of West African scholars as of the time of his writing in the </w:t>
      </w:r>
      <w:r w:rsidR="004E6F88">
        <w:t>mid-1600s</w:t>
      </w:r>
      <w:r w:rsidR="00B00690">
        <w:t xml:space="preserve">. If many of these figures just so happen to be his relatives, so be it. In any case, we are given a snapshot into what these communities looked like at a time when their reputation was spreading </w:t>
      </w:r>
      <w:r w:rsidR="00C42689">
        <w:t>internationally.</w:t>
      </w:r>
    </w:p>
    <w:p w14:paraId="3C5A7AA3" w14:textId="5ADBB6D1" w:rsidR="002E16B1" w:rsidRPr="00E62C98" w:rsidRDefault="00C42689" w:rsidP="00E94EE0">
      <w:pPr>
        <w:spacing w:line="480" w:lineRule="auto"/>
      </w:pPr>
      <w:r>
        <w:t xml:space="preserve">During this period, leading cities throughout the Islamic world, including </w:t>
      </w:r>
      <w:proofErr w:type="spellStart"/>
      <w:r>
        <w:t>Djenn</w:t>
      </w:r>
      <w:r w:rsidR="004E6F88">
        <w:t>é</w:t>
      </w:r>
      <w:proofErr w:type="spellEnd"/>
      <w:r>
        <w:t xml:space="preserve"> and Timbuktu, were led by </w:t>
      </w:r>
      <w:r>
        <w:rPr>
          <w:i/>
          <w:iCs/>
        </w:rPr>
        <w:t>qadis</w:t>
      </w:r>
      <w:r>
        <w:t xml:space="preserve">. A </w:t>
      </w:r>
      <w:r>
        <w:rPr>
          <w:i/>
          <w:iCs/>
        </w:rPr>
        <w:t>qadi</w:t>
      </w:r>
      <w:r>
        <w:t xml:space="preserve">, or judge, was appointed to dispense justice and apply </w:t>
      </w:r>
      <w:r w:rsidR="001B1268">
        <w:t>religious law as the representative of the sovereign</w:t>
      </w:r>
      <w:r>
        <w:t>.</w:t>
      </w:r>
      <w:r>
        <w:rPr>
          <w:rStyle w:val="FootnoteReference"/>
        </w:rPr>
        <w:footnoteReference w:id="4"/>
      </w:r>
      <w:r>
        <w:t xml:space="preserve"> </w:t>
      </w:r>
      <w:r w:rsidR="001B1268">
        <w:t xml:space="preserve"> So given the </w:t>
      </w:r>
      <w:r w:rsidR="004E6F88">
        <w:t>number of scholarly notables in these prestigious centers of learning, what were the markers of those elevated to this role? In his biographical chapters, al-</w:t>
      </w:r>
      <w:proofErr w:type="spellStart"/>
      <w:r w:rsidR="004E6F88">
        <w:t>Sa’di</w:t>
      </w:r>
      <w:proofErr w:type="spellEnd"/>
      <w:r w:rsidR="00E62C98">
        <w:t xml:space="preserve"> </w:t>
      </w:r>
      <w:r w:rsidR="00E62C98">
        <w:lastRenderedPageBreak/>
        <w:t>often</w:t>
      </w:r>
      <w:r w:rsidR="004E6F88">
        <w:t xml:space="preserve"> append</w:t>
      </w:r>
      <w:r w:rsidR="00E62C98">
        <w:t>s</w:t>
      </w:r>
      <w:r w:rsidR="004E6F88">
        <w:t xml:space="preserve"> long strings of epithets to </w:t>
      </w:r>
      <w:r w:rsidR="00E62C98">
        <w:t>his introductions of his subjects. This tendency led me to wander if there was a pattern to the descriptors applied to</w:t>
      </w:r>
      <w:r w:rsidR="003B4435">
        <w:t xml:space="preserve"> the</w:t>
      </w:r>
      <w:r w:rsidR="00E62C98">
        <w:t xml:space="preserve"> scholars who became </w:t>
      </w:r>
      <w:r w:rsidR="00E62C98">
        <w:rPr>
          <w:i/>
          <w:iCs/>
        </w:rPr>
        <w:t xml:space="preserve">qadis. </w:t>
      </w:r>
    </w:p>
    <w:p w14:paraId="586568F8" w14:textId="034073B5" w:rsidR="002E16B1" w:rsidRDefault="002E16B1" w:rsidP="00E94EE0">
      <w:pPr>
        <w:pStyle w:val="Heading1"/>
        <w:spacing w:line="480" w:lineRule="auto"/>
        <w:rPr>
          <w:rFonts w:asciiTheme="minorHAnsi" w:hAnsiTheme="minorHAnsi" w:cstheme="minorHAnsi"/>
          <w:b/>
          <w:bCs/>
          <w:color w:val="auto"/>
          <w:sz w:val="22"/>
          <w:szCs w:val="22"/>
        </w:rPr>
      </w:pPr>
      <w:r w:rsidRPr="002E16B1">
        <w:rPr>
          <w:rFonts w:asciiTheme="minorHAnsi" w:hAnsiTheme="minorHAnsi" w:cstheme="minorHAnsi"/>
          <w:b/>
          <w:bCs/>
          <w:color w:val="auto"/>
          <w:sz w:val="22"/>
          <w:szCs w:val="22"/>
        </w:rPr>
        <w:t>Translation and Alignment</w:t>
      </w:r>
    </w:p>
    <w:p w14:paraId="16804AA0" w14:textId="5D1D0DC7" w:rsidR="002E16B1" w:rsidRDefault="00E62C98" w:rsidP="00E94EE0">
      <w:pPr>
        <w:spacing w:line="480" w:lineRule="auto"/>
      </w:pPr>
      <w:r>
        <w:t xml:space="preserve">Before I embarked on my investigation, I began laying the groundwork </w:t>
      </w:r>
      <w:r w:rsidR="005F3B30">
        <w:t xml:space="preserve">for a </w:t>
      </w:r>
      <w:r>
        <w:t xml:space="preserve">digital edition of the biographical chapters. I partnered with Gio </w:t>
      </w:r>
      <w:proofErr w:type="spellStart"/>
      <w:r>
        <w:t>DiRusso</w:t>
      </w:r>
      <w:proofErr w:type="spellEnd"/>
      <w:r>
        <w:t xml:space="preserve">, who was similarly interested in these sections of the text, and together we </w:t>
      </w:r>
      <w:r w:rsidR="003B4435">
        <w:t>created English translations</w:t>
      </w:r>
      <w:r w:rsidR="003B4435" w:rsidRPr="003B4435">
        <w:t xml:space="preserve"> </w:t>
      </w:r>
      <w:r w:rsidR="003B4435">
        <w:t xml:space="preserve">of </w:t>
      </w:r>
      <w:r w:rsidR="003B4435">
        <w:t>the three biographical chapters</w:t>
      </w:r>
      <w:r>
        <w:t xml:space="preserve"> and aligned </w:t>
      </w:r>
      <w:r w:rsidR="003B4435">
        <w:t>those translations with the Arabic</w:t>
      </w:r>
      <w:r>
        <w:t xml:space="preserve">. We worked with a machine-readable version of the </w:t>
      </w:r>
      <w:r w:rsidR="003B4435">
        <w:t>text</w:t>
      </w:r>
      <w:r>
        <w:t xml:space="preserve"> made available by </w:t>
      </w:r>
      <w:proofErr w:type="spellStart"/>
      <w:r>
        <w:t>HathiTrust</w:t>
      </w:r>
      <w:proofErr w:type="spellEnd"/>
      <w:r>
        <w:t xml:space="preserve"> </w:t>
      </w:r>
      <w:r w:rsidR="003B4435">
        <w:t xml:space="preserve">from an </w:t>
      </w:r>
      <w:r>
        <w:t xml:space="preserve">1898 </w:t>
      </w:r>
      <w:r>
        <w:t xml:space="preserve">edition of </w:t>
      </w:r>
      <w:r w:rsidR="003B4435">
        <w:rPr>
          <w:i/>
          <w:iCs/>
        </w:rPr>
        <w:t xml:space="preserve">Tarikh al-Sudan </w:t>
      </w:r>
      <w:r w:rsidR="003B4435">
        <w:t xml:space="preserve">by </w:t>
      </w:r>
      <w:r w:rsidR="003B4435">
        <w:t xml:space="preserve">Octave </w:t>
      </w:r>
      <w:proofErr w:type="spellStart"/>
      <w:r w:rsidR="003B4435">
        <w:t>Houdas</w:t>
      </w:r>
      <w:proofErr w:type="spellEnd"/>
      <w:r w:rsidR="003B4435">
        <w:t xml:space="preserve"> </w:t>
      </w:r>
      <w:r>
        <w:t>that included</w:t>
      </w:r>
      <w:r w:rsidR="003B4435">
        <w:t xml:space="preserve"> both the Arabic and</w:t>
      </w:r>
      <w:r>
        <w:t xml:space="preserve"> a French translation</w:t>
      </w:r>
      <w:r w:rsidR="003B4435">
        <w:t>.</w:t>
      </w:r>
      <w:r>
        <w:rPr>
          <w:rStyle w:val="FootnoteReference"/>
        </w:rPr>
        <w:footnoteReference w:id="5"/>
      </w:r>
      <w:r>
        <w:t xml:space="preserve"> We manually corrected optical character recognition (OCR) errors in the Arabic and used </w:t>
      </w:r>
      <w:proofErr w:type="spellStart"/>
      <w:r>
        <w:t>DeepL</w:t>
      </w:r>
      <w:proofErr w:type="spellEnd"/>
      <w:r>
        <w:t xml:space="preserve"> to generate an English version from the French </w:t>
      </w:r>
      <w:r w:rsidR="005F3B30">
        <w:t>(u</w:t>
      </w:r>
      <w:r>
        <w:t xml:space="preserve">nfortunately, at this time </w:t>
      </w:r>
      <w:proofErr w:type="spellStart"/>
      <w:r>
        <w:t>DeepL</w:t>
      </w:r>
      <w:proofErr w:type="spellEnd"/>
      <w:r>
        <w:t xml:space="preserve"> does not support direct translation from Arabic to English</w:t>
      </w:r>
      <w:r w:rsidR="005F3B30">
        <w:t>)</w:t>
      </w:r>
      <w:r>
        <w:t xml:space="preserve">. </w:t>
      </w:r>
      <w:r w:rsidR="006B7752">
        <w:t>We then aligned the automated English translation with each word of the Arabic.</w:t>
      </w:r>
    </w:p>
    <w:p w14:paraId="007DF8C0" w14:textId="05B772BE" w:rsidR="002E16B1" w:rsidRDefault="002E16B1" w:rsidP="00E94EE0">
      <w:pPr>
        <w:pStyle w:val="Heading1"/>
        <w:spacing w:line="480" w:lineRule="auto"/>
        <w:rPr>
          <w:rFonts w:asciiTheme="minorHAnsi" w:hAnsiTheme="minorHAnsi" w:cstheme="minorHAnsi"/>
          <w:b/>
          <w:bCs/>
          <w:color w:val="auto"/>
          <w:sz w:val="22"/>
          <w:szCs w:val="22"/>
        </w:rPr>
      </w:pPr>
      <w:r w:rsidRPr="002E16B1">
        <w:rPr>
          <w:rFonts w:asciiTheme="minorHAnsi" w:hAnsiTheme="minorHAnsi" w:cstheme="minorHAnsi"/>
          <w:b/>
          <w:bCs/>
          <w:color w:val="auto"/>
          <w:sz w:val="22"/>
          <w:szCs w:val="22"/>
        </w:rPr>
        <w:t>Table Creation</w:t>
      </w:r>
    </w:p>
    <w:p w14:paraId="591B1427" w14:textId="4C7D9291" w:rsidR="00A326E5" w:rsidRDefault="005F3B30" w:rsidP="00E94EE0">
      <w:pPr>
        <w:spacing w:line="480" w:lineRule="auto"/>
      </w:pPr>
      <w:r>
        <w:t xml:space="preserve">Using the aligned version of the text, I mined descriptions to construct tables of the scholars referenced in each chapter. I only included scholars </w:t>
      </w:r>
      <w:r w:rsidR="00ED6C1B">
        <w:t>who had a</w:t>
      </w:r>
      <w:r w:rsidR="003B4435">
        <w:t xml:space="preserve">t least one </w:t>
      </w:r>
      <w:r w:rsidR="00ED6C1B">
        <w:t xml:space="preserve">descriptor assigned to them. That is, if a name appeared with no epithet, I did not include </w:t>
      </w:r>
      <w:r w:rsidR="003B4435">
        <w:t>it</w:t>
      </w:r>
      <w:r w:rsidR="00ED6C1B">
        <w:t xml:space="preserve">. I also expanded from the </w:t>
      </w:r>
      <w:r w:rsidR="00D10C28">
        <w:t xml:space="preserve">strings of </w:t>
      </w:r>
      <w:r w:rsidR="00ED6C1B">
        <w:t>epithet</w:t>
      </w:r>
      <w:r w:rsidR="00D10C28">
        <w:t xml:space="preserve">s </w:t>
      </w:r>
      <w:r w:rsidR="00ED6C1B">
        <w:t xml:space="preserve">to incorporate other methods of description, with the goal of capturing </w:t>
      </w:r>
      <w:r w:rsidR="003B4435">
        <w:t xml:space="preserve">all of </w:t>
      </w:r>
      <w:r w:rsidR="00ED6C1B">
        <w:t xml:space="preserve">the major </w:t>
      </w:r>
      <w:r w:rsidR="003B4435">
        <w:t>attributes</w:t>
      </w:r>
      <w:r w:rsidR="00ED6C1B">
        <w:t xml:space="preserve"> al-</w:t>
      </w:r>
      <w:proofErr w:type="spellStart"/>
      <w:r w:rsidR="00ED6C1B">
        <w:t>Sa’di</w:t>
      </w:r>
      <w:proofErr w:type="spellEnd"/>
      <w:r w:rsidR="00ED6C1B">
        <w:t xml:space="preserve"> </w:t>
      </w:r>
      <w:r w:rsidR="003B4435">
        <w:t xml:space="preserve">associated </w:t>
      </w:r>
      <w:r w:rsidR="00ED6C1B">
        <w:t>with the scholar in question. For example</w:t>
      </w:r>
      <w:r w:rsidR="00947B99">
        <w:t xml:space="preserve">, </w:t>
      </w:r>
      <w:r w:rsidR="005844BD">
        <w:t>almost all the</w:t>
      </w:r>
      <w:r w:rsidR="00947B99">
        <w:t xml:space="preserve"> scholars were described as </w:t>
      </w:r>
      <w:r w:rsidR="005844BD">
        <w:rPr>
          <w:i/>
          <w:iCs/>
        </w:rPr>
        <w:t>faqih</w:t>
      </w:r>
      <w:r w:rsidR="00254C30">
        <w:rPr>
          <w:i/>
          <w:iCs/>
        </w:rPr>
        <w:t xml:space="preserve"> </w:t>
      </w:r>
      <w:r w:rsidR="00254C30">
        <w:t>(jurisconsults)</w:t>
      </w:r>
      <w:r w:rsidR="005844BD">
        <w:t xml:space="preserve">, but in some instances, </w:t>
      </w:r>
      <w:r w:rsidR="005844BD">
        <w:rPr>
          <w:i/>
          <w:iCs/>
        </w:rPr>
        <w:t>faqih</w:t>
      </w:r>
      <w:r w:rsidR="005844BD">
        <w:t xml:space="preserve"> wouldn’t appear in the string of epithets. Instead</w:t>
      </w:r>
      <w:r w:rsidR="00254C30">
        <w:t>,</w:t>
      </w:r>
      <w:r w:rsidR="005844BD">
        <w:t xml:space="preserve"> after they were introduced, the scholar might be described as a master of </w:t>
      </w:r>
      <w:proofErr w:type="spellStart"/>
      <w:r w:rsidR="005844BD">
        <w:rPr>
          <w:i/>
          <w:iCs/>
        </w:rPr>
        <w:t>fiqh</w:t>
      </w:r>
      <w:proofErr w:type="spellEnd"/>
      <w:r w:rsidR="00254C30">
        <w:t xml:space="preserve"> (jurisprudence)</w:t>
      </w:r>
      <w:r w:rsidR="005844BD">
        <w:t xml:space="preserve">. In this case and similar ones, I would include </w:t>
      </w:r>
      <w:proofErr w:type="spellStart"/>
      <w:r w:rsidR="005844BD">
        <w:rPr>
          <w:i/>
          <w:iCs/>
        </w:rPr>
        <w:t>fiqh</w:t>
      </w:r>
      <w:proofErr w:type="spellEnd"/>
      <w:r w:rsidR="005844BD">
        <w:t xml:space="preserve">, or the appropriate </w:t>
      </w:r>
      <w:r w:rsidR="005844BD">
        <w:rPr>
          <w:i/>
          <w:iCs/>
        </w:rPr>
        <w:t xml:space="preserve">ism </w:t>
      </w:r>
      <w:r w:rsidR="005844BD">
        <w:t>(noun)</w:t>
      </w:r>
      <w:r w:rsidR="003B4435">
        <w:t>,</w:t>
      </w:r>
      <w:r w:rsidR="005844BD">
        <w:t xml:space="preserve"> in the list of descriptors even though </w:t>
      </w:r>
      <w:r w:rsidR="005844BD">
        <w:lastRenderedPageBreak/>
        <w:t xml:space="preserve">functionally it wasn’t serving as an direct descriptor in same way as the more clear cut cases of </w:t>
      </w:r>
      <w:r w:rsidR="005844BD">
        <w:rPr>
          <w:i/>
          <w:iCs/>
        </w:rPr>
        <w:t xml:space="preserve">ism </w:t>
      </w:r>
      <w:proofErr w:type="spellStart"/>
      <w:r w:rsidR="005844BD">
        <w:rPr>
          <w:i/>
          <w:iCs/>
        </w:rPr>
        <w:t>fa’ils</w:t>
      </w:r>
      <w:proofErr w:type="spellEnd"/>
      <w:r w:rsidR="005844BD">
        <w:t xml:space="preserve"> (active participles)</w:t>
      </w:r>
      <w:r w:rsidR="005844BD">
        <w:rPr>
          <w:i/>
          <w:iCs/>
        </w:rPr>
        <w:t xml:space="preserve">, ism </w:t>
      </w:r>
      <w:proofErr w:type="spellStart"/>
      <w:r w:rsidR="005844BD">
        <w:rPr>
          <w:i/>
          <w:iCs/>
        </w:rPr>
        <w:t>mafa’uls</w:t>
      </w:r>
      <w:proofErr w:type="spellEnd"/>
      <w:r w:rsidR="005844BD">
        <w:rPr>
          <w:i/>
          <w:iCs/>
        </w:rPr>
        <w:t xml:space="preserve"> </w:t>
      </w:r>
      <w:r w:rsidR="005844BD">
        <w:t>(passive participles)</w:t>
      </w:r>
      <w:r w:rsidR="005844BD">
        <w:rPr>
          <w:i/>
          <w:iCs/>
        </w:rPr>
        <w:t xml:space="preserve">, </w:t>
      </w:r>
      <w:r w:rsidR="00D10C28">
        <w:t>and</w:t>
      </w:r>
      <w:r w:rsidR="005844BD">
        <w:t xml:space="preserve"> </w:t>
      </w:r>
      <w:proofErr w:type="spellStart"/>
      <w:r w:rsidR="005844BD">
        <w:rPr>
          <w:i/>
          <w:iCs/>
        </w:rPr>
        <w:t>sifas</w:t>
      </w:r>
      <w:proofErr w:type="spellEnd"/>
      <w:r w:rsidR="005844BD">
        <w:t xml:space="preserve"> (adjectives).</w:t>
      </w:r>
      <w:r w:rsidR="00A326E5">
        <w:t xml:space="preserve"> </w:t>
      </w:r>
    </w:p>
    <w:p w14:paraId="722E930F" w14:textId="2B2CB1B6" w:rsidR="002E16B1" w:rsidRDefault="00A326E5" w:rsidP="00E94EE0">
      <w:pPr>
        <w:spacing w:line="480" w:lineRule="auto"/>
      </w:pPr>
      <w:r>
        <w:t>I attempted</w:t>
      </w:r>
      <w:r w:rsidRPr="00A326E5">
        <w:t xml:space="preserve"> to connect descriptors back to unique </w:t>
      </w:r>
      <w:r>
        <w:t xml:space="preserve">scholars </w:t>
      </w:r>
      <w:r w:rsidRPr="00A326E5">
        <w:t xml:space="preserve">from any place in which they were referenced, but in some cases it was not clear if two identical </w:t>
      </w:r>
      <w:r>
        <w:t>names</w:t>
      </w:r>
      <w:r w:rsidRPr="00A326E5">
        <w:t xml:space="preserve"> referred to the same individual. In those cases, each ambiguous mention was given its own line </w:t>
      </w:r>
      <w:r w:rsidR="00EB6996">
        <w:t xml:space="preserve">in the table for that chapter </w:t>
      </w:r>
      <w:r w:rsidRPr="00A326E5">
        <w:t>followed by a number</w:t>
      </w:r>
      <w:r w:rsidR="00EB6996">
        <w:t xml:space="preserve"> (e.g. Mahmoud (3))</w:t>
      </w:r>
      <w:r w:rsidRPr="00A326E5">
        <w:t>.</w:t>
      </w:r>
      <w:r w:rsidR="0042723B">
        <w:t xml:space="preserve"> </w:t>
      </w:r>
      <w:r w:rsidR="0042723B">
        <w:t>If the same term was used to refer to the same scholar multiple times, I included it repeatedly in the list of descriptors for that scholar.</w:t>
      </w:r>
    </w:p>
    <w:p w14:paraId="2287AEFD" w14:textId="7BEED28C" w:rsidR="00E91BFA" w:rsidRPr="00D10C28" w:rsidRDefault="00E91BFA" w:rsidP="00E94EE0">
      <w:pPr>
        <w:spacing w:line="480" w:lineRule="auto"/>
      </w:pPr>
      <w:r>
        <w:t>From these tables, I constructed a master table</w:t>
      </w:r>
      <w:r>
        <w:t xml:space="preserve"> that included scholars from all three chapters. </w:t>
      </w:r>
      <w:r>
        <w:t>In addition to the scholar</w:t>
      </w:r>
      <w:r w:rsidR="003B4435">
        <w:t>s’</w:t>
      </w:r>
      <w:r>
        <w:t xml:space="preserve"> names and</w:t>
      </w:r>
      <w:r w:rsidR="003B4435">
        <w:t xml:space="preserve"> the</w:t>
      </w:r>
      <w:r>
        <w:t xml:space="preserve"> lists of descriptors from the chapter tables, the master </w:t>
      </w:r>
      <w:r>
        <w:t>table also contain</w:t>
      </w:r>
      <w:r w:rsidR="0001712A">
        <w:t>s</w:t>
      </w:r>
      <w:r>
        <w:t xml:space="preserve"> a unique ID number for each scholar</w:t>
      </w:r>
      <w:r w:rsidR="0042723B">
        <w:t>, the chapter they are found in,</w:t>
      </w:r>
      <w:r>
        <w:t xml:space="preserve"> and a list of the lemma</w:t>
      </w:r>
      <w:r w:rsidR="003B4435">
        <w:t>s</w:t>
      </w:r>
      <w:r>
        <w:t xml:space="preserve"> of all of their descriptors. In order to produce the lemmas, I leveraged the </w:t>
      </w:r>
      <w:proofErr w:type="spellStart"/>
      <w:r>
        <w:t>qalsadi</w:t>
      </w:r>
      <w:proofErr w:type="spellEnd"/>
      <w:r>
        <w:t xml:space="preserve"> python library. While imperfect, the lemmatization function provided a starting point for analysis of the descriptors. Another library, such as </w:t>
      </w:r>
      <w:proofErr w:type="spellStart"/>
      <w:r>
        <w:t>CAMeL</w:t>
      </w:r>
      <w:proofErr w:type="spellEnd"/>
      <w:r>
        <w:t xml:space="preserve"> Tools might pe</w:t>
      </w:r>
      <w:r w:rsidR="003B4435">
        <w:t>r</w:t>
      </w:r>
      <w:r>
        <w:t xml:space="preserve">form better, but technological limitations prevented its use in this analysis. </w:t>
      </w:r>
      <w:proofErr w:type="spellStart"/>
      <w:r w:rsidR="00D10C28">
        <w:t>A</w:t>
      </w:r>
      <w:proofErr w:type="spellEnd"/>
      <w:r w:rsidR="00D10C28">
        <w:t xml:space="preserve"> different</w:t>
      </w:r>
      <w:r>
        <w:t xml:space="preserve"> approach that might bear more fruit would be to go beyond the lemmatization of the descriptors to their basic roots. The example of </w:t>
      </w:r>
      <w:r>
        <w:rPr>
          <w:i/>
          <w:iCs/>
        </w:rPr>
        <w:t>faqih</w:t>
      </w:r>
      <w:r>
        <w:rPr>
          <w:i/>
          <w:iCs/>
        </w:rPr>
        <w:t xml:space="preserve"> </w:t>
      </w:r>
      <w:r>
        <w:t xml:space="preserve">and </w:t>
      </w:r>
      <w:proofErr w:type="spellStart"/>
      <w:r>
        <w:rPr>
          <w:i/>
          <w:iCs/>
        </w:rPr>
        <w:t>fiqh</w:t>
      </w:r>
      <w:proofErr w:type="spellEnd"/>
      <w:r>
        <w:t xml:space="preserve"> above shows the value of this approach. Even properly lemmatized, these two descriptors would appear distinct, but </w:t>
      </w:r>
      <w:r w:rsidR="0001712A">
        <w:t xml:space="preserve">ideally from an analysis perspective they should be the same, </w:t>
      </w:r>
      <w:r w:rsidR="00D10C28">
        <w:t>because</w:t>
      </w:r>
      <w:r w:rsidR="0001712A">
        <w:t xml:space="preserve"> they both just show the association of the scholar with </w:t>
      </w:r>
      <w:proofErr w:type="spellStart"/>
      <w:r w:rsidR="0001712A">
        <w:rPr>
          <w:i/>
          <w:iCs/>
        </w:rPr>
        <w:t>fiqh</w:t>
      </w:r>
      <w:proofErr w:type="spellEnd"/>
      <w:r w:rsidR="0001712A">
        <w:rPr>
          <w:i/>
          <w:iCs/>
        </w:rPr>
        <w:t>.</w:t>
      </w:r>
      <w:r w:rsidR="00D10C28">
        <w:rPr>
          <w:i/>
          <w:iCs/>
        </w:rPr>
        <w:t xml:space="preserve"> </w:t>
      </w:r>
      <w:r w:rsidR="00D10C28">
        <w:t>Using roots would link them since they both stem from f-q-h.</w:t>
      </w:r>
    </w:p>
    <w:p w14:paraId="1D7EBF90" w14:textId="4B2E094A" w:rsidR="00E91BFA" w:rsidRPr="003B4435" w:rsidRDefault="003B4435" w:rsidP="00E94EE0">
      <w:pPr>
        <w:spacing w:line="480" w:lineRule="auto"/>
      </w:pPr>
      <w:r>
        <w:t xml:space="preserve">The final </w:t>
      </w:r>
      <w:r w:rsidR="0042723B">
        <w:t xml:space="preserve">master </w:t>
      </w:r>
      <w:r>
        <w:t>table contains 179 scholars and 272 unique lemmas.</w:t>
      </w:r>
    </w:p>
    <w:p w14:paraId="665386BF" w14:textId="0C1D0D01" w:rsidR="002E16B1" w:rsidRDefault="002E16B1" w:rsidP="00E94EE0">
      <w:pPr>
        <w:pStyle w:val="Heading1"/>
        <w:spacing w:line="480" w:lineRule="auto"/>
        <w:rPr>
          <w:rFonts w:asciiTheme="minorHAnsi" w:hAnsiTheme="minorHAnsi" w:cstheme="minorHAnsi"/>
          <w:b/>
          <w:bCs/>
          <w:color w:val="auto"/>
          <w:sz w:val="22"/>
          <w:szCs w:val="22"/>
        </w:rPr>
      </w:pPr>
      <w:r w:rsidRPr="002E16B1">
        <w:rPr>
          <w:rFonts w:asciiTheme="minorHAnsi" w:hAnsiTheme="minorHAnsi" w:cstheme="minorHAnsi"/>
          <w:b/>
          <w:bCs/>
          <w:color w:val="auto"/>
          <w:sz w:val="22"/>
          <w:szCs w:val="22"/>
        </w:rPr>
        <w:t>Graph Creation</w:t>
      </w:r>
    </w:p>
    <w:p w14:paraId="5FCEF822" w14:textId="77777777" w:rsidR="0042723B" w:rsidRDefault="0042723B" w:rsidP="00E94EE0">
      <w:pPr>
        <w:spacing w:line="480" w:lineRule="auto"/>
        <w:rPr>
          <w:rFonts w:cstheme="minorHAnsi"/>
        </w:rPr>
      </w:pPr>
      <w:r>
        <w:rPr>
          <w:rFonts w:cstheme="minorHAnsi"/>
        </w:rPr>
        <w:t xml:space="preserve">Using the master table, I created a bipartite graph in which each scholar was linked to the lemmas of its descriptors. A simple visualization of this graph can be seen in figure 1. Red nodes represent scholars, indicated by their unique IDs, while blue nodes represent unique lemmas. The size of scholar nodes is </w:t>
      </w:r>
      <w:r>
        <w:rPr>
          <w:rFonts w:cstheme="minorHAnsi"/>
        </w:rPr>
        <w:lastRenderedPageBreak/>
        <w:t>constant, but the lemma nodes increase in size according to their degree (the number of scholars they describe).</w:t>
      </w:r>
    </w:p>
    <w:p w14:paraId="124FB6D6" w14:textId="36A47FFE" w:rsidR="00653E70" w:rsidRDefault="0042723B" w:rsidP="00E94EE0">
      <w:pPr>
        <w:spacing w:line="480" w:lineRule="auto"/>
        <w:jc w:val="center"/>
        <w:rPr>
          <w:rFonts w:cstheme="minorHAnsi"/>
          <w:b/>
          <w:bCs/>
        </w:rPr>
      </w:pPr>
      <w:r>
        <w:rPr>
          <w:rFonts w:cstheme="minorHAnsi"/>
        </w:rPr>
        <w:t>Figure 1. Graph of Scholar Descriptions</w:t>
      </w:r>
      <w:r w:rsidR="00653E70">
        <w:rPr>
          <w:noProof/>
        </w:rPr>
        <w:drawing>
          <wp:inline distT="0" distB="0" distL="0" distR="0" wp14:anchorId="588D4846" wp14:editId="17BF7040">
            <wp:extent cx="5943600" cy="5789295"/>
            <wp:effectExtent l="0" t="0" r="0" b="0"/>
            <wp:docPr id="1" name="Picture 1" descr="A firework in the sky&#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firework in the sky&#10;&#10;Description automatically generated with low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789295"/>
                    </a:xfrm>
                    <a:prstGeom prst="rect">
                      <a:avLst/>
                    </a:prstGeom>
                    <a:noFill/>
                    <a:ln>
                      <a:noFill/>
                    </a:ln>
                  </pic:spPr>
                </pic:pic>
              </a:graphicData>
            </a:graphic>
          </wp:inline>
        </w:drawing>
      </w:r>
    </w:p>
    <w:p w14:paraId="43DD251B" w14:textId="7FAA262D" w:rsidR="00653E70" w:rsidRPr="00254C30" w:rsidRDefault="0042723B" w:rsidP="00E94EE0">
      <w:pPr>
        <w:spacing w:line="480" w:lineRule="auto"/>
        <w:rPr>
          <w:rFonts w:cstheme="minorHAnsi"/>
        </w:rPr>
      </w:pPr>
      <w:r>
        <w:rPr>
          <w:rFonts w:cstheme="minorHAnsi"/>
        </w:rPr>
        <w:t xml:space="preserve">A passing glance at this graph tells us a few things. First, many descriptors only refer to a single scholar and are not repeated. At the same time, many scholars only have a single descriptor, most often </w:t>
      </w:r>
      <w:r>
        <w:rPr>
          <w:rFonts w:cstheme="minorHAnsi"/>
          <w:i/>
          <w:iCs/>
        </w:rPr>
        <w:t>faqih</w:t>
      </w:r>
      <w:r>
        <w:rPr>
          <w:rFonts w:cstheme="minorHAnsi"/>
        </w:rPr>
        <w:t xml:space="preserve">. </w:t>
      </w:r>
      <w:r>
        <w:rPr>
          <w:rFonts w:cstheme="minorHAnsi"/>
        </w:rPr>
        <w:lastRenderedPageBreak/>
        <w:t xml:space="preserve">In addition to </w:t>
      </w:r>
      <w:r>
        <w:rPr>
          <w:rFonts w:cstheme="minorHAnsi"/>
          <w:i/>
          <w:iCs/>
        </w:rPr>
        <w:t>faqih</w:t>
      </w:r>
      <w:r w:rsidR="00254C30">
        <w:rPr>
          <w:rFonts w:cstheme="minorHAnsi"/>
          <w:i/>
          <w:iCs/>
        </w:rPr>
        <w:t>,</w:t>
      </w:r>
      <w:r>
        <w:rPr>
          <w:rFonts w:cstheme="minorHAnsi"/>
        </w:rPr>
        <w:t xml:space="preserve"> other common descriptors include </w:t>
      </w:r>
      <w:r w:rsidR="00254C30">
        <w:rPr>
          <w:rFonts w:cstheme="minorHAnsi"/>
          <w:i/>
          <w:iCs/>
        </w:rPr>
        <w:t>qadi</w:t>
      </w:r>
      <w:r w:rsidR="00254C30">
        <w:rPr>
          <w:rFonts w:cstheme="minorHAnsi"/>
        </w:rPr>
        <w:t xml:space="preserve">, </w:t>
      </w:r>
      <w:proofErr w:type="spellStart"/>
      <w:r w:rsidR="00254C30">
        <w:rPr>
          <w:rFonts w:cstheme="minorHAnsi"/>
          <w:i/>
          <w:iCs/>
        </w:rPr>
        <w:t>salih</w:t>
      </w:r>
      <w:proofErr w:type="spellEnd"/>
      <w:r w:rsidR="00254C30">
        <w:rPr>
          <w:rFonts w:cstheme="minorHAnsi"/>
        </w:rPr>
        <w:t xml:space="preserve"> (pious)</w:t>
      </w:r>
      <w:r w:rsidR="00254C30">
        <w:rPr>
          <w:rFonts w:cstheme="minorHAnsi"/>
          <w:i/>
          <w:iCs/>
        </w:rPr>
        <w:t>, sheikh</w:t>
      </w:r>
      <w:r w:rsidR="00254C30">
        <w:rPr>
          <w:rFonts w:cstheme="minorHAnsi"/>
        </w:rPr>
        <w:t xml:space="preserve"> (master)</w:t>
      </w:r>
      <w:r w:rsidR="00254C30">
        <w:rPr>
          <w:rFonts w:cstheme="minorHAnsi"/>
          <w:i/>
          <w:iCs/>
        </w:rPr>
        <w:t xml:space="preserve">, </w:t>
      </w:r>
      <w:proofErr w:type="spellStart"/>
      <w:r w:rsidR="00254C30">
        <w:rPr>
          <w:rFonts w:cstheme="minorHAnsi"/>
          <w:i/>
          <w:iCs/>
        </w:rPr>
        <w:t>seid</w:t>
      </w:r>
      <w:proofErr w:type="spellEnd"/>
      <w:r w:rsidR="00254C30">
        <w:rPr>
          <w:rFonts w:cstheme="minorHAnsi"/>
          <w:i/>
          <w:iCs/>
        </w:rPr>
        <w:t xml:space="preserve"> </w:t>
      </w:r>
      <w:r w:rsidR="00254C30">
        <w:rPr>
          <w:rFonts w:cstheme="minorHAnsi"/>
        </w:rPr>
        <w:t>(lord)</w:t>
      </w:r>
      <w:r w:rsidR="00254C30">
        <w:rPr>
          <w:rFonts w:cstheme="minorHAnsi"/>
          <w:i/>
          <w:iCs/>
        </w:rPr>
        <w:t xml:space="preserve">, </w:t>
      </w:r>
      <w:proofErr w:type="spellStart"/>
      <w:r w:rsidR="00254C30">
        <w:rPr>
          <w:rFonts w:cstheme="minorHAnsi"/>
          <w:i/>
          <w:iCs/>
        </w:rPr>
        <w:t>wali</w:t>
      </w:r>
      <w:proofErr w:type="spellEnd"/>
      <w:r w:rsidR="00254C30">
        <w:rPr>
          <w:rFonts w:cstheme="minorHAnsi"/>
          <w:i/>
          <w:iCs/>
        </w:rPr>
        <w:t xml:space="preserve"> </w:t>
      </w:r>
      <w:r w:rsidR="00254C30">
        <w:rPr>
          <w:rFonts w:cstheme="minorHAnsi"/>
        </w:rPr>
        <w:t>(in this context saint)</w:t>
      </w:r>
      <w:r w:rsidR="00254C30">
        <w:rPr>
          <w:rFonts w:cstheme="minorHAnsi"/>
          <w:i/>
          <w:iCs/>
        </w:rPr>
        <w:t xml:space="preserve">, </w:t>
      </w:r>
      <w:r w:rsidR="00254C30" w:rsidRPr="00D10C28">
        <w:rPr>
          <w:rFonts w:cstheme="minorHAnsi"/>
        </w:rPr>
        <w:t>and</w:t>
      </w:r>
      <w:r w:rsidR="00254C30">
        <w:rPr>
          <w:rFonts w:cstheme="minorHAnsi"/>
          <w:i/>
          <w:iCs/>
        </w:rPr>
        <w:t xml:space="preserve"> ‘</w:t>
      </w:r>
      <w:proofErr w:type="spellStart"/>
      <w:r w:rsidR="00254C30">
        <w:rPr>
          <w:rFonts w:cstheme="minorHAnsi"/>
          <w:i/>
          <w:iCs/>
        </w:rPr>
        <w:t>aalim</w:t>
      </w:r>
      <w:proofErr w:type="spellEnd"/>
      <w:r w:rsidR="00254C30">
        <w:rPr>
          <w:rFonts w:cstheme="minorHAnsi"/>
        </w:rPr>
        <w:t xml:space="preserve"> (scholar).</w:t>
      </w:r>
    </w:p>
    <w:p w14:paraId="7875B350" w14:textId="2AAD7238" w:rsidR="002E16B1" w:rsidRDefault="002E16B1" w:rsidP="00E94EE0">
      <w:pPr>
        <w:pStyle w:val="Heading1"/>
        <w:spacing w:line="480" w:lineRule="auto"/>
        <w:rPr>
          <w:rFonts w:asciiTheme="minorHAnsi" w:hAnsiTheme="minorHAnsi" w:cstheme="minorHAnsi"/>
          <w:b/>
          <w:bCs/>
          <w:color w:val="auto"/>
          <w:sz w:val="22"/>
          <w:szCs w:val="22"/>
        </w:rPr>
      </w:pPr>
      <w:r w:rsidRPr="002E16B1">
        <w:rPr>
          <w:rFonts w:asciiTheme="minorHAnsi" w:hAnsiTheme="minorHAnsi" w:cstheme="minorHAnsi"/>
          <w:b/>
          <w:bCs/>
          <w:color w:val="auto"/>
          <w:sz w:val="22"/>
          <w:szCs w:val="22"/>
        </w:rPr>
        <w:t xml:space="preserve">Analysis of </w:t>
      </w:r>
      <w:r w:rsidRPr="00E91BFA">
        <w:rPr>
          <w:rFonts w:asciiTheme="minorHAnsi" w:hAnsiTheme="minorHAnsi" w:cstheme="minorHAnsi"/>
          <w:b/>
          <w:bCs/>
          <w:i/>
          <w:iCs/>
          <w:color w:val="auto"/>
          <w:sz w:val="22"/>
          <w:szCs w:val="22"/>
        </w:rPr>
        <w:t>Qadi</w:t>
      </w:r>
      <w:r w:rsidRPr="002E16B1">
        <w:rPr>
          <w:rFonts w:asciiTheme="minorHAnsi" w:hAnsiTheme="minorHAnsi" w:cstheme="minorHAnsi"/>
          <w:b/>
          <w:bCs/>
          <w:color w:val="auto"/>
          <w:sz w:val="22"/>
          <w:szCs w:val="22"/>
        </w:rPr>
        <w:t xml:space="preserve"> Descriptions</w:t>
      </w:r>
    </w:p>
    <w:p w14:paraId="540F826A" w14:textId="07B3EC85" w:rsidR="003771CE" w:rsidRDefault="003771CE" w:rsidP="00E94EE0">
      <w:pPr>
        <w:spacing w:line="480" w:lineRule="auto"/>
      </w:pPr>
      <w:r>
        <w:t xml:space="preserve">Once I had the graph object, I wanted to determine what descriptors were most commonly associated with </w:t>
      </w:r>
      <w:r>
        <w:rPr>
          <w:i/>
          <w:iCs/>
        </w:rPr>
        <w:t>qadis</w:t>
      </w:r>
      <w:r>
        <w:t xml:space="preserve">. I noticed from the visualization that the </w:t>
      </w:r>
      <w:proofErr w:type="spellStart"/>
      <w:r>
        <w:t>lemmatizer</w:t>
      </w:r>
      <w:proofErr w:type="spellEnd"/>
      <w:r>
        <w:t xml:space="preserve"> I used had distinguished between the singular and plural forms of </w:t>
      </w:r>
      <w:r>
        <w:rPr>
          <w:i/>
          <w:iCs/>
        </w:rPr>
        <w:t>qadi</w:t>
      </w:r>
      <w:r>
        <w:t xml:space="preserve"> as well as between forms with a terminal </w:t>
      </w:r>
      <w:r w:rsidRPr="003771CE">
        <w:rPr>
          <w:i/>
          <w:iCs/>
        </w:rPr>
        <w:t>yeh</w:t>
      </w:r>
      <w:r>
        <w:t xml:space="preserve"> versus an </w:t>
      </w:r>
      <w:proofErr w:type="spellStart"/>
      <w:r>
        <w:rPr>
          <w:i/>
          <w:iCs/>
        </w:rPr>
        <w:t>aliph</w:t>
      </w:r>
      <w:proofErr w:type="spellEnd"/>
      <w:r>
        <w:rPr>
          <w:i/>
          <w:iCs/>
        </w:rPr>
        <w:t xml:space="preserve"> </w:t>
      </w:r>
      <w:proofErr w:type="spellStart"/>
      <w:r>
        <w:rPr>
          <w:i/>
          <w:iCs/>
        </w:rPr>
        <w:t>makusura</w:t>
      </w:r>
      <w:proofErr w:type="spellEnd"/>
      <w:r>
        <w:t>. To compensate, I manually merged the nodes representing these alternate forms before conducting my analysis.</w:t>
      </w:r>
    </w:p>
    <w:p w14:paraId="4D7DC6B6" w14:textId="77777777" w:rsidR="003B4E6D" w:rsidRDefault="001F4078" w:rsidP="00E94EE0">
      <w:pPr>
        <w:spacing w:line="480" w:lineRule="auto"/>
      </w:pPr>
      <w:r>
        <w:t xml:space="preserve">I then generated a list of the common neighbors between the node representing </w:t>
      </w:r>
      <w:r>
        <w:rPr>
          <w:i/>
          <w:iCs/>
        </w:rPr>
        <w:t>qadi</w:t>
      </w:r>
      <w:r>
        <w:t xml:space="preserve"> and all of the other descriptor lemmas in the graph. The longer the list of common neighbors, the more </w:t>
      </w:r>
      <w:r>
        <w:rPr>
          <w:i/>
          <w:iCs/>
        </w:rPr>
        <w:t>qadis</w:t>
      </w:r>
      <w:r>
        <w:t xml:space="preserve"> that were identified by a given descriptor. The results of my analysis showed that the most common terms applied to 41 individuals described as </w:t>
      </w:r>
      <w:r>
        <w:rPr>
          <w:i/>
          <w:iCs/>
        </w:rPr>
        <w:t>qadis</w:t>
      </w:r>
      <w:r>
        <w:t xml:space="preserve"> were:  </w:t>
      </w:r>
      <w:r>
        <w:rPr>
          <w:i/>
          <w:iCs/>
        </w:rPr>
        <w:t xml:space="preserve">faqih </w:t>
      </w:r>
      <w:r>
        <w:t xml:space="preserve">(21), </w:t>
      </w:r>
      <w:r>
        <w:rPr>
          <w:i/>
          <w:iCs/>
        </w:rPr>
        <w:t>‘</w:t>
      </w:r>
      <w:proofErr w:type="spellStart"/>
      <w:r>
        <w:rPr>
          <w:i/>
          <w:iCs/>
        </w:rPr>
        <w:t>aalim</w:t>
      </w:r>
      <w:proofErr w:type="spellEnd"/>
      <w:r>
        <w:rPr>
          <w:i/>
          <w:iCs/>
        </w:rPr>
        <w:t xml:space="preserve"> </w:t>
      </w:r>
      <w:r>
        <w:t>(</w:t>
      </w:r>
      <w:r w:rsidR="003B4E6D">
        <w:t>13</w:t>
      </w:r>
      <w:r>
        <w:t xml:space="preserve">), </w:t>
      </w:r>
      <w:proofErr w:type="spellStart"/>
      <w:r>
        <w:rPr>
          <w:i/>
          <w:iCs/>
        </w:rPr>
        <w:t>salih</w:t>
      </w:r>
      <w:proofErr w:type="spellEnd"/>
      <w:r>
        <w:t xml:space="preserve"> (</w:t>
      </w:r>
      <w:r w:rsidR="003B4E6D">
        <w:t>12</w:t>
      </w:r>
      <w:r>
        <w:t>),</w:t>
      </w:r>
      <w:r w:rsidR="003B4E6D">
        <w:t xml:space="preserve"> </w:t>
      </w:r>
      <w:proofErr w:type="spellStart"/>
      <w:r w:rsidR="003B4E6D">
        <w:rPr>
          <w:i/>
          <w:iCs/>
        </w:rPr>
        <w:t>jalil</w:t>
      </w:r>
      <w:proofErr w:type="spellEnd"/>
      <w:r w:rsidR="003B4E6D">
        <w:t xml:space="preserve"> (6), and </w:t>
      </w:r>
      <w:r w:rsidR="003B4E6D">
        <w:rPr>
          <w:i/>
          <w:iCs/>
        </w:rPr>
        <w:t xml:space="preserve">sheikh </w:t>
      </w:r>
      <w:r w:rsidR="003B4E6D">
        <w:t>(4).</w:t>
      </w:r>
    </w:p>
    <w:p w14:paraId="2AC9EDDF" w14:textId="77777777" w:rsidR="0044103D" w:rsidRDefault="003B4E6D" w:rsidP="00E94EE0">
      <w:pPr>
        <w:spacing w:line="480" w:lineRule="auto"/>
      </w:pPr>
      <w:r>
        <w:t>Of these top 5 descriptors, 4 are unsurprising, having simply been common descriptors overall. For instance, even though</w:t>
      </w:r>
      <w:r w:rsidR="001F4078">
        <w:t xml:space="preserve"> </w:t>
      </w:r>
      <w:r>
        <w:rPr>
          <w:i/>
          <w:iCs/>
        </w:rPr>
        <w:t>faqih</w:t>
      </w:r>
      <w:r>
        <w:t xml:space="preserve"> is applied to more than half of the </w:t>
      </w:r>
      <w:r>
        <w:rPr>
          <w:i/>
          <w:iCs/>
        </w:rPr>
        <w:t>qadis</w:t>
      </w:r>
      <w:r>
        <w:t xml:space="preserve">, it’s applied to 67% of all scholars mentioned in these three chapters. As a result, despite being the most prevalent descriptor for this group, it in fact exhibits a lower rate for this descriptor than the general population of scholars. The exception to this is </w:t>
      </w:r>
      <w:proofErr w:type="spellStart"/>
      <w:r w:rsidRPr="003B4E6D">
        <w:rPr>
          <w:i/>
          <w:iCs/>
        </w:rPr>
        <w:t>jalil</w:t>
      </w:r>
      <w:proofErr w:type="spellEnd"/>
      <w:r>
        <w:t xml:space="preserve">. Translated variously as great, exalted, revered, honorable, or glorious, </w:t>
      </w:r>
      <w:proofErr w:type="spellStart"/>
      <w:r>
        <w:rPr>
          <w:i/>
          <w:iCs/>
        </w:rPr>
        <w:t>jalil</w:t>
      </w:r>
      <w:proofErr w:type="spellEnd"/>
      <w:r>
        <w:t xml:space="preserve"> only describes 8 scholars total across the three chapters. This means 75% of the scholars it describes are also </w:t>
      </w:r>
      <w:r>
        <w:rPr>
          <w:i/>
          <w:iCs/>
        </w:rPr>
        <w:t>qadis</w:t>
      </w:r>
      <w:r>
        <w:t xml:space="preserve">. </w:t>
      </w:r>
    </w:p>
    <w:p w14:paraId="4A88A93A" w14:textId="311A8925" w:rsidR="00295B79" w:rsidRDefault="0044103D" w:rsidP="00E94EE0">
      <w:pPr>
        <w:spacing w:line="480" w:lineRule="auto"/>
      </w:pPr>
      <w:r>
        <w:t xml:space="preserve">While I will leave it to those more versed in Arabic etymology to explore what the particular significance of </w:t>
      </w:r>
      <w:proofErr w:type="spellStart"/>
      <w:r>
        <w:rPr>
          <w:i/>
          <w:iCs/>
        </w:rPr>
        <w:t>jalil</w:t>
      </w:r>
      <w:proofErr w:type="spellEnd"/>
      <w:r>
        <w:t xml:space="preserve"> in this context might be, it seems to be the answer</w:t>
      </w:r>
      <w:r w:rsidR="003B4E6D">
        <w:t xml:space="preserve"> </w:t>
      </w:r>
      <w:r w:rsidR="00295B79">
        <w:t xml:space="preserve">to the question “what does it take to be a </w:t>
      </w:r>
      <w:r w:rsidR="00295B79">
        <w:rPr>
          <w:i/>
          <w:iCs/>
        </w:rPr>
        <w:t>qadi</w:t>
      </w:r>
      <w:r w:rsidR="00295B79">
        <w:t>?”</w:t>
      </w:r>
    </w:p>
    <w:p w14:paraId="24967A92" w14:textId="207A5C16" w:rsidR="00295B79" w:rsidRDefault="00295B79" w:rsidP="00E94EE0">
      <w:pPr>
        <w:spacing w:line="480" w:lineRule="auto"/>
      </w:pPr>
      <w:r>
        <w:rPr>
          <w:b/>
          <w:bCs/>
        </w:rPr>
        <w:lastRenderedPageBreak/>
        <w:t>Conclusion</w:t>
      </w:r>
    </w:p>
    <w:p w14:paraId="112B8014" w14:textId="71E418F8" w:rsidR="00295B79" w:rsidRPr="00295B79" w:rsidRDefault="00295B79" w:rsidP="00E94EE0">
      <w:pPr>
        <w:spacing w:line="480" w:lineRule="auto"/>
      </w:pPr>
      <w:r>
        <w:t xml:space="preserve">The goal of this exercise is to demonstrate the kind of question that might be asked of the description graph presented here. In making this graph and its constituent data sources publicly available, I hope to encourage other domain experts to engage with the biographical chapters of </w:t>
      </w:r>
      <w:r>
        <w:rPr>
          <w:i/>
          <w:iCs/>
        </w:rPr>
        <w:t>Tarikh al-Sudan</w:t>
      </w:r>
      <w:r>
        <w:t xml:space="preserve">. Although </w:t>
      </w:r>
      <w:r>
        <w:t>al-</w:t>
      </w:r>
      <w:proofErr w:type="spellStart"/>
      <w:r>
        <w:t>Sa’di</w:t>
      </w:r>
      <w:proofErr w:type="spellEnd"/>
      <w:r>
        <w:t xml:space="preserve"> </w:t>
      </w:r>
      <w:r>
        <w:t>tends to be unfortunately light on dates and inconsistent or vague about familial ties, he does present robust descriptions of the Songhai E</w:t>
      </w:r>
      <w:r w:rsidR="00D10C28">
        <w:t>m</w:t>
      </w:r>
      <w:r>
        <w:t xml:space="preserve">pire’s scholarly elite. </w:t>
      </w:r>
      <w:r w:rsidR="00D10C28">
        <w:t xml:space="preserve">From these descriptions, </w:t>
      </w:r>
      <w:r>
        <w:t xml:space="preserve">enterprising historians can glean a lot about how </w:t>
      </w:r>
      <w:r>
        <w:t>al-</w:t>
      </w:r>
      <w:proofErr w:type="spellStart"/>
      <w:r>
        <w:t>Sa’di</w:t>
      </w:r>
      <w:proofErr w:type="spellEnd"/>
      <w:r>
        <w:t xml:space="preserve"> viewed those he deemed worthy to write into the annals of history.</w:t>
      </w:r>
    </w:p>
    <w:sectPr w:rsidR="00295B79" w:rsidRPr="00295B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BD319" w14:textId="77777777" w:rsidR="0099053A" w:rsidRDefault="0099053A" w:rsidP="00C42689">
      <w:pPr>
        <w:spacing w:after="0" w:line="240" w:lineRule="auto"/>
      </w:pPr>
      <w:r>
        <w:separator/>
      </w:r>
    </w:p>
  </w:endnote>
  <w:endnote w:type="continuationSeparator" w:id="0">
    <w:p w14:paraId="13EC1575" w14:textId="77777777" w:rsidR="0099053A" w:rsidRDefault="0099053A" w:rsidP="00C42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F91B4" w14:textId="77777777" w:rsidR="0099053A" w:rsidRDefault="0099053A" w:rsidP="00C42689">
      <w:pPr>
        <w:spacing w:after="0" w:line="240" w:lineRule="auto"/>
      </w:pPr>
      <w:r>
        <w:separator/>
      </w:r>
    </w:p>
  </w:footnote>
  <w:footnote w:type="continuationSeparator" w:id="0">
    <w:p w14:paraId="0247FE94" w14:textId="77777777" w:rsidR="0099053A" w:rsidRDefault="0099053A" w:rsidP="00C42689">
      <w:pPr>
        <w:spacing w:after="0" w:line="240" w:lineRule="auto"/>
      </w:pPr>
      <w:r>
        <w:continuationSeparator/>
      </w:r>
    </w:p>
  </w:footnote>
  <w:footnote w:id="1">
    <w:p w14:paraId="2E795F97" w14:textId="3ED2001C" w:rsidR="001B1268" w:rsidRDefault="001B1268">
      <w:pPr>
        <w:pStyle w:val="FootnoteText"/>
      </w:pPr>
      <w:r>
        <w:rPr>
          <w:rStyle w:val="FootnoteReference"/>
        </w:rPr>
        <w:footnoteRef/>
      </w:r>
      <w:r>
        <w:t xml:space="preserve"> </w:t>
      </w:r>
      <w:r>
        <w:fldChar w:fldCharType="begin"/>
      </w:r>
      <w:r>
        <w:instrText xml:space="preserve"> ADDIN ZOTERO_ITEM CSL_CITATION {"citationID":"QfnzQc0O","properties":{"formattedCitation":"Hunwick, \\uc0\\u8220{}Al-Sa\\uc0\\u703{}d\\uc0\\u299{}.\\uc0\\u8221{}","plainCitation":"Hunwick, “Al-Saʿdī.”","noteIndex":1},"citationItems":[{"id":292,"uris":["http://zotero.org/users/5661670/items/I4LFUQGK"],"itemData":{"id":292,"type":"article-journal","container-title":"Encyclopaedia of Islam, Second Edition","language":"en","note":"publisher: Brill","source":"referenceworks-brillonline-com.ezproxy.library.tufts.edu","title":"al-Saʿdī","URL":"http://referenceworks.brillonline.com/entries/encyclopaedia-of-islam-2/al-sadi-SIM_6415?s.num=11&amp;s.f.s2_parent=s.f.cluster.Encyclopaedia+of+Islam&amp;s.q=tarikh+al+sudan","author":[{"family":"Hunwick","given":"J. O."}],"accessed":{"date-parts":[["2022",12,30]]},"issued":{"date-parts":[["2012",4,24]]}}}],"schema":"https://github.com/citation-style-language/schema/raw/master/csl-citation.json"} </w:instrText>
      </w:r>
      <w:r>
        <w:fldChar w:fldCharType="separate"/>
      </w:r>
      <w:r w:rsidRPr="001B1268">
        <w:rPr>
          <w:rFonts w:ascii="Calibri" w:hAnsi="Calibri" w:cs="Calibri"/>
          <w:szCs w:val="24"/>
        </w:rPr>
        <w:t>Hunwick, “Al-</w:t>
      </w:r>
      <w:proofErr w:type="spellStart"/>
      <w:r w:rsidRPr="001B1268">
        <w:rPr>
          <w:rFonts w:ascii="Calibri" w:hAnsi="Calibri" w:cs="Calibri"/>
          <w:szCs w:val="24"/>
        </w:rPr>
        <w:t>Saʿdī</w:t>
      </w:r>
      <w:proofErr w:type="spellEnd"/>
      <w:r w:rsidRPr="001B1268">
        <w:rPr>
          <w:rFonts w:ascii="Calibri" w:hAnsi="Calibri" w:cs="Calibri"/>
          <w:szCs w:val="24"/>
        </w:rPr>
        <w:t>.”</w:t>
      </w:r>
      <w:r>
        <w:fldChar w:fldCharType="end"/>
      </w:r>
    </w:p>
  </w:footnote>
  <w:footnote w:id="2">
    <w:p w14:paraId="7AA55B52" w14:textId="7796A482" w:rsidR="00C17C5C" w:rsidRDefault="00C17C5C">
      <w:pPr>
        <w:pStyle w:val="FootnoteText"/>
      </w:pPr>
      <w:r>
        <w:rPr>
          <w:rStyle w:val="FootnoteReference"/>
        </w:rPr>
        <w:footnoteRef/>
      </w:r>
      <w:r>
        <w:t xml:space="preserve"> </w:t>
      </w:r>
      <w:r>
        <w:fldChar w:fldCharType="begin"/>
      </w:r>
      <w:r>
        <w:instrText xml:space="preserve"> ADDIN ZOTERO_ITEM CSL_CITATION {"citationID":"yIwulwSy","properties":{"formattedCitation":"Hunwick, \\uc0\\u8220{}Timbuktu.\\uc0\\u8221{}","plainCitation":"Hunwick, “Timbuktu.”","noteIndex":1},"citationItems":[{"id":294,"uris":["http://zotero.org/users/5661670/items/JX29AV93"],"itemData":{"id":294,"type":"article-journal","container-title":"Encyclopaedia of Islam, Second Edition","language":"en","note":"publisher: Brill","source":"referenceworks-brillonline-com.ezproxy.library.tufts.edu","title":"Timbuktu","URL":"http://referenceworks.brillonline.com/entries/encyclopaedia-of-islam-2/timbuktu-COM_1222?s.num=0&amp;s.f.s2_parent=s.f.cluster.Encyclopaedia+of+Islam&amp;s.q=timbuktu","author":[{"family":"Hunwick","given":"J. O."}],"accessed":{"date-parts":[["2022",12,30]]},"issued":{"date-parts":[["2012",4,24]]}}}],"schema":"https://github.com/citation-style-language/schema/raw/master/csl-citation.json"} </w:instrText>
      </w:r>
      <w:r>
        <w:fldChar w:fldCharType="separate"/>
      </w:r>
      <w:r w:rsidRPr="00C17C5C">
        <w:rPr>
          <w:rFonts w:ascii="Calibri" w:hAnsi="Calibri" w:cs="Calibri"/>
          <w:szCs w:val="24"/>
        </w:rPr>
        <w:t>Hunwick, “Timbuktu.”</w:t>
      </w:r>
      <w:r>
        <w:fldChar w:fldCharType="end"/>
      </w:r>
    </w:p>
  </w:footnote>
  <w:footnote w:id="3">
    <w:p w14:paraId="3D2587B6" w14:textId="19592EF1" w:rsidR="00C17C5C" w:rsidRDefault="00C17C5C">
      <w:pPr>
        <w:pStyle w:val="FootnoteText"/>
      </w:pPr>
      <w:r>
        <w:rPr>
          <w:rStyle w:val="FootnoteReference"/>
        </w:rPr>
        <w:footnoteRef/>
      </w:r>
      <w:r>
        <w:t xml:space="preserve"> </w:t>
      </w:r>
      <w:r>
        <w:fldChar w:fldCharType="begin"/>
      </w:r>
      <w:r>
        <w:instrText xml:space="preserve"> ADDIN ZOTERO_ITEM CSL_CITATION {"citationID":"nYYWjOQw","properties":{"formattedCitation":"Mauny, \\uc0\\u8220{}Dienn\\uc0\\u233{}.\\uc0\\u8221{}","plainCitation":"Mauny, “Dienné.”","noteIndex":2},"citationItems":[{"id":296,"uris":["http://zotero.org/users/5661670/items/S6YMAYWQ"],"itemData":{"id":296,"type":"article-journal","container-title":"Encyclopaedia of Islam, Second Edition","language":"en","note":"publisher: Brill","source":"referenceworks-brillonline-com.ezproxy.library.tufts.edu","title":"Dienné","URL":"http://referenceworks.brillonline.com/entries/encyclopaedia-of-islam-2/dienne-SIM_1843","author":[{"family":"Mauny","given":"R."}],"accessed":{"date-parts":[["2022",12,30]]},"issued":{"date-parts":[["2012",4,24]]}}}],"schema":"https://github.com/citation-style-language/schema/raw/master/csl-citation.json"} </w:instrText>
      </w:r>
      <w:r>
        <w:fldChar w:fldCharType="separate"/>
      </w:r>
      <w:proofErr w:type="spellStart"/>
      <w:r w:rsidRPr="00C17C5C">
        <w:rPr>
          <w:rFonts w:ascii="Calibri" w:hAnsi="Calibri" w:cs="Calibri"/>
          <w:szCs w:val="24"/>
        </w:rPr>
        <w:t>Mauny</w:t>
      </w:r>
      <w:proofErr w:type="spellEnd"/>
      <w:r w:rsidRPr="00C17C5C">
        <w:rPr>
          <w:rFonts w:ascii="Calibri" w:hAnsi="Calibri" w:cs="Calibri"/>
          <w:szCs w:val="24"/>
        </w:rPr>
        <w:t>, “</w:t>
      </w:r>
      <w:proofErr w:type="spellStart"/>
      <w:r w:rsidRPr="00C17C5C">
        <w:rPr>
          <w:rFonts w:ascii="Calibri" w:hAnsi="Calibri" w:cs="Calibri"/>
          <w:szCs w:val="24"/>
        </w:rPr>
        <w:t>Dienné</w:t>
      </w:r>
      <w:proofErr w:type="spellEnd"/>
      <w:r w:rsidRPr="00C17C5C">
        <w:rPr>
          <w:rFonts w:ascii="Calibri" w:hAnsi="Calibri" w:cs="Calibri"/>
          <w:szCs w:val="24"/>
        </w:rPr>
        <w:t>.”</w:t>
      </w:r>
      <w:r>
        <w:fldChar w:fldCharType="end"/>
      </w:r>
    </w:p>
  </w:footnote>
  <w:footnote w:id="4">
    <w:p w14:paraId="711503E5" w14:textId="7AF17FD1" w:rsidR="00C42689" w:rsidRDefault="00C42689">
      <w:pPr>
        <w:pStyle w:val="FootnoteText"/>
      </w:pPr>
      <w:r>
        <w:rPr>
          <w:rStyle w:val="FootnoteReference"/>
        </w:rPr>
        <w:footnoteRef/>
      </w:r>
      <w:r>
        <w:t xml:space="preserve"> </w:t>
      </w:r>
      <w:r>
        <w:fldChar w:fldCharType="begin"/>
      </w:r>
      <w:r>
        <w:instrText xml:space="preserve"> ADDIN ZOTERO_ITEM CSL_CITATION {"citationID":"ewZORd1P","properties":{"formattedCitation":"Tyan and K\\uc0\\u225{}ldy-Nagy, \\uc0\\u8220{}\\uc0\\u7730{}\\uc0\\u257{}\\uc0\\u7693{}\\uc0\\u299{}.\\uc0\\u8221{}","plainCitation":"Tyan and Káldy-Nagy, “Ḳāḍī.”","noteIndex":1},"citationItems":[{"id":290,"uris":["http://zotero.org/users/5661670/items/JZRFVQMK"],"itemData":{"id":290,"type":"article-journal","container-title":"Encyclopaedia of Islam, Second Edition","language":"en","note":"publisher: Brill","source":"referenceworks-brillonline-com.ezproxy.library.tufts.edu","title":"Ḳāḍī","URL":"http://referenceworks.brillonline.com/entries/encyclopaedia-of-islam-2/kadi-COM_0410?s.num=0&amp;s.f.s2_parent=s.f.cluster.Encyclopaedia+of+Islam&amp;s.q=kadi","author":[{"family":"Tyan","given":"E."},{"family":"Káldy-Nagy","given":"Gy"}],"accessed":{"date-parts":[["2022",12,30]]},"issued":{"date-parts":[["2012",4,24]]}}}],"schema":"https://github.com/citation-style-language/schema/raw/master/csl-citation.json"} </w:instrText>
      </w:r>
      <w:r>
        <w:fldChar w:fldCharType="separate"/>
      </w:r>
      <w:r w:rsidRPr="00C42689">
        <w:rPr>
          <w:rFonts w:ascii="Calibri" w:hAnsi="Calibri" w:cs="Calibri"/>
          <w:szCs w:val="24"/>
        </w:rPr>
        <w:t xml:space="preserve">Tyan and </w:t>
      </w:r>
      <w:proofErr w:type="spellStart"/>
      <w:r w:rsidRPr="00C42689">
        <w:rPr>
          <w:rFonts w:ascii="Calibri" w:hAnsi="Calibri" w:cs="Calibri"/>
          <w:szCs w:val="24"/>
        </w:rPr>
        <w:t>Káldy</w:t>
      </w:r>
      <w:proofErr w:type="spellEnd"/>
      <w:r w:rsidRPr="00C42689">
        <w:rPr>
          <w:rFonts w:ascii="Calibri" w:hAnsi="Calibri" w:cs="Calibri"/>
          <w:szCs w:val="24"/>
        </w:rPr>
        <w:t>-Nagy, “</w:t>
      </w:r>
      <w:proofErr w:type="spellStart"/>
      <w:r w:rsidRPr="00C42689">
        <w:rPr>
          <w:rFonts w:ascii="Calibri" w:hAnsi="Calibri" w:cs="Calibri"/>
          <w:szCs w:val="24"/>
        </w:rPr>
        <w:t>Ḳāḍī</w:t>
      </w:r>
      <w:proofErr w:type="spellEnd"/>
      <w:r w:rsidRPr="00C42689">
        <w:rPr>
          <w:rFonts w:ascii="Calibri" w:hAnsi="Calibri" w:cs="Calibri"/>
          <w:szCs w:val="24"/>
        </w:rPr>
        <w:t>.”</w:t>
      </w:r>
      <w:r>
        <w:fldChar w:fldCharType="end"/>
      </w:r>
    </w:p>
  </w:footnote>
  <w:footnote w:id="5">
    <w:p w14:paraId="24C3C5D5" w14:textId="41099426" w:rsidR="00E62C98" w:rsidRDefault="00E62C98">
      <w:pPr>
        <w:pStyle w:val="FootnoteText"/>
      </w:pPr>
      <w:r>
        <w:rPr>
          <w:rStyle w:val="FootnoteReference"/>
        </w:rPr>
        <w:footnoteRef/>
      </w:r>
      <w:r>
        <w:t xml:space="preserve"> </w:t>
      </w:r>
      <w:r>
        <w:fldChar w:fldCharType="begin"/>
      </w:r>
      <w:r>
        <w:instrText xml:space="preserve"> ADDIN ZOTERO_ITEM CSL_CITATION {"citationID":"F7B0SM5o","properties":{"formattedCitation":"\\uc0\\u699{}Sad\\uc0\\u299{} and Houdas, {\\i{}Tarikh Es-Soudan.}","plainCitation":"ʻSadī and Houdas, Tarikh Es-Soudan.","noteIndex":5},"citationItems":[{"id":298,"uris":["http://zotero.org/users/5661670/items/UAT87RCE"],"itemData":{"id":298,"type":"book","collection-title":"Publication / Ecole des langues orientales vivantes (France) ;IV, 12","event-place":"Paris","number-of-pages":"326","publisher":"Leroux","publisher-place":"Paris","source":"HathiTrust","title":"Tarikh es-Soudan.","URL":"https://catalog.hathitrust.org/Record/102683361","author":[{"family":"ʻSadī","given":"ʻAbd al-Raḥmān ibn ʻAbd Allāh"},{"family":"Houdas","given":"Octave Victor"}],"accessed":{"date-parts":[["2022",12,30]]},"issued":{"date-parts":[["1898"]]}}}],"schema":"https://github.com/citation-style-language/schema/raw/master/csl-citation.json"} </w:instrText>
      </w:r>
      <w:r>
        <w:fldChar w:fldCharType="separate"/>
      </w:r>
      <w:proofErr w:type="spellStart"/>
      <w:r w:rsidRPr="00E62C98">
        <w:rPr>
          <w:rFonts w:ascii="Calibri" w:hAnsi="Calibri" w:cs="Calibri"/>
          <w:szCs w:val="24"/>
        </w:rPr>
        <w:t>ʻSadī</w:t>
      </w:r>
      <w:proofErr w:type="spellEnd"/>
      <w:r w:rsidRPr="00E62C98">
        <w:rPr>
          <w:rFonts w:ascii="Calibri" w:hAnsi="Calibri" w:cs="Calibri"/>
          <w:szCs w:val="24"/>
        </w:rPr>
        <w:t xml:space="preserve"> and </w:t>
      </w:r>
      <w:proofErr w:type="spellStart"/>
      <w:r w:rsidRPr="00E62C98">
        <w:rPr>
          <w:rFonts w:ascii="Calibri" w:hAnsi="Calibri" w:cs="Calibri"/>
          <w:szCs w:val="24"/>
        </w:rPr>
        <w:t>Houdas</w:t>
      </w:r>
      <w:proofErr w:type="spellEnd"/>
      <w:r w:rsidRPr="00E62C98">
        <w:rPr>
          <w:rFonts w:ascii="Calibri" w:hAnsi="Calibri" w:cs="Calibri"/>
          <w:szCs w:val="24"/>
        </w:rPr>
        <w:t xml:space="preserve">, </w:t>
      </w:r>
      <w:r w:rsidRPr="00E62C98">
        <w:rPr>
          <w:rFonts w:ascii="Calibri" w:hAnsi="Calibri" w:cs="Calibri"/>
          <w:i/>
          <w:iCs/>
          <w:szCs w:val="24"/>
        </w:rPr>
        <w:t>Tarikh Es-Soudan.</w:t>
      </w:r>
      <w: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6B1"/>
    <w:rsid w:val="0001712A"/>
    <w:rsid w:val="001B1268"/>
    <w:rsid w:val="001F4078"/>
    <w:rsid w:val="00254C30"/>
    <w:rsid w:val="00295B79"/>
    <w:rsid w:val="002E16B1"/>
    <w:rsid w:val="003771CE"/>
    <w:rsid w:val="003B4435"/>
    <w:rsid w:val="003B4E6D"/>
    <w:rsid w:val="0042723B"/>
    <w:rsid w:val="0044103D"/>
    <w:rsid w:val="004E6F88"/>
    <w:rsid w:val="005844BD"/>
    <w:rsid w:val="005F3B30"/>
    <w:rsid w:val="00653E70"/>
    <w:rsid w:val="006B7752"/>
    <w:rsid w:val="0073649D"/>
    <w:rsid w:val="00947B99"/>
    <w:rsid w:val="00962CCF"/>
    <w:rsid w:val="0099053A"/>
    <w:rsid w:val="00A326E5"/>
    <w:rsid w:val="00B00690"/>
    <w:rsid w:val="00C17C5C"/>
    <w:rsid w:val="00C42689"/>
    <w:rsid w:val="00D10C28"/>
    <w:rsid w:val="00E31450"/>
    <w:rsid w:val="00E62C98"/>
    <w:rsid w:val="00E91BFA"/>
    <w:rsid w:val="00E94EE0"/>
    <w:rsid w:val="00EB6996"/>
    <w:rsid w:val="00ED2672"/>
    <w:rsid w:val="00ED6C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6CFD"/>
  <w15:chartTrackingRefBased/>
  <w15:docId w15:val="{9F76EEFD-1994-4BAE-91BB-2FB92C5A7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16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6B1"/>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E31450"/>
    <w:rPr>
      <w:i/>
      <w:iCs/>
    </w:rPr>
  </w:style>
  <w:style w:type="paragraph" w:styleId="FootnoteText">
    <w:name w:val="footnote text"/>
    <w:basedOn w:val="Normal"/>
    <w:link w:val="FootnoteTextChar"/>
    <w:uiPriority w:val="99"/>
    <w:semiHidden/>
    <w:unhideWhenUsed/>
    <w:rsid w:val="00C426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42689"/>
    <w:rPr>
      <w:sz w:val="20"/>
      <w:szCs w:val="20"/>
    </w:rPr>
  </w:style>
  <w:style w:type="character" w:styleId="FootnoteReference">
    <w:name w:val="footnote reference"/>
    <w:basedOn w:val="DefaultParagraphFont"/>
    <w:uiPriority w:val="99"/>
    <w:semiHidden/>
    <w:unhideWhenUsed/>
    <w:rsid w:val="00C4268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6</Pages>
  <Words>1256</Words>
  <Characters>7162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Hilleary, Joseph C</dc:creator>
  <cp:keywords/>
  <dc:description/>
  <cp:lastModifiedBy>Hilleary, Joseph C</cp:lastModifiedBy>
  <cp:revision>18</cp:revision>
  <dcterms:created xsi:type="dcterms:W3CDTF">2022-12-30T17:01:00Z</dcterms:created>
  <dcterms:modified xsi:type="dcterms:W3CDTF">2022-12-30T23:28:00Z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id="Q3ov069C"/&gt;&lt;style id="http://www.zotero.org/styles/chicago-note-bibliography" locale="en-US" hasBibliography="1" bibliographyStyleHasBeenSet="0"/&gt;&lt;prefs&gt;&lt;pref name="fieldType" value="Field"/&gt;&lt;pre</vt:lpwstr>
  </property>
  <property fmtid="{D5CDD505-2E9C-101B-9397-08002B2CF9AE}" pid="3" name="ZOTERO_PREF_2">
    <vt:lpwstr>f name="noteType" value="1"/&gt;&lt;/prefs&gt;&lt;/data&gt;</vt:lpwstr>
  </property>
</Properties>
</file>