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MUTUAL NON-DISCLOSURE AND NON-CIRCUMVENTION AGREEMENT (NCNDA)</w:t>
      </w:r>
    </w:p>
    <w:p>
      <w:pPr>
        <w:spacing w:after="120"/>
      </w:pPr>
      <w:r/>
      <w:r>
        <w:rPr>
          <w:b/>
        </w:rPr>
        <w:t>Template for suppliers of garments, fabrics, trims and logo transfers. Draft prepared 6 September 2026 for review by a British Columbia lawyer before first use. Not legal advice.</w:t>
      </w:r>
      <w:r/>
    </w:p>
    <w:p>
      <w:pPr>
        <w:spacing w:after="120"/>
      </w:pPr>
      <w:r>
        <w:t>This Mutual Non-Disclosure and Non-Circumvention Agreement (the "Agreement") is entered into as of ____________, 2026 (the "Effective Date")</w:t>
      </w:r>
    </w:p>
    <w:p>
      <w:pPr>
        <w:spacing w:after="120"/>
      </w:pPr>
      <w:r/>
      <w:r>
        <w:rPr>
          <w:b/>
        </w:rPr>
        <w:t>BETWEEN:</w:t>
      </w:r>
      <w:r/>
    </w:p>
    <w:p>
      <w:pPr>
        <w:spacing w:after="120"/>
      </w:pPr>
      <w:r/>
      <w:r>
        <w:rPr>
          <w:b/>
        </w:rPr>
        <w:t>Jorge Chinchilla</w:t>
      </w:r>
      <w:r>
        <w:t>, an individual resident in Vancouver, British Columbia, Canada, carrying on business under the brand "CHINCHILLA" (together with any corporation he incorporates to own that brand, "Chinchilla")</w:t>
      </w:r>
    </w:p>
    <w:p>
      <w:pPr>
        <w:spacing w:after="120"/>
      </w:pPr>
      <w:r/>
      <w:r>
        <w:rPr>
          <w:b/>
        </w:rPr>
        <w:t>AND:</w:t>
      </w:r>
      <w:r/>
    </w:p>
    <w:p>
      <w:pPr>
        <w:spacing w:after="120"/>
      </w:pPr>
      <w:r/>
      <w:r>
        <w:rPr>
          <w:b/>
        </w:rPr>
        <w:t>[SUPPLIER LEGAL NAME]</w:t>
      </w:r>
      <w:r>
        <w:t>, a [company / individual] organized under the laws of [jurisdiction], with its principal place of business at [address] (the "Supplier")</w:t>
      </w:r>
    </w:p>
    <w:p>
      <w:pPr>
        <w:spacing w:after="120"/>
      </w:pPr>
      <w:r>
        <w:t>(each a "Party" and together the "Parties").</w:t>
      </w:r>
    </w:p>
    <w:p>
      <w:pPr>
        <w:spacing w:before="200"/>
      </w:pPr>
      <w:r>
        <w:rPr>
          <w:b/>
          <w:sz w:val="23"/>
        </w:rPr>
        <w:t>1. Purpose</w:t>
      </w:r>
    </w:p>
    <w:p>
      <w:pPr>
        <w:spacing w:after="120"/>
      </w:pPr>
      <w:r>
        <w:t>The Parties wish to explore and, if agreed, carry out a business relationship in which the Supplier may develop samples, quote, manufacture or supply garments, fabrics, trims, labels or heat-transfer logos for Chinchilla (the "Purpose"). In connection with the Purpose, each Party may disclose Confidential Information to the other.</w:t>
      </w:r>
    </w:p>
    <w:p>
      <w:pPr>
        <w:spacing w:before="200"/>
      </w:pPr>
      <w:r>
        <w:rPr>
          <w:b/>
          <w:sz w:val="23"/>
        </w:rPr>
        <w:t>2. Confidential Information</w:t>
      </w:r>
    </w:p>
    <w:p>
      <w:pPr>
        <w:spacing w:after="120"/>
      </w:pPr>
      <w:r>
        <w:t>2.1 "Confidential Information" means all non-public information disclosed by a Party (the "Disclosing Party") to the other (the "Receiving Party"), in any form, before or after the Effective Date, including without limitation: designs, sketches, tech packs, patterns, fabric specifications and compositions, logo artwork and vector files, colourways, product names, launch dates, pricing, costs, quotations, order volumes, forecasts, business plans, marketing plans, customer and tester information, the identity of and terms with the Disclosing Party's suppliers, factories, mills, agents and sub-contractors, and any samples or prototypes.</w:t>
      </w:r>
    </w:p>
    <w:p>
      <w:pPr>
        <w:spacing w:after="120"/>
      </w:pPr>
      <w:r>
        <w:t>2.2 Confidential Information does not include information that the Receiving Party can demonstrate by written records: (a) was publicly available at the time of disclosure or later becomes publicly available through no breach of this Agreement; (b) was lawfully known to the Receiving Party before disclosure; (c) is lawfully received from a third party without restriction; or (d) is independently developed without use of the Confidential Information.</w:t>
      </w:r>
    </w:p>
    <w:p>
      <w:pPr>
        <w:spacing w:before="200"/>
      </w:pPr>
      <w:r>
        <w:rPr>
          <w:b/>
          <w:sz w:val="23"/>
        </w:rPr>
        <w:t>3. Obligations of the Receiving Party</w:t>
      </w:r>
    </w:p>
    <w:p>
      <w:pPr>
        <w:spacing w:after="120"/>
      </w:pPr>
      <w:r>
        <w:t>The Receiving Party shall: (a) use Confidential Information solely for the Purpose; (b) not disclose it to any person other than its employees, officers and sub-contractors who need to know it for the Purpose and are bound by written confidentiality obligations at least as protective as this Agreement; (c) protect it with at least the same degree of care it uses for its own confidential information, and no less than reasonable care; (d) not reverse-engineer, copy, photograph or publish samples, prototypes or artwork, including on social media, trade platforms, catalogues or showrooms, without the Disclosing Party's prior written consent; and (e) promptly notify the Disclosing Party of any unauthorized use or disclosure.</w:t>
      </w:r>
    </w:p>
    <w:p>
      <w:pPr>
        <w:spacing w:before="200"/>
      </w:pPr>
      <w:r>
        <w:rPr>
          <w:b/>
          <w:sz w:val="23"/>
        </w:rPr>
        <w:t>4. Non-Circumvention</w:t>
      </w:r>
    </w:p>
    <w:p>
      <w:pPr>
        <w:spacing w:after="120"/>
      </w:pPr>
      <w:r>
        <w:t xml:space="preserve">4.1 During the Term and for </w:t>
      </w:r>
      <w:r>
        <w:rPr>
          <w:b/>
        </w:rPr>
        <w:t>two (2) years</w:t>
      </w:r>
      <w:r>
        <w:t xml:space="preserve"> after it ends, the Supplier shall not, directly or indirectly, without Chinchilla's prior written consent: (a) contact, solicit, or transact with any customer, tester, investor, designer, factory, mill, decorator or other business contact of Chinchilla whose identity was disclosed by Chinchilla or learned through the Purpose, for the purpose of circumventing Chinchilla or offering products substantially similar to Chinchilla's products; or (b) use Chinchilla's designs, tech packs, artwork, logo, brand name or colourways to produce, offer or sell goods to any third party, including "overrun", "stock lot" or "sample" units.</w:t>
      </w:r>
    </w:p>
    <w:p>
      <w:pPr>
        <w:spacing w:after="120"/>
      </w:pPr>
      <w:r>
        <w:t>4.2 During the Term and for two (2) years after it ends, Chinchilla shall not, directly or indirectly, contract with any sub-contractor, mill or factory first introduced to Chinchilla by the Supplier in writing for the Purpose, in order to circumvent the Supplier, without the Supplier's prior written consent.</w:t>
      </w:r>
    </w:p>
    <w:p>
      <w:pPr>
        <w:spacing w:after="120"/>
      </w:pPr>
      <w:r>
        <w:t>4.3 Nothing in this Section prevents either Party from dealing with any person with whom it had a documented pre-existing relationship, or who is approached through a general, public advertisement.</w:t>
      </w:r>
    </w:p>
    <w:p>
      <w:pPr>
        <w:spacing w:before="200"/>
      </w:pPr>
      <w:r>
        <w:rPr>
          <w:b/>
          <w:sz w:val="23"/>
        </w:rPr>
        <w:t>5. Intellectual Property</w:t>
      </w:r>
    </w:p>
    <w:p>
      <w:pPr>
        <w:spacing w:after="120"/>
      </w:pPr>
      <w:r>
        <w:t>5.1 All designs, artwork, logos (including the "Chinchilla" name and the chinchilla-and-leaf device), tech packs, patterns, samples, prototypes, product names and all related intellectual property rights supplied by Chinchilla or created by the Supplier at Chinchilla's request and for Chinchilla's account are and shall remain the exclusive property of Chinchilla. The Supplier hereby assigns to Chinchilla all right, title and interest in any such work product and waives any moral rights therein.</w:t>
      </w:r>
    </w:p>
    <w:p>
      <w:pPr>
        <w:spacing w:after="120"/>
      </w:pPr>
      <w:r>
        <w:t>5.2 No license or other right is granted under this Agreement except the limited right to use Confidential Information for the Purpose. The Supplier shall not register or attempt to register any trademark, design or domain name containing or confusingly similar to Chinchilla's brand or logo in any jurisdiction.</w:t>
      </w:r>
    </w:p>
    <w:p>
      <w:pPr>
        <w:spacing w:after="120"/>
      </w:pPr>
      <w:r>
        <w:t>5.3 All excess, defective, rejected or unclaimed units bearing Chinchilla's logo or made from Chinchilla's designs shall be destroyed or delivered to Chinchilla at Chinchilla's election and shall never be sold or distributed.</w:t>
      </w:r>
    </w:p>
    <w:p>
      <w:pPr>
        <w:spacing w:before="200"/>
      </w:pPr>
      <w:r>
        <w:rPr>
          <w:b/>
          <w:sz w:val="23"/>
        </w:rPr>
        <w:t>6. Return or Destruction</w:t>
      </w:r>
    </w:p>
    <w:p>
      <w:pPr>
        <w:spacing w:after="120"/>
      </w:pPr>
      <w:r>
        <w:t>Within ten (10) days of the Disclosing Party's written request, or upon termination of this Agreement, the Receiving Party shall return or securely destroy all Confidential Information, samples, artwork files and copies, and certify in writing that it has done so, except for one archival copy kept by legal counsel solely to evidence compliance.</w:t>
      </w:r>
    </w:p>
    <w:p>
      <w:pPr>
        <w:spacing w:before="200"/>
      </w:pPr>
      <w:r>
        <w:rPr>
          <w:b/>
          <w:sz w:val="23"/>
        </w:rPr>
        <w:t>7. No Obligation to Transact</w:t>
      </w:r>
    </w:p>
    <w:p>
      <w:pPr>
        <w:spacing w:after="120"/>
      </w:pPr>
      <w:r>
        <w:t>This Agreement does not obligate either Party to purchase, supply, or enter into any further agreement. Any purchase shall be governed by a separate written purchase order or supply agreement. Each Party bears its own costs.</w:t>
      </w:r>
    </w:p>
    <w:p>
      <w:pPr>
        <w:spacing w:before="200"/>
      </w:pPr>
      <w:r>
        <w:rPr>
          <w:b/>
          <w:sz w:val="23"/>
        </w:rPr>
        <w:t>8. Term</w:t>
      </w:r>
    </w:p>
    <w:p>
      <w:pPr>
        <w:spacing w:after="120"/>
      </w:pPr>
      <w:r>
        <w:t xml:space="preserve">This Agreement begins on the Effective Date and continues for </w:t>
      </w:r>
      <w:r>
        <w:rPr>
          <w:b/>
        </w:rPr>
        <w:t>three (3) years</w:t>
      </w:r>
      <w:r>
        <w:t xml:space="preserve"> (the "Term"), unless terminated earlier by either Party on thirty (30) days' written notice. The obligations in Sections 3, 5 and 6 survive for </w:t>
      </w:r>
      <w:r>
        <w:rPr>
          <w:b/>
        </w:rPr>
        <w:t>five (5) years</w:t>
      </w:r>
      <w:r>
        <w:t xml:space="preserve"> after the Term ends; obligations regarding trade secrets survive for as long as the information remains a trade secret; Section 4 survives as stated therein.</w:t>
      </w:r>
    </w:p>
    <w:p>
      <w:pPr>
        <w:spacing w:before="200"/>
      </w:pPr>
      <w:r>
        <w:rPr>
          <w:b/>
          <w:sz w:val="23"/>
        </w:rPr>
        <w:t>9. Remedies</w:t>
      </w:r>
    </w:p>
    <w:p>
      <w:pPr>
        <w:spacing w:after="120"/>
      </w:pPr>
      <w:r>
        <w:t>Each Party acknowledges that a breach of this Agreement may cause irreparable harm for which damages would be inadequate, and that the non-breaching Party shall be entitled to seek injunctive relief and specific performance in any court of competent jurisdiction, in addition to any other remedy available at law or in equity, without posting a bond.</w:t>
      </w:r>
    </w:p>
    <w:p>
      <w:pPr>
        <w:spacing w:before="200"/>
      </w:pPr>
      <w:r>
        <w:rPr>
          <w:b/>
          <w:sz w:val="23"/>
        </w:rPr>
        <w:t>10. Compelled Disclosure</w:t>
      </w:r>
    </w:p>
    <w:p>
      <w:pPr>
        <w:spacing w:after="120"/>
      </w:pPr>
      <w:r>
        <w:t>If the Receiving Party is required by law or court order to disclose Confidential Information, it shall give the Disclosing Party prompt written notice (where legally permitted), cooperate in seeking a protective order, and disclose only the minimum required.</w:t>
      </w:r>
    </w:p>
    <w:p>
      <w:pPr>
        <w:spacing w:before="200"/>
      </w:pPr>
      <w:r>
        <w:rPr>
          <w:b/>
          <w:sz w:val="23"/>
        </w:rPr>
        <w:t>11. General</w:t>
      </w:r>
    </w:p>
    <w:p>
      <w:pPr>
        <w:spacing w:after="120"/>
      </w:pPr>
      <w:r>
        <w:t xml:space="preserve">11.1 </w:t>
      </w:r>
      <w:r>
        <w:rPr>
          <w:b/>
        </w:rPr>
        <w:t>Governing law and forum.</w:t>
      </w:r>
      <w:r>
        <w:t xml:space="preserve"> This Agreement is governed by the laws of the Province of British Columbia and the federal laws of Canada applicable therein. The Parties submit to the exclusive jurisdiction of the courts of British Columbia, sitting in Vancouver, without prejudice to either Party's right to seek injunctive relief in any jurisdiction.</w:t>
      </w:r>
    </w:p>
    <w:p>
      <w:pPr>
        <w:spacing w:after="120"/>
      </w:pPr>
      <w:r>
        <w:t xml:space="preserve">11.2 </w:t>
      </w:r>
      <w:r>
        <w:rPr>
          <w:b/>
        </w:rPr>
        <w:t>Assignment.</w:t>
      </w:r>
      <w:r>
        <w:t xml:space="preserve"> Chinchilla may assign this Agreement to any corporation that acquires the Chinchilla brand without the Supplier's consent. The Supplier may not assign this Agreement without Chinchilla's prior written consent.</w:t>
      </w:r>
    </w:p>
    <w:p>
      <w:pPr>
        <w:spacing w:after="120"/>
      </w:pPr>
      <w:r>
        <w:t xml:space="preserve">11.3 </w:t>
      </w:r>
      <w:r>
        <w:rPr>
          <w:b/>
        </w:rPr>
        <w:t>Entire agreement; amendments.</w:t>
      </w:r>
      <w:r>
        <w:t xml:space="preserve"> This Agreement is the entire agreement of the Parties on its subject matter and may only be amended in writing signed by both Parties.</w:t>
      </w:r>
    </w:p>
    <w:p>
      <w:pPr>
        <w:spacing w:after="120"/>
      </w:pPr>
      <w:r>
        <w:t xml:space="preserve">11.4 </w:t>
      </w:r>
      <w:r>
        <w:rPr>
          <w:b/>
        </w:rPr>
        <w:t>Severability; waiver.</w:t>
      </w:r>
      <w:r>
        <w:t xml:space="preserve"> If any provision is held unenforceable, the remainder continues in force. No waiver is effective unless in writing.</w:t>
      </w:r>
    </w:p>
    <w:p>
      <w:pPr>
        <w:spacing w:after="120"/>
      </w:pPr>
      <w:r>
        <w:t xml:space="preserve">11.5 </w:t>
      </w:r>
      <w:r>
        <w:rPr>
          <w:b/>
        </w:rPr>
        <w:t>Counterparts and electronic signature.</w:t>
      </w:r>
      <w:r>
        <w:t xml:space="preserve"> This Agreement may be signed in counterparts and by electronic signature, each of which is an original.</w:t>
      </w:r>
    </w:p>
    <w:p>
      <w:pPr>
        <w:spacing w:after="120"/>
      </w:pPr>
      <w:r>
        <w:t xml:space="preserve">11.6 </w:t>
      </w:r>
      <w:r>
        <w:rPr>
          <w:b/>
        </w:rPr>
        <w:t>Language.</w:t>
      </w:r>
      <w:r>
        <w:t xml:space="preserve"> This Agreement is drafted in English. A Spanish courtesy translation may be provided; the English version prevails.</w:t>
      </w:r>
    </w:p>
    <w:p>
      <w:pPr>
        <w:spacing w:after="120"/>
      </w:pPr>
      <w:r/>
      <w:r>
        <w:rPr>
          <w:b/>
        </w:rPr>
        <w:t>IN WITNESS WHEREOF</w:t>
      </w:r>
      <w:r>
        <w:t xml:space="preserve"> the Parties have executed this Agreement as of the Effective Date.</w:t>
      </w:r>
    </w:p>
    <w:tbl>
      <w:tblPr>
        <w:tblStyle w:val="TableGrid"/>
        <w:tblW w:type="auto" w:w="0"/>
        <w:tblLook w:firstColumn="1" w:firstRow="1" w:lastColumn="0" w:lastRow="0" w:noHBand="0" w:noVBand="1" w:val="04A0"/>
      </w:tblPr>
      <w:tblGrid>
        <w:gridCol w:w="4703"/>
        <w:gridCol w:w="4703"/>
      </w:tblGrid>
      <w:tr>
        <w:tc>
          <w:tcPr>
            <w:tcW w:type="dxa" w:w="4703"/>
          </w:tcPr>
          <w:p>
            <w:r>
              <w:rPr>
                <w:b/>
              </w:rPr>
            </w:r>
            <w:r>
              <w:rPr>
                <w:b/>
              </w:rPr>
              <w:t>CHINCHILLA</w:t>
            </w:r>
          </w:p>
        </w:tc>
        <w:tc>
          <w:tcPr>
            <w:tcW w:type="dxa" w:w="4703"/>
          </w:tcPr>
          <w:p>
            <w:r>
              <w:rPr>
                <w:b/>
              </w:rPr>
            </w:r>
            <w:r>
              <w:rPr>
                <w:b/>
              </w:rPr>
              <w:t>SUPPLIER</w:t>
            </w:r>
          </w:p>
        </w:tc>
      </w:tr>
      <w:tr>
        <w:tc>
          <w:tcPr>
            <w:tcW w:type="dxa" w:w="4703"/>
          </w:tcPr>
          <w:p>
            <w:r/>
            <w:r>
              <w:t>Signature: ______________________</w:t>
            </w:r>
          </w:p>
        </w:tc>
        <w:tc>
          <w:tcPr>
            <w:tcW w:type="dxa" w:w="4703"/>
          </w:tcPr>
          <w:p>
            <w:r/>
            <w:r>
              <w:t>Signature: ______________________</w:t>
            </w:r>
          </w:p>
        </w:tc>
      </w:tr>
      <w:tr>
        <w:tc>
          <w:tcPr>
            <w:tcW w:type="dxa" w:w="4703"/>
          </w:tcPr>
          <w:p>
            <w:r/>
            <w:r>
              <w:t>Name: Jorge Chinchilla</w:t>
            </w:r>
          </w:p>
        </w:tc>
        <w:tc>
          <w:tcPr>
            <w:tcW w:type="dxa" w:w="4703"/>
          </w:tcPr>
          <w:p>
            <w:r/>
            <w:r>
              <w:t>Name: ______________________</w:t>
            </w:r>
          </w:p>
        </w:tc>
      </w:tr>
      <w:tr>
        <w:tc>
          <w:tcPr>
            <w:tcW w:type="dxa" w:w="4703"/>
          </w:tcPr>
          <w:p>
            <w:r/>
            <w:r>
              <w:t>Title: Founder</w:t>
            </w:r>
          </w:p>
        </w:tc>
        <w:tc>
          <w:tcPr>
            <w:tcW w:type="dxa" w:w="4703"/>
          </w:tcPr>
          <w:p>
            <w:r/>
            <w:r>
              <w:t>Title: ______________________</w:t>
            </w:r>
          </w:p>
        </w:tc>
      </w:tr>
      <w:tr>
        <w:tc>
          <w:tcPr>
            <w:tcW w:type="dxa" w:w="4703"/>
          </w:tcPr>
          <w:p>
            <w:r/>
            <w:r>
              <w:t>Date: ______________________</w:t>
            </w:r>
          </w:p>
        </w:tc>
        <w:tc>
          <w:tcPr>
            <w:tcW w:type="dxa" w:w="4703"/>
          </w:tcPr>
          <w:p>
            <w:r/>
            <w:r>
              <w:t>Date: ______________________</w:t>
            </w:r>
          </w:p>
        </w:tc>
      </w:tr>
      <w:tr>
        <w:tc>
          <w:tcPr>
            <w:tcW w:type="dxa" w:w="4703"/>
          </w:tcPr>
          <w:p>
            <w:r/>
            <w:r>
              <w:t>Email: ______________________</w:t>
            </w:r>
          </w:p>
        </w:tc>
        <w:tc>
          <w:tcPr>
            <w:tcW w:type="dxa" w:w="4703"/>
          </w:tcPr>
          <w:p>
            <w:r/>
            <w:r>
              <w:t>Email: ______________________</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