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87528" cy="342452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87528" cy="3424525"/>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24003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29175" cy="24003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Memory</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4003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29175" cy="24003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400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29175" cy="24003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4003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29175" cy="2400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Engineer and Monitoring Engineer would be involved in the process of an emergency hotfix release to the production. </w:t>
              <w:br w:type="textWrapping"/>
              <w:t xml:space="preserve">Release Engineer is responsible for change management and code releases. He/She takes care of all code and environment dependencies to make sure deployment goes smooth. He/She takes care of communication as well.</w:t>
              <w:br w:type="textWrapping"/>
              <w:t xml:space="preserve">A monitoring engineer would take care of system stability with the help of dashboards and alerts using various metrics. He/She will notify the team if there are any red  flags and based on those inputs developers and the release engineer can decide action points.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Team Lead and System Architect should be invited to the meeting. The team lead manages the resources needed and can decide the scope and capacity required. Team lead has the vision to evaluate the project and time value.</w:t>
              <w:br w:type="textWrapping"/>
              <w:t xml:space="preserve">On the other hand, the System Architect is responsible for creating scalable infrastructure required for the new product. The system architect can evaluate the product build and technical resources required.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Monitoring Engineer would be the primary resource from the SRE team, who will help with monitoring system performance and raising flags in case of any issues. The monitoring engineer checks the dashboards which fetch the information about system health using various metrics. The monitoring engineer also makes sure of managing alert rules. Based on inputs from the monitoring engineer, corrective actions or rollback decisions are taken.</w:t>
            </w:r>
            <w:r w:rsidDel="00000000" w:rsidR="00000000" w:rsidRPr="00000000">
              <w:rPr>
                <w:rtl w:val="0"/>
              </w:rPr>
            </w:r>
          </w:p>
        </w:tc>
      </w:tr>
    </w:tbl>
    <w:p w:rsidR="00000000" w:rsidDel="00000000" w:rsidP="00000000" w:rsidRDefault="00000000" w:rsidRPr="00000000" w14:paraId="0000003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rPr>
          <w:rtl w:val="0"/>
        </w:rPr>
      </w:r>
    </w:p>
    <w:p w:rsidR="00000000" w:rsidDel="00000000" w:rsidP="00000000" w:rsidRDefault="00000000" w:rsidRPr="00000000" w14:paraId="00000034">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36703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896100" cy="3670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36703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896100" cy="3670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6896100" cy="34036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96100" cy="340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Between 15:25 to 15:30 the API endpoint is down, and after 15:35 the API becomes healthy again.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customers would not be able to access the website, they will get an error with http status code 500.</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alert can be configured to notify the SRE Team via emails or slack notifications about the API endpoint throwing error.</w:t>
            </w:r>
            <w:r w:rsidDel="00000000" w:rsidR="00000000" w:rsidRPr="00000000">
              <w:rPr>
                <w:rtl w:val="0"/>
              </w:rPr>
            </w:r>
          </w:p>
        </w:tc>
      </w:tr>
    </w:tbl>
    <w:p w:rsidR="00000000" w:rsidDel="00000000" w:rsidP="00000000" w:rsidRDefault="00000000" w:rsidRPr="00000000" w14:paraId="0000006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instance 10.0.0.68 has the increase in traffic, and approximately 5000 bytes it had received.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system architect and infrastructure engineer would be interested in this graph, because the alert threshold has been set to 3500 bytes and the network has recorded 2000 excessive bytes traffic. These two people will analyze the network activity and decide an action plan to handle it from the perspective of infrastructure and operations.</w:t>
            </w:r>
            <w:r w:rsidDel="00000000" w:rsidR="00000000" w:rsidRPr="00000000">
              <w:rPr>
                <w:rtl w:val="0"/>
              </w:rPr>
            </w:r>
          </w:p>
        </w:tc>
      </w:tr>
    </w:tbl>
    <w:p w:rsidR="00000000" w:rsidDel="00000000" w:rsidP="00000000" w:rsidRDefault="00000000" w:rsidRPr="00000000" w14:paraId="00000078">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79">
      <w:pPr>
        <w:pStyle w:val="Heading1"/>
        <w:pageBreakBefore w:val="0"/>
        <w:rPr/>
      </w:pPr>
      <w:bookmarkStart w:colFirst="0" w:colLast="0" w:name="_9z183mt07l5z" w:id="8"/>
      <w:bookmarkEnd w:id="8"/>
      <w:r w:rsidDel="00000000" w:rsidR="00000000" w:rsidRPr="00000000">
        <w:rPr>
          <w:rtl w:val="0"/>
        </w:rPr>
      </w:r>
    </w:p>
    <w:sectPr>
      <w:footerReference r:id="rId16"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5" name="image1.png"/>
          <a:graphic>
            <a:graphicData uri="http://schemas.openxmlformats.org/drawingml/2006/picture">
              <pic:pic>
                <pic:nvPicPr>
                  <pic:cNvPr descr="120-white.png" id="0" name="image1.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