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F-150 Conflict of Interest Declaration</w:t>
      </w:r>
    </w:p>
    <w:p>
      <w:r>
        <w:t xml:space="preserve">Form number: F-150. Governing policy: Code of Conduct (POL-CORP-001), section 6. Owner: Legal and Compliance (CC-5200). Form revision date: 15 January 2025. Version: 3.</w:t>
      </w:r>
    </w:p>
    <w:p>
      <w:pPr>
        <w:pStyle w:val="Heading2"/>
      </w:pPr>
      <w:r>
        <w:rPr>
          <w:b/>
          <w:sz w:val="26"/>
        </w:rPr>
        <w:t xml:space="preserve">When to complete this form</w:t>
      </w:r>
    </w:p>
    <w:p>
      <w:pPr>
        <w:pStyle w:val="ListParagraph"/>
      </w:pPr>
      <w:r>
        <w:t xml:space="preserve">• Every employee at G6 and above, every budget holder, and everyone in Procurement, Finance and Sales must submit an annual declaration by 30 April each year, even if the answer to every question is "none".</w:t>
      </w:r>
    </w:p>
    <w:p>
      <w:pPr>
        <w:pStyle w:val="ListParagraph"/>
      </w:pPr>
      <w:r>
        <w:t xml:space="preserve">• Any employee must submit an ad-hoc declaration within 30 days of a new conflict arising, for example starting a personal relationship with a colleague in your reporting line or a relative joining a supplier.</w:t>
      </w:r>
    </w:p>
    <w:p>
      <w:pPr>
        <w:pStyle w:val="ListParagraph"/>
      </w:pPr>
      <w:r>
        <w:t xml:space="preserve">• Submit online in Keel &gt; Compliance &gt; Declarations. The paper version below is for employees without Keel access, such as some production staff in Penang, and should be handed to the local People team.</w:t>
      </w:r>
    </w:p>
    <w:p>
      <w:pPr>
        <w:pStyle w:val="Heading2"/>
      </w:pPr>
      <w:r>
        <w:rPr>
          <w:b/>
          <w:sz w:val="26"/>
        </w:rPr>
        <w:t xml:space="preserve">Part A: Your details</w:t>
      </w:r>
    </w:p>
    <w:tbl>
      <w:tblPr>
        <w:tblStyle w:val="TableGrid"/>
        <w:tblW w:w="0" w:type="auto"/>
      </w:tblPr>
      <w:tr>
        <w:tc>
          <w:tcPr>
            <w:tcW w:w="0" w:type="auto"/>
          </w:tcPr>
          <w:p>
            <w:r>
              <w:rPr>
                <w:b/>
              </w:rPr>
              <w:t xml:space="preserve">Field</w:t>
            </w:r>
          </w:p>
        </w:tc>
        <w:tc>
          <w:tcPr>
            <w:tcW w:w="0" w:type="auto"/>
          </w:tcPr>
          <w:p>
            <w:r>
              <w:rPr>
                <w:b/>
              </w:rPr>
              <w:t xml:space="preserve">Entry</w:t>
            </w:r>
          </w:p>
        </w:tc>
      </w:tr>
      <w:tr>
        <w:tc>
          <w:tcPr>
            <w:tcW w:w="0" w:type="auto"/>
          </w:tcPr>
          <w:p>
            <w:r>
              <w:t xml:space="preserve">Full name</w:t>
            </w:r>
          </w:p>
        </w:tc>
        <w:tc>
          <w:tcPr>
            <w:tcW w:w="0" w:type="auto"/>
          </w:tcPr>
          <w:p>
            <w:r>
              <w:t xml:space="preserve"/>
            </w:r>
          </w:p>
        </w:tc>
      </w:tr>
      <w:tr>
        <w:tc>
          <w:tcPr>
            <w:tcW w:w="0" w:type="auto"/>
          </w:tcPr>
          <w:p>
            <w:r>
              <w:t xml:space="preserve">Employee number</w:t>
            </w:r>
          </w:p>
        </w:tc>
        <w:tc>
          <w:tcPr>
            <w:tcW w:w="0" w:type="auto"/>
          </w:tcPr>
          <w:p>
            <w:r>
              <w:t xml:space="preserve"/>
            </w:r>
          </w:p>
        </w:tc>
      </w:tr>
      <w:tr>
        <w:tc>
          <w:tcPr>
            <w:tcW w:w="0" w:type="auto"/>
          </w:tcPr>
          <w:p>
            <w:r>
              <w:t xml:space="preserve">Job title and grade</w:t>
            </w:r>
          </w:p>
        </w:tc>
        <w:tc>
          <w:tcPr>
            <w:tcW w:w="0" w:type="auto"/>
          </w:tcPr>
          <w:p>
            <w:r>
              <w:t xml:space="preserve"/>
            </w:r>
          </w:p>
        </w:tc>
      </w:tr>
      <w:tr>
        <w:tc>
          <w:tcPr>
            <w:tcW w:w="0" w:type="auto"/>
          </w:tcPr>
          <w:p>
            <w:r>
              <w:t xml:space="preserve">Site</w:t>
            </w:r>
          </w:p>
        </w:tc>
        <w:tc>
          <w:tcPr>
            <w:tcW w:w="0" w:type="auto"/>
          </w:tcPr>
          <w:p>
            <w:r>
              <w:t xml:space="preserve">Leeds / Rotterdam / Austin / Penang</w:t>
            </w:r>
          </w:p>
        </w:tc>
      </w:tr>
      <w:tr>
        <w:tc>
          <w:tcPr>
            <w:tcW w:w="0" w:type="auto"/>
          </w:tcPr>
          <w:p>
            <w:r>
              <w:t xml:space="preserve">Cost centre (e.g. CC-1210)</w:t>
            </w:r>
          </w:p>
        </w:tc>
        <w:tc>
          <w:tcPr>
            <w:tcW w:w="0" w:type="auto"/>
          </w:tcPr>
          <w:p>
            <w:r>
              <w:t xml:space="preserve"/>
            </w:r>
          </w:p>
        </w:tc>
      </w:tr>
      <w:tr>
        <w:tc>
          <w:tcPr>
            <w:tcW w:w="0" w:type="auto"/>
          </w:tcPr>
          <w:p>
            <w:r>
              <w:t xml:space="preserve">Line manager</w:t>
            </w:r>
          </w:p>
        </w:tc>
        <w:tc>
          <w:tcPr>
            <w:tcW w:w="0" w:type="auto"/>
          </w:tcPr>
          <w:p>
            <w:r>
              <w:t xml:space="preserve"/>
            </w:r>
          </w:p>
        </w:tc>
      </w:tr>
      <w:tr>
        <w:tc>
          <w:tcPr>
            <w:tcW w:w="0" w:type="auto"/>
          </w:tcPr>
          <w:p>
            <w:r>
              <w:t xml:space="preserve">Declaration type</w:t>
            </w:r>
          </w:p>
        </w:tc>
        <w:tc>
          <w:tcPr>
            <w:tcW w:w="0" w:type="auto"/>
          </w:tcPr>
          <w:p>
            <w:r>
              <w:t xml:space="preserve">Annual / Ad-hoc</w:t>
            </w:r>
          </w:p>
        </w:tc>
      </w:tr>
    </w:tbl>
    <w:p/>
    <w:p>
      <w:pPr>
        <w:pStyle w:val="Heading2"/>
      </w:pPr>
      <w:r>
        <w:rPr>
          <w:b/>
          <w:sz w:val="26"/>
        </w:rPr>
        <w:t xml:space="preserve">Part B: Declarations</w:t>
      </w:r>
    </w:p>
    <w:p>
      <w:r>
        <w:t xml:space="preserve">Answer each question and give details where the answer is yes.</w:t>
      </w:r>
    </w:p>
    <w:p>
      <w:pPr>
        <w:pStyle w:val="ListParagraph"/>
      </w:pPr>
      <w:r>
        <w:t xml:space="preserve">1. Do you have any paid or unpaid employment, directorship, consultancy or business outside Meridian?</w:t>
      </w:r>
    </w:p>
    <w:p>
      <w:pPr>
        <w:pStyle w:val="ListParagraph"/>
      </w:pPr>
      <w:r>
        <w:t xml:space="preserve">2. Do you, or does a close family member, hold more than 1% of the shares in any supplier, customer, distributor or competitor of Meridian?</w:t>
      </w:r>
    </w:p>
    <w:p>
      <w:pPr>
        <w:pStyle w:val="ListParagraph"/>
      </w:pPr>
      <w:r>
        <w:t xml:space="preserve">3. Does a close family member or partner work for a Meridian supplier, customer, distributor or competitor in a role you could influence or that could influence you?</w:t>
      </w:r>
    </w:p>
    <w:p>
      <w:pPr>
        <w:pStyle w:val="ListParagraph"/>
      </w:pPr>
      <w:r>
        <w:t xml:space="preserve">4. Are you in a close personal relationship with another Meridian employee who is in your reporting line or whose pay, performance or procurement decisions you affect?</w:t>
      </w:r>
    </w:p>
    <w:p>
      <w:pPr>
        <w:pStyle w:val="ListParagraph"/>
      </w:pPr>
      <w:r>
        <w:t xml:space="preserve">5. Do you hold any public office, or are you a trustee of an organisation that receives funding or donations from Meridian?</w:t>
      </w:r>
    </w:p>
    <w:p>
      <w:pPr>
        <w:pStyle w:val="ListParagraph"/>
      </w:pPr>
      <w:r>
        <w:t xml:space="preserve">6. Is there any other situation that could reasonably be seen as affecting your objectivity at work?</w:t>
      </w:r>
    </w:p>
    <w:p>
      <w:pPr>
        <w:pStyle w:val="Heading2"/>
      </w:pPr>
      <w:r>
        <w:rPr>
          <w:b/>
          <w:sz w:val="26"/>
        </w:rPr>
        <w:t xml:space="preserve">Part C: Guidance notes</w:t>
      </w:r>
    </w:p>
    <w:p>
      <w:pPr>
        <w:pStyle w:val="ListParagraph"/>
      </w:pPr>
      <w:r>
        <w:t xml:space="preserve">• Close family member means spouse, civil partner, partner, parent, child, sibling, or the spouse or partner of any of these.</w:t>
      </w:r>
    </w:p>
    <w:p>
      <w:pPr>
        <w:pStyle w:val="ListParagraph"/>
      </w:pPr>
      <w:r>
        <w:t xml:space="preserve">• Having a conflict is not in itself wrongdoing. Failing to declare it is.</w:t>
      </w:r>
    </w:p>
    <w:p>
      <w:pPr>
        <w:pStyle w:val="ListParagraph"/>
      </w:pPr>
      <w:r>
        <w:t xml:space="preserve">• Gifts and hospitality are not declared on this form. Record them using form F-140 in line with section 9 of the Code of Conduct.</w:t>
      </w:r>
    </w:p>
    <w:p>
      <w:pPr>
        <w:pStyle w:val="ListParagraph"/>
      </w:pPr>
      <w:r>
        <w:t xml:space="preserve">• If you are unsure whether something needs to be declared, declare it and let your manager and Compliance decide.</w:t>
      </w:r>
    </w:p>
    <w:p>
      <w:pPr>
        <w:pStyle w:val="Heading2"/>
      </w:pPr>
      <w:r>
        <w:rPr>
          <w:b/>
          <w:sz w:val="26"/>
        </w:rPr>
        <w:t xml:space="preserve">Part D: Manager review</w:t>
      </w:r>
    </w:p>
    <w:tbl>
      <w:tblPr>
        <w:tblStyle w:val="TableGrid"/>
        <w:tblW w:w="0" w:type="auto"/>
      </w:tblPr>
      <w:tr>
        <w:tc>
          <w:tcPr>
            <w:tcW w:w="0" w:type="auto"/>
          </w:tcPr>
          <w:p>
            <w:r>
              <w:rPr>
                <w:b/>
              </w:rPr>
              <w:t xml:space="preserve">Field</w:t>
            </w:r>
          </w:p>
        </w:tc>
        <w:tc>
          <w:tcPr>
            <w:tcW w:w="0" w:type="auto"/>
          </w:tcPr>
          <w:p>
            <w:r>
              <w:rPr>
                <w:b/>
              </w:rPr>
              <w:t xml:space="preserve">Entry</w:t>
            </w:r>
          </w:p>
        </w:tc>
      </w:tr>
      <w:tr>
        <w:tc>
          <w:tcPr>
            <w:tcW w:w="0" w:type="auto"/>
          </w:tcPr>
          <w:p>
            <w:r>
              <w:t xml:space="preserve">Conflict identified?</w:t>
            </w:r>
          </w:p>
        </w:tc>
        <w:tc>
          <w:tcPr>
            <w:tcW w:w="0" w:type="auto"/>
          </w:tcPr>
          <w:p>
            <w:r>
              <w:t xml:space="preserve">Yes / No</w:t>
            </w:r>
          </w:p>
        </w:tc>
      </w:tr>
      <w:tr>
        <w:tc>
          <w:tcPr>
            <w:tcW w:w="0" w:type="auto"/>
          </w:tcPr>
          <w:p>
            <w:r>
              <w:t xml:space="preserve">Mitigation agreed (e.g. removal from supplier selection)</w:t>
            </w:r>
          </w:p>
        </w:tc>
        <w:tc>
          <w:tcPr>
            <w:tcW w:w="0" w:type="auto"/>
          </w:tcPr>
          <w:p>
            <w:r>
              <w:t xml:space="preserve"/>
            </w:r>
          </w:p>
        </w:tc>
      </w:tr>
      <w:tr>
        <w:tc>
          <w:tcPr>
            <w:tcW w:w="0" w:type="auto"/>
          </w:tcPr>
          <w:p>
            <w:r>
              <w:t xml:space="preserve">Referred to Compliance?</w:t>
            </w:r>
          </w:p>
        </w:tc>
        <w:tc>
          <w:tcPr>
            <w:tcW w:w="0" w:type="auto"/>
          </w:tcPr>
          <w:p>
            <w:r>
              <w:t xml:space="preserve">Yes / No</w:t>
            </w:r>
          </w:p>
        </w:tc>
      </w:tr>
      <w:tr>
        <w:tc>
          <w:tcPr>
            <w:tcW w:w="0" w:type="auto"/>
          </w:tcPr>
          <w:p>
            <w:r>
              <w:t xml:space="preserve">Manager name and date</w:t>
            </w:r>
          </w:p>
        </w:tc>
        <w:tc>
          <w:tcPr>
            <w:tcW w:w="0" w:type="auto"/>
          </w:tcPr>
          <w:p>
            <w:r>
              <w:t xml:space="preserve"/>
            </w:r>
          </w:p>
        </w:tc>
      </w:tr>
    </w:tbl>
    <w:p/>
    <w:p>
      <w:r>
        <w:t xml:space="preserve">The manager must review ad-hoc declarations within 10 working days. Any declaration involving procurement decisions, a shareholding in a supplier, or a relationship within a reporting line must be referred to compliance@meridian-instruments.example.</w:t>
      </w:r>
    </w:p>
    <w:p>
      <w:pPr>
        <w:pStyle w:val="Heading2"/>
      </w:pPr>
      <w:r>
        <w:rPr>
          <w:b/>
          <w:sz w:val="26"/>
        </w:rPr>
        <w:t xml:space="preserve">Part E: Employee confirmation</w:t>
      </w:r>
    </w:p>
    <w:p>
      <w:r>
        <w:t xml:space="preserve">I confirm that the information given is complete and accurate, and that I will submit a new declaration within 30 days if my circumstances change.</w:t>
      </w:r>
    </w:p>
    <w:p>
      <w:r>
        <w:t xml:space="preserve">Signature and date:</w:t>
      </w:r>
    </w:p>
    <w:p>
      <w:pPr>
        <w:pStyle w:val="Heading2"/>
      </w:pPr>
      <w:r>
        <w:rPr>
          <w:b/>
          <w:sz w:val="26"/>
        </w:rPr>
        <w:t xml:space="preserve">Records</w:t>
      </w:r>
    </w:p>
    <w:p>
      <w:r>
        <w:t xml:space="preserve">Completed declarations are kept in Keel for 6 years after the declaration date, in line with the Records Retention Schedule (POL-CORP-008). Access is limited to the employee, their line manager, the People team and Legal and Compliance.</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F-150 Conflict of Interest Declaration</dc:title>
  <dc:creator>Meridian Instruments</dc:creator>
</cp:coreProperties>
</file>