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Heading1"/>
      </w:pPr>
      <w:r>
        <w:rPr>
          <w:b/>
          <w:sz w:val="32"/>
        </w:rPr>
        <w:t xml:space="preserve">Data Protection Policy (Employee and Candidate Data)</w:t>
      </w:r>
    </w:p>
    <w:p>
      <w:r>
        <w:t xml:space="preserve">Policy code: POL-CORP-006. Owner: Data Protection Officer, Legal and Compliance (CC-5200). Effective date: 1 November 2024. Version: 1. Approved by: Priya Raman, Chief Executive Officer, and Hannah Brightwell, General Counsel.</w:t>
      </w:r>
    </w:p>
    <w:p>
      <w:pPr>
        <w:pStyle w:val="Heading2"/>
      </w:pPr>
      <w:r>
        <w:rPr>
          <w:b/>
          <w:sz w:val="26"/>
        </w:rPr>
        <w:t xml:space="preserve">1. Purpose and scope</w:t>
      </w:r>
    </w:p>
    <w:p>
      <w:r>
        <w:t xml:space="preserve">1.1 This policy sets out how Meridian Instruments Ltd and its subsidiaries in the Netherlands, the United States and Malaysia ("Meridian", "we") collect, use, store, share and dispose of personal data about employees, workers, contractors, interns, job applicants and former employees.</w:t>
      </w:r>
    </w:p>
    <w:p>
      <w:r>
        <w:t xml:space="preserve">1.2 It applies to every person who handles such data on Meridian's behalf, at every site: Leeds, Rotterdam, Austin and Penang. That includes line managers, People team members, payroll and finance staff, IT administrators, recruiters, and any third party processing data under contract with us.</w:t>
      </w:r>
    </w:p>
    <w:p>
      <w:r>
        <w:t xml:space="preserve">1.3 Customer and product data (for example, telemetry collected through TesseraCloud) is governed by separate product privacy documentation owned by the CTO's organisation. Where an employee's own personal data appears in product systems, for example as a named administrator of a TesseraCloud tenant, this policy applies to that data.</w:t>
      </w:r>
    </w:p>
    <w:p>
      <w:r>
        <w:t xml:space="preserve">1.4 This policy should be read with the Code of Conduct (POL-CORP-001), the Records Retention Schedule (POL-CORP-008), the Recruitment and Selection Manual (POL-HR-052) and the IT acceptable use and information security policies published by IT Security.</w:t>
      </w:r>
    </w:p>
    <w:p>
      <w:pPr>
        <w:pStyle w:val="Heading2"/>
      </w:pPr>
      <w:r>
        <w:rPr>
          <w:b/>
          <w:sz w:val="26"/>
        </w:rPr>
        <w:t xml:space="preserve">2. Legal framework</w:t>
      </w:r>
    </w:p>
    <w:p>
      <w:r>
        <w:t xml:space="preserve">2.1 Meridian operates under several data protection regimes. The United Kingdom site is subject to the UK GDPR and the Data Protection Act 2018. The Rotterdam site is subject to the EU General Data Protection Regulation and the Dutch implementation act (Uitvoeringswet AVG). The Penang site is subject to the Malaysian Personal Data Protection Act 2010, as amended in 2024. The Austin site is subject to applicable US federal and Texas law, including rules on the protection of Social Security numbers and biometric identifiers.</w:t>
      </w:r>
    </w:p>
    <w:p>
      <w:r>
        <w:t xml:space="preserve">2.2 Where local law sets a higher standard than this policy, local law prevails. Where this policy sets a higher standard than local law, this policy applies. In practice, Meridian applies the GDPR standard as its group-wide baseline for employee data, including at the Austin and Penang sites.</w:t>
      </w:r>
    </w:p>
    <w:p>
      <w:r>
        <w:t xml:space="preserve">2.3 Meridian Instruments Ltd is registered with the UK Information Commissioner's Office. The Rotterdam entity reports to the Autoriteit Persoonsgegevens, and the Penang entity is registered with the Malaysian Personal Data Protection Commissioner.</w:t>
      </w:r>
    </w:p>
    <w:p>
      <w:pPr>
        <w:pStyle w:val="Heading2"/>
      </w:pPr>
      <w:r>
        <w:rPr>
          <w:b/>
          <w:sz w:val="26"/>
        </w:rPr>
        <w:t xml:space="preserve">3. Roles and responsibilities</w:t>
      </w:r>
    </w:p>
    <w:p>
      <w:r>
        <w:t xml:space="preserve">3.1 The Data Protection Officer (DPO), Dr Ruth Adeyemi, is responsible for monitoring compliance with this policy, advising on data protection impact assessments, acting as the contact point for regulators and handling escalated data subject requests. The DPO can be reached at dpo@meridian-instruments.example.</w:t>
      </w:r>
    </w:p>
    <w:p>
      <w:r>
        <w:t xml:space="preserve">3.2 In the Netherlands, the privacy lead, Sanne de Vries, supports the DPO on local matters, including works council consultation on employee monitoring and Dutch-language correspondence with the Autoriteit Persoonsgegevens.</w:t>
      </w:r>
    </w:p>
    <w:p>
      <w:r>
        <w:t xml:space="preserve">3.3 The Head of IT Security, Mei-Ling Tan, is responsible for the technical and organisational security measures that protect personal data held in Meridian systems, including Keel (HR portal), Atlas (ERP), Beacon (IT service desk) and Forge (CI/CD), and for leading the technical response to personal data breaches.</w:t>
      </w:r>
    </w:p>
    <w:p>
      <w:r>
        <w:t xml:space="preserve">3.4 The Chief People Officer, Adaeze Okafor, is the business owner for employee and candidate data held in Keel and in recruitment systems. The CFO, Tomasz Wierzbicki, is the business owner for payroll, expense and pension data held in Atlas and by payroll providers.</w:t>
      </w:r>
    </w:p>
    <w:p>
      <w:r>
        <w:t xml:space="preserve">3.5 Line managers must only access data about their own team members that they need for a legitimate management purpose, must keep notes of one-to-ones, performance reviews and absence discussions factual and professional, and must store them in Keel rather than on personal drives or in email.</w:t>
      </w:r>
    </w:p>
    <w:p>
      <w:r>
        <w:t xml:space="preserve">3.6 Every employee is responsible for handling personal data in line with this policy and for completing the annual data protection training module.</w:t>
      </w:r>
    </w:p>
    <w:p>
      <w:pPr>
        <w:pStyle w:val="Heading2"/>
      </w:pPr>
      <w:r>
        <w:rPr>
          <w:b/>
          <w:sz w:val="26"/>
        </w:rPr>
        <w:t xml:space="preserve">4. Principles</w:t>
      </w:r>
    </w:p>
    <w:p>
      <w:r>
        <w:t xml:space="preserve">4.1 Meridian processes personal data in line with the following principles. Personal data must be:</w:t>
      </w:r>
    </w:p>
    <w:p>
      <w:pPr>
        <w:pStyle w:val="ListParagraph"/>
      </w:pPr>
      <w:r>
        <w:t xml:space="preserve">1. processed lawfully, fairly and transparently;</w:t>
      </w:r>
    </w:p>
    <w:p>
      <w:pPr>
        <w:pStyle w:val="ListParagraph"/>
      </w:pPr>
      <w:r>
        <w:t xml:space="preserve">2. collected for specified, explicit and legitimate purposes and not further processed in a way incompatible with those purposes;</w:t>
      </w:r>
    </w:p>
    <w:p>
      <w:pPr>
        <w:pStyle w:val="ListParagraph"/>
      </w:pPr>
      <w:r>
        <w:t xml:space="preserve">3. adequate, relevant and limited to what is necessary;</w:t>
      </w:r>
    </w:p>
    <w:p>
      <w:pPr>
        <w:pStyle w:val="ListParagraph"/>
      </w:pPr>
      <w:r>
        <w:t xml:space="preserve">4. accurate and, where necessary, kept up to date;</w:t>
      </w:r>
    </w:p>
    <w:p>
      <w:pPr>
        <w:pStyle w:val="ListParagraph"/>
      </w:pPr>
      <w:r>
        <w:t xml:space="preserve">5. kept in a form that identifies individuals for no longer than necessary;</w:t>
      </w:r>
    </w:p>
    <w:p>
      <w:pPr>
        <w:pStyle w:val="ListParagraph"/>
      </w:pPr>
      <w:r>
        <w:t xml:space="preserve">6. processed securely, protecting against unauthorised or unlawful processing and accidental loss, destruction or damage.</w:t>
      </w:r>
    </w:p>
    <w:p>
      <w:r>
        <w:t xml:space="preserve">4.2 Meridian must be able to demonstrate compliance with these principles. We do this through the record of processing activities maintained by the DPO, privacy notices, data protection impact assessments, processor contracts and training records.</w:t>
      </w:r>
    </w:p>
    <w:p>
      <w:pPr>
        <w:pStyle w:val="Heading2"/>
      </w:pPr>
      <w:r>
        <w:rPr>
          <w:b/>
          <w:sz w:val="26"/>
        </w:rPr>
        <w:t xml:space="preserve">5. Lawful bases and categories of data</w:t>
      </w:r>
    </w:p>
    <w:p>
      <w:r>
        <w:t xml:space="preserve">5.1 Most employee data is processed because it is necessary to perform the employment contract (for example, paying salary and administering leave) or to comply with a legal obligation (for example, tax reporting, right-to-work checks and statutory sick pay).</w:t>
      </w:r>
    </w:p>
    <w:p>
      <w:r>
        <w:t xml:space="preserve">5.2 Some processing relies on Meridian's legitimate interests, such as maintaining an internal directory, running engagement surveys, securing our premises and systems, and defending legal claims. Legitimate interests are only relied on after a balancing assessment recorded by the DPO.</w:t>
      </w:r>
    </w:p>
    <w:p>
      <w:r>
        <w:t xml:space="preserve">5.3 Consent is rarely an appropriate basis in employment, because of the imbalance of power between employer and employee. It is used only where the individual has a genuine free choice, for example featuring in marketing photographs or retaining a candidate's CV for future vacancies.</w:t>
      </w:r>
    </w:p>
    <w:p>
      <w:r>
        <w:t xml:space="preserve">5.4 Special category data, such as health information, trade union membership, ethnic origin, religious belief and sexual orientation, is handled with additional safeguards. Health information from fit notes, occupational health reports and self-certification forms is stored in the restricted Absence area of Keel and is visible only to the People team and, in summary form, to the employee's line manager. Diversity monitoring data is collected on a voluntary basis and reported only in aggregate, with no category reported where fewer than ten people would be included.</w:t>
      </w:r>
    </w:p>
    <w:p>
      <w:r>
        <w:t xml:space="preserve">5.5 Criminal records information is only collected where a role requires it and where local law permits, as set out in the Recruitment and Selection Manual (POL-HR-052).</w:t>
      </w:r>
    </w:p>
    <w:p>
      <w:r>
        <w:t xml:space="preserve">5.6 The main categories of employee and candidate data, the systems that hold them and the usual lawful basis are summarised below. The full record of processing activities is maintained by the DPO.</w:t>
      </w:r>
    </w:p>
    <w:tbl>
      <w:tblPr>
        <w:tblStyle w:val="TableGrid"/>
        <w:tblW w:w="0" w:type="auto"/>
      </w:tblPr>
      <w:tr>
        <w:tc>
          <w:tcPr>
            <w:tcW w:w="0" w:type="auto"/>
          </w:tcPr>
          <w:p>
            <w:r>
              <w:rPr>
                <w:b/>
              </w:rPr>
              <w:t xml:space="preserve">Data category</w:t>
            </w:r>
          </w:p>
        </w:tc>
        <w:tc>
          <w:tcPr>
            <w:tcW w:w="0" w:type="auto"/>
          </w:tcPr>
          <w:p>
            <w:r>
              <w:rPr>
                <w:b/>
              </w:rPr>
              <w:t xml:space="preserve">Main system</w:t>
            </w:r>
          </w:p>
        </w:tc>
        <w:tc>
          <w:tcPr>
            <w:tcW w:w="0" w:type="auto"/>
          </w:tcPr>
          <w:p>
            <w:r>
              <w:rPr>
                <w:b/>
              </w:rPr>
              <w:t xml:space="preserve">Usual lawful basis</w:t>
            </w:r>
          </w:p>
        </w:tc>
      </w:tr>
      <w:tr>
        <w:tc>
          <w:tcPr>
            <w:tcW w:w="0" w:type="auto"/>
          </w:tcPr>
          <w:p>
            <w:r>
              <w:t xml:space="preserve">Contact and identity details</w:t>
            </w:r>
          </w:p>
        </w:tc>
        <w:tc>
          <w:tcPr>
            <w:tcW w:w="0" w:type="auto"/>
          </w:tcPr>
          <w:p>
            <w:r>
              <w:t xml:space="preserve">Keel</w:t>
            </w:r>
          </w:p>
        </w:tc>
        <w:tc>
          <w:tcPr>
            <w:tcW w:w="0" w:type="auto"/>
          </w:tcPr>
          <w:p>
            <w:r>
              <w:t xml:space="preserve">contract</w:t>
            </w:r>
          </w:p>
        </w:tc>
      </w:tr>
      <w:tr>
        <w:tc>
          <w:tcPr>
            <w:tcW w:w="0" w:type="auto"/>
          </w:tcPr>
          <w:p>
            <w:r>
              <w:t xml:space="preserve">Bank details and salary</w:t>
            </w:r>
          </w:p>
        </w:tc>
        <w:tc>
          <w:tcPr>
            <w:tcW w:w="0" w:type="auto"/>
          </w:tcPr>
          <w:p>
            <w:r>
              <w:t xml:space="preserve">Keel, Atlas</w:t>
            </w:r>
          </w:p>
        </w:tc>
        <w:tc>
          <w:tcPr>
            <w:tcW w:w="0" w:type="auto"/>
          </w:tcPr>
          <w:p>
            <w:r>
              <w:t xml:space="preserve">contract</w:t>
            </w:r>
          </w:p>
        </w:tc>
      </w:tr>
      <w:tr>
        <w:tc>
          <w:tcPr>
            <w:tcW w:w="0" w:type="auto"/>
          </w:tcPr>
          <w:p>
            <w:r>
              <w:t xml:space="preserve">Tax and social security numbers</w:t>
            </w:r>
          </w:p>
        </w:tc>
        <w:tc>
          <w:tcPr>
            <w:tcW w:w="0" w:type="auto"/>
          </w:tcPr>
          <w:p>
            <w:r>
              <w:t xml:space="preserve">Keel, payroll provider</w:t>
            </w:r>
          </w:p>
        </w:tc>
        <w:tc>
          <w:tcPr>
            <w:tcW w:w="0" w:type="auto"/>
          </w:tcPr>
          <w:p>
            <w:r>
              <w:t xml:space="preserve">legal obligation</w:t>
            </w:r>
          </w:p>
        </w:tc>
      </w:tr>
      <w:tr>
        <w:tc>
          <w:tcPr>
            <w:tcW w:w="0" w:type="auto"/>
          </w:tcPr>
          <w:p>
            <w:r>
              <w:t xml:space="preserve">Right-to-work documents</w:t>
            </w:r>
          </w:p>
        </w:tc>
        <w:tc>
          <w:tcPr>
            <w:tcW w:w="0" w:type="auto"/>
          </w:tcPr>
          <w:p>
            <w:r>
              <w:t xml:space="preserve">Keel</w:t>
            </w:r>
          </w:p>
        </w:tc>
        <w:tc>
          <w:tcPr>
            <w:tcW w:w="0" w:type="auto"/>
          </w:tcPr>
          <w:p>
            <w:r>
              <w:t xml:space="preserve">legal obligation</w:t>
            </w:r>
          </w:p>
        </w:tc>
      </w:tr>
      <w:tr>
        <w:tc>
          <w:tcPr>
            <w:tcW w:w="0" w:type="auto"/>
          </w:tcPr>
          <w:p>
            <w:r>
              <w:t xml:space="preserve">Absence and fit notes</w:t>
            </w:r>
          </w:p>
        </w:tc>
        <w:tc>
          <w:tcPr>
            <w:tcW w:w="0" w:type="auto"/>
          </w:tcPr>
          <w:p>
            <w:r>
              <w:t xml:space="preserve">Keel (restricted)</w:t>
            </w:r>
          </w:p>
        </w:tc>
        <w:tc>
          <w:tcPr>
            <w:tcW w:w="0" w:type="auto"/>
          </w:tcPr>
          <w:p>
            <w:r>
              <w:t xml:space="preserve">legal obligation</w:t>
            </w:r>
          </w:p>
        </w:tc>
      </w:tr>
      <w:tr>
        <w:tc>
          <w:tcPr>
            <w:tcW w:w="0" w:type="auto"/>
          </w:tcPr>
          <w:p>
            <w:r>
              <w:t xml:space="preserve">Performance reviews</w:t>
            </w:r>
          </w:p>
        </w:tc>
        <w:tc>
          <w:tcPr>
            <w:tcW w:w="0" w:type="auto"/>
          </w:tcPr>
          <w:p>
            <w:r>
              <w:t xml:space="preserve">Keel</w:t>
            </w:r>
          </w:p>
        </w:tc>
        <w:tc>
          <w:tcPr>
            <w:tcW w:w="0" w:type="auto"/>
          </w:tcPr>
          <w:p>
            <w:r>
              <w:t xml:space="preserve">legitimate interests</w:t>
            </w:r>
          </w:p>
        </w:tc>
      </w:tr>
      <w:tr>
        <w:tc>
          <w:tcPr>
            <w:tcW w:w="0" w:type="auto"/>
          </w:tcPr>
          <w:p>
            <w:r>
              <w:t xml:space="preserve">Expense claims and card data</w:t>
            </w:r>
          </w:p>
        </w:tc>
        <w:tc>
          <w:tcPr>
            <w:tcW w:w="0" w:type="auto"/>
          </w:tcPr>
          <w:p>
            <w:r>
              <w:t xml:space="preserve">Atlas</w:t>
            </w:r>
          </w:p>
        </w:tc>
        <w:tc>
          <w:tcPr>
            <w:tcW w:w="0" w:type="auto"/>
          </w:tcPr>
          <w:p>
            <w:r>
              <w:t xml:space="preserve">contract</w:t>
            </w:r>
          </w:p>
        </w:tc>
      </w:tr>
      <w:tr>
        <w:tc>
          <w:tcPr>
            <w:tcW w:w="0" w:type="auto"/>
          </w:tcPr>
          <w:p>
            <w:r>
              <w:t xml:space="preserve">Travel bookings and passport details</w:t>
            </w:r>
          </w:p>
        </w:tc>
        <w:tc>
          <w:tcPr>
            <w:tcW w:w="0" w:type="auto"/>
          </w:tcPr>
          <w:p>
            <w:r>
              <w:t xml:space="preserve">Atlas, travel agency</w:t>
            </w:r>
          </w:p>
        </w:tc>
        <w:tc>
          <w:tcPr>
            <w:tcW w:w="0" w:type="auto"/>
          </w:tcPr>
          <w:p>
            <w:r>
              <w:t xml:space="preserve">contract</w:t>
            </w:r>
          </w:p>
        </w:tc>
      </w:tr>
      <w:tr>
        <w:tc>
          <w:tcPr>
            <w:tcW w:w="0" w:type="auto"/>
          </w:tcPr>
          <w:p>
            <w:r>
              <w:t xml:space="preserve">Badge access logs</w:t>
            </w:r>
          </w:p>
        </w:tc>
        <w:tc>
          <w:tcPr>
            <w:tcW w:w="0" w:type="auto"/>
          </w:tcPr>
          <w:p>
            <w:r>
              <w:t xml:space="preserve">site access system</w:t>
            </w:r>
          </w:p>
        </w:tc>
        <w:tc>
          <w:tcPr>
            <w:tcW w:w="0" w:type="auto"/>
          </w:tcPr>
          <w:p>
            <w:r>
              <w:t xml:space="preserve">legitimate interests</w:t>
            </w:r>
          </w:p>
        </w:tc>
      </w:tr>
      <w:tr>
        <w:tc>
          <w:tcPr>
            <w:tcW w:w="0" w:type="auto"/>
          </w:tcPr>
          <w:p>
            <w:r>
              <w:t xml:space="preserve">CVs and interview notes</w:t>
            </w:r>
          </w:p>
        </w:tc>
        <w:tc>
          <w:tcPr>
            <w:tcW w:w="0" w:type="auto"/>
          </w:tcPr>
          <w:p>
            <w:r>
              <w:t xml:space="preserve">Keel Recruit</w:t>
            </w:r>
          </w:p>
        </w:tc>
        <w:tc>
          <w:tcPr>
            <w:tcW w:w="0" w:type="auto"/>
          </w:tcPr>
          <w:p>
            <w:r>
              <w:t xml:space="preserve">legitimate interests</w:t>
            </w:r>
          </w:p>
        </w:tc>
      </w:tr>
      <w:tr>
        <w:tc>
          <w:tcPr>
            <w:tcW w:w="0" w:type="auto"/>
          </w:tcPr>
          <w:p>
            <w:r>
              <w:t xml:space="preserve">Diversity monitoring</w:t>
            </w:r>
          </w:p>
        </w:tc>
        <w:tc>
          <w:tcPr>
            <w:tcW w:w="0" w:type="auto"/>
          </w:tcPr>
          <w:p>
            <w:r>
              <w:t xml:space="preserve">Keel (restricted)</w:t>
            </w:r>
          </w:p>
        </w:tc>
        <w:tc>
          <w:tcPr>
            <w:tcW w:w="0" w:type="auto"/>
          </w:tcPr>
          <w:p>
            <w:r>
              <w:t xml:space="preserve">explicit consent</w:t>
            </w:r>
          </w:p>
        </w:tc>
      </w:tr>
      <w:tr>
        <w:tc>
          <w:tcPr>
            <w:tcW w:w="0" w:type="auto"/>
          </w:tcPr>
          <w:p>
            <w:r>
              <w:t xml:space="preserve">Pension and benefits elections</w:t>
            </w:r>
          </w:p>
        </w:tc>
        <w:tc>
          <w:tcPr>
            <w:tcW w:w="0" w:type="auto"/>
          </w:tcPr>
          <w:p>
            <w:r>
              <w:t xml:space="preserve">Keel, providers</w:t>
            </w:r>
          </w:p>
        </w:tc>
        <w:tc>
          <w:tcPr>
            <w:tcW w:w="0" w:type="auto"/>
          </w:tcPr>
          <w:p>
            <w:r>
              <w:t xml:space="preserve">contract</w:t>
            </w:r>
          </w:p>
        </w:tc>
      </w:tr>
    </w:tbl>
    <w:p/>
    <w:p>
      <w:r>
        <w:t xml:space="preserve">5.7 Privacy notices explaining this processing are published in Keel under Keel &gt; Documents &gt; Privacy Notices for employees, and on the careers site for candidates. A country-specific supplement is provided for each of the Netherlands, the United States and Malaysia. New starters are directed to the employee privacy notice during onboarding, and candidates receive a link to the candidate privacy notice when they apply.</w:t>
      </w:r>
    </w:p>
    <w:p>
      <w:r>
        <w:t xml:space="preserve">5.8 Meridian does not sell employee or candidate personal data, and does not use it for direct marketing of third-party products. Employee names and business contact details may appear in sales proposals, product documentation and customer portals where this is part of the employee's role.</w:t>
      </w:r>
    </w:p>
    <w:p>
      <w:pPr>
        <w:pStyle w:val="Heading2"/>
      </w:pPr>
      <w:r>
        <w:rPr>
          <w:b/>
          <w:sz w:val="26"/>
        </w:rPr>
        <w:t xml:space="preserve">6. Privacy by design and impact assessments</w:t>
      </w:r>
    </w:p>
    <w:p>
      <w:r>
        <w:t xml:space="preserve">6.1 Any new system, process or change that involves employee or candidate personal data must consider data protection from the outset. The project owner must contact the DPO at the design stage, not after procurement.</w:t>
      </w:r>
    </w:p>
    <w:p>
      <w:r>
        <w:t xml:space="preserve">6.2 New HR systems and changes to existing ones are raised as a change request in Beacon, where the "Personal data involved?" field must be completed. A "yes" answer routes the request to the DPO for review.</w:t>
      </w:r>
    </w:p>
    <w:p>
      <w:r>
        <w:t xml:space="preserve">6.3 A data protection impact assessment (DPIA) is required before Meridian introduces any new HR monitoring tool, including tools that track keystrokes, application usage, location, badge access patterns or productivity metrics. The DPIA must be signed off by the DPO before the tool is purchased or switched on. In the Netherlands, the privacy lead will also confirm whether works council consent is required.</w:t>
      </w:r>
    </w:p>
    <w:p>
      <w:r>
        <w:t xml:space="preserve">6.4 A DPIA is also required for any large-scale processing of special category data, for any use of automated decision-making in recruitment or performance management, and for any new transfer of employee data to a country outside the United Kingdom and European Economic Area.</w:t>
      </w:r>
    </w:p>
    <w:p>
      <w:r>
        <w:t xml:space="preserve">6.5 Procurement of any service that will process employee personal data must follow the Procurement Manual (POL-FIN-012). The supplier onboarding request must be accompanied by the DPO's confirmation that a compliant data processing agreement is in place.</w:t>
      </w:r>
    </w:p>
    <w:p>
      <w:pPr>
        <w:pStyle w:val="Heading2"/>
      </w:pPr>
      <w:r>
        <w:rPr>
          <w:b/>
          <w:sz w:val="26"/>
        </w:rPr>
        <w:t xml:space="preserve">7. Rights of individuals</w:t>
      </w:r>
    </w:p>
    <w:p>
      <w:r>
        <w:t xml:space="preserve">7.1 Individuals have the right to access the personal data Meridian holds about them (a data subject access request, or DSAR). For UK and NL data subjects, Meridian must respond within one calendar month of receiving the request, extendable by two months where requests are complex or numerous, in which case the individual must be told of the extension within the first month. For Malaysian data subjects, the Personal Data Protection Act requires a response within 21 days. For US employees, Meridian applies the one calendar month standard as good practice.</w:t>
      </w:r>
    </w:p>
    <w:p>
      <w:r>
        <w:t xml:space="preserve">7.2 A DSAR does not need to be in any particular form or to mention data protection. Any employee who receives something that could be a DSAR, whether by email, letter, Keel message or verbally, must forward it to dpo@meridian-instruments.example on the same working day.</w:t>
      </w:r>
    </w:p>
    <w:p>
      <w:r>
        <w:t xml:space="preserve">7.3 Individuals also have the right to have inaccurate data corrected, to request erasure in certain circumstances, to restrict or object to processing, and to data portability where processing is based on consent or contract and carried out by automated means. Employees can correct most of their own details directly in Keel, for example under Keel &gt; My Profile &gt; Bank Details, and should use that route before raising a formal request.</w:t>
      </w:r>
    </w:p>
    <w:p>
      <w:r>
        <w:t xml:space="preserve">7.4 No fee is charged for dealing with a request unless it is manifestly unfounded or excessive, as determined by the DPO.</w:t>
      </w:r>
    </w:p>
    <w:p>
      <w:r>
        <w:t xml:space="preserve">7.5 Before disclosing data, the People team must verify the identity of the requester and must redact personal data about third parties unless the third party has consented or it is reasonable to disclose without consent.</w:t>
      </w:r>
    </w:p>
    <w:p>
      <w:r>
        <w:t xml:space="preserve">7.6 Requests for employment references from former employees' new employers are not DSARs. References are given only by the People team, confirm dates of employment and job title, and include further information only with the former employee's written agreement.</w:t>
      </w:r>
    </w:p>
    <w:p>
      <w:r>
        <w:t xml:space="preserve">7.7 The DPO keeps a log of every DSAR and rights request, including the date received, the deadline, any extension and the date of response. The log is reviewed at the quarterly privacy steering meeting chaired by General Counsel.</w:t>
      </w:r>
    </w:p>
    <w:p>
      <w:pPr>
        <w:pStyle w:val="Heading2"/>
      </w:pPr>
      <w:r>
        <w:rPr>
          <w:b/>
          <w:sz w:val="26"/>
        </w:rPr>
        <w:t xml:space="preserve">8. Personal data breaches</w:t>
      </w:r>
    </w:p>
    <w:p>
      <w:r>
        <w:t xml:space="preserve">8.1 A personal data breach is any breach of security leading to the accidental or unlawful destruction, loss, alteration, unauthorised disclosure of, or access to, personal data. Examples include an email with payslip data sent to the wrong person, a lost unencrypted USB stick, a Keel export left on a shared drive, or a compromised account.</w:t>
      </w:r>
    </w:p>
    <w:p>
      <w:r>
        <w:t xml:space="preserve">8.2 Any employee who discovers or suspects a personal data breach must report it internally within 2 hours of becoming aware of it, by raising a ticket in Beacon under the category "Security Incident – Personal Data". Out of hours, the ticket must still be raised; the IT Security on-call rota monitors this category at all times. Do not try to investigate or contain the breach yourself beyond immediate, obvious steps such as recalling an email.</w:t>
      </w:r>
    </w:p>
    <w:p>
      <w:r>
        <w:t xml:space="preserve">8.3 IT Security and the DPO will jointly assess the breach. Where a breach is likely to result in a risk to individuals' rights and freedoms, Meridian must notify the relevant regulator within 72 hours of becoming aware of it. Where the risk is high, the affected individuals must also be told without undue delay.</w:t>
      </w:r>
    </w:p>
    <w:p>
      <w:r>
        <w:t xml:space="preserve">8.4 Every breach, whether or not reported to a regulator, is recorded in the breach log held by the DPO, with the facts, effects and remedial action taken.</w:t>
      </w:r>
    </w:p>
    <w:p>
      <w:r>
        <w:t xml:space="preserve">8.5 Failure to report a known breach is a disciplinary matter under the Disciplinary and Grievance Procedure (POL-HR-040).</w:t>
      </w:r>
    </w:p>
    <w:p>
      <w:pPr>
        <w:pStyle w:val="Heading2"/>
      </w:pPr>
      <w:r>
        <w:rPr>
          <w:b/>
          <w:sz w:val="26"/>
        </w:rPr>
        <w:t xml:space="preserve">9. Sharing and international transfers</w:t>
      </w:r>
    </w:p>
    <w:p>
      <w:r>
        <w:t xml:space="preserve">9.1 Personal data may be shared within the Meridian group where necessary, for example when a manager in Leeds manages an engineer in Austin, or when group payroll reporting is consolidated at headquarters. Access is role-based and configured in Keel.</w:t>
      </w:r>
    </w:p>
    <w:p>
      <w:r>
        <w:t xml:space="preserve">9.2 Personal data is shared with third-party processors, including payroll providers, pension providers, benefits administrators, the employee assistance programme provider, the travel management company and background screening providers, only under a written contract that meets data protection requirements.</w:t>
      </w:r>
    </w:p>
    <w:p>
      <w:r>
        <w:t xml:space="preserve">9.3 Disclosures to public authorities, such as tax authorities or the police, must be approved by the DPO or General Counsel unless required by a routine statutory process such as payroll tax reporting.</w:t>
      </w:r>
    </w:p>
    <w:p>
      <w:r>
        <w:t xml:space="preserve">9.4 Transfers of employee data from the United Kingdom and the Netherlands to Malaysia and the United States are covered by the UK International Data Transfer Agreement (IDTA) and the EU Standard Contractual Clauses, supported by transfer risk assessments. Transfers from Malaysia follow the cross-border transfer conditions of the Personal Data Protection Act. The DPO maintains the intra-group data transfer agreement signed by all four entities.</w:t>
      </w:r>
    </w:p>
    <w:p>
      <w:r>
        <w:t xml:space="preserve">9.5 Employees must not send personal data to personal email accounts, personal cloud storage or messaging apps that are not approved by IT.</w:t>
      </w:r>
    </w:p>
    <w:p>
      <w:pPr>
        <w:pStyle w:val="Heading2"/>
      </w:pPr>
      <w:r>
        <w:rPr>
          <w:b/>
          <w:sz w:val="26"/>
        </w:rPr>
        <w:t xml:space="preserve">10. Security of personal data</w:t>
      </w:r>
    </w:p>
    <w:p>
      <w:r>
        <w:t xml:space="preserve">10.1 Personal data must be stored only in approved systems. Keel is the system of record for employee data; Atlas holds payroll-related financial data, expense claims and supplier contact data; Beacon holds IT service records.</w:t>
      </w:r>
    </w:p>
    <w:p>
      <w:r>
        <w:t xml:space="preserve">10.2 Printed documents containing personal data must be kept in locked storage and disposed of in confidential waste bins, which are provided on every floor at all four sites.</w:t>
      </w:r>
    </w:p>
    <w:p>
      <w:r>
        <w:t xml:space="preserve">10.3 Laptops are encrypted by default. Removable media must not be used for personal data unless encrypted and approved by IT Security.</w:t>
      </w:r>
    </w:p>
    <w:p>
      <w:r>
        <w:t xml:space="preserve">10.4 Access rights to Keel and Atlas are reviewed every six months by system owners. Leavers' access is removed on their last working day as part of the leaver process (form F-110).</w:t>
      </w:r>
    </w:p>
    <w:p>
      <w:r>
        <w:t xml:space="preserve">10.5 Screens must be locked when unattended. Personal data must not be discussed in open-plan areas or on calls in public places where others could overhear.</w:t>
      </w:r>
    </w:p>
    <w:p>
      <w:r>
        <w:t xml:space="preserve">10.6 Reports and exports from Keel and Atlas that contain personal data, such as headcount listings, salary review spreadsheets or absence reports, must be stored only in the restricted People or Finance areas of the document management system. They must be deleted once the purpose for which they were created has ended, and in any case within 12 months. Salary review spreadsheets must be password protected and must not be shared with anyone below the grade of the managers taking part in the review.</w:t>
      </w:r>
    </w:p>
    <w:p>
      <w:r>
        <w:t xml:space="preserve">10.7 Test and development environments, including those managed through Forge, must not contain real employee personal data. Where realistic data is needed to test a Keel integration, IT must use synthetic or anonymised records approved by the DPO.</w:t>
      </w:r>
    </w:p>
    <w:p>
      <w:r>
        <w:t xml:space="preserve">10.8 When a Meridian laptop or phone is lost or stolen, the employee must report it through Beacon immediately so that IT can wipe the device remotely. If the device may have held personal data outside approved systems, the report is also treated as a potential breach under section 8.</w:t>
      </w:r>
    </w:p>
    <w:p>
      <w:pPr>
        <w:pStyle w:val="Heading2"/>
      </w:pPr>
      <w:r>
        <w:rPr>
          <w:b/>
          <w:sz w:val="26"/>
        </w:rPr>
        <w:t xml:space="preserve">11. Monitoring and CCTV</w:t>
      </w:r>
    </w:p>
    <w:p>
      <w:r>
        <w:t xml:space="preserve">11.1 Meridian monitors use of its IT systems for security purposes, as described in the IT acceptable use policy. Monitoring is proportionate and is not used to track individual productivity unless a DPIA under clause 6.3 has been completed and approved.</w:t>
      </w:r>
    </w:p>
    <w:p>
      <w:r>
        <w:t xml:space="preserve">11.2 Badge access data is used to secure our buildings and to account for people in an emergency evacuation. It is not used for attendance management except where an investigation has been authorised by the Chief People Officer.</w:t>
      </w:r>
    </w:p>
    <w:p>
      <w:r>
        <w:t xml:space="preserve">11.3 CCTV operates at the entrances, car parks, loading bays and production areas of all four sites. Footage is retained for 30 days and then automatically overwritten, unless it has been extracted for a specific investigation or legal claim. Requests to view footage must be approved by the site facilities manager and the DPO.</w:t>
      </w:r>
    </w:p>
    <w:p>
      <w:r>
        <w:t xml:space="preserve">11.4 CCTV signs are displayed at every monitored location. Cameras are not installed in toilets, changing rooms, prayer rooms or rest areas.</w:t>
      </w:r>
    </w:p>
    <w:p>
      <w:pPr>
        <w:pStyle w:val="Heading2"/>
      </w:pPr>
      <w:r>
        <w:rPr>
          <w:b/>
          <w:sz w:val="26"/>
        </w:rPr>
        <w:t xml:space="preserve">12. Retention, training and review</w:t>
      </w:r>
    </w:p>
    <w:p>
      <w:r>
        <w:t xml:space="preserve">12.1 Personal data must be kept only for as long as necessary. Retention periods for HR, payroll, recruitment and finance records are set out in the Records Retention Schedule (POL-CORP-008). System owners are responsible for configuring automatic deletion in Keel and Atlas in line with that schedule.</w:t>
      </w:r>
    </w:p>
    <w:p>
      <w:r>
        <w:t xml:space="preserve">12.2 All employees must complete data protection training during onboarding and annually thereafter. People team members, payroll staff, recruiters and IT administrators complete an additional role-specific module.</w:t>
      </w:r>
    </w:p>
    <w:p>
      <w:r>
        <w:t xml:space="preserve">12.3 Breaches of this policy may lead to disciplinary action, up to and including dismissal. Deliberate or reckless misuse of personal data may also be a criminal offence.</w:t>
      </w:r>
    </w:p>
    <w:p>
      <w:r>
        <w:t xml:space="preserve">12.4 Questions about this policy should be sent to dpo@meridian-instruments.example. Concerns about possible misuse of personal data can also be raised under the Speak Up Policy (POL-CORP-004).</w:t>
      </w:r>
    </w:p>
    <w:p>
      <w:r>
        <w:t xml:space="preserve">12.5 This policy is reviewed every two years, or sooner if the law or Meridian's systems change significantly. The next scheduled review is November 2026.</w:t>
      </w:r>
    </w:p>
    <w:sectPr/>
  </w:body>
</w:document>
</file>

<file path=word/styles.xml><?xml version="1.0" encoding="utf-8"?>
<w:styles xmlns:w="http://schemas.openxmlformats.org/wordprocessingml/2006/main">
  <w:style w:type="paragraph" w:default="1" w:styleId="Normal">
    <w:name w:val="Normal"/>
  </w:style>
  <w:style w:type="paragraph" w:styleId="Heading1">
    <w:name w:val="heading 1"/>
    <w:basedOn w:val="Normal"/>
  </w:style>
  <w:style w:type="paragraph" w:styleId="Heading2">
    <w:name w:val="heading 2"/>
    <w:basedOn w:val="Normal"/>
  </w:style>
  <w:style w:type="paragraph" w:styleId="Heading3">
    <w:name w:val="heading 3"/>
    <w:basedOn w:val="Normal"/>
  </w:style>
  <w:style w:type="paragraph" w:styleId="ListParagraph">
    <w:name w:val="List Paragraph"/>
    <w:basedOn w:val="Normal"/>
  </w:style>
  <w:style w:type="table" w:styleId="TableGrid">
    <w:name w:val="Table Grid"/>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Data Protection Policy (Employee and Candidate Data)</dc:title>
  <dc:creator>Meridian Instruments</dc:creator>
</cp:coreProperties>
</file>