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rPr>
          <w:b/>
          <w:sz w:val="32"/>
        </w:rPr>
        <w:t xml:space="preserve">Corporate Card Policy</w:t>
      </w:r>
    </w:p>
    <w:p>
      <w:r>
        <w:t xml:space="preserve">Policy code: POL-FIN-009 | Owner: Group Finance | Effective date: 1 February 2025 | Version: 2</w:t>
      </w:r>
    </w:p>
    <w:p>
      <w:r>
        <w:t xml:space="preserve">This version supersedes version 1 dated 1 October 2023.</w:t>
      </w:r>
    </w:p>
    <w:p>
      <w:pPr>
        <w:pStyle w:val="Heading2"/>
      </w:pPr>
      <w:r>
        <w:rPr>
          <w:b/>
          <w:sz w:val="26"/>
        </w:rPr>
        <w:t xml:space="preserve">Summary of changes</w:t>
      </w:r>
    </w:p>
    <w:p>
      <w:pPr>
        <w:pStyle w:val="ListParagraph"/>
      </w:pPr>
      <w:r>
        <w:t xml:space="preserve">• Single transaction limit increased from £2,000 to £2,500.</w:t>
      </w:r>
    </w:p>
    <w:p>
      <w:pPr>
        <w:pStyle w:val="ListParagraph"/>
      </w:pPr>
      <w:r>
        <w:t xml:space="preserve">• Monthly spend limit increased from £5,000 to £7,500.</w:t>
      </w:r>
    </w:p>
    <w:p>
      <w:pPr>
        <w:pStyle w:val="ListParagraph"/>
      </w:pPr>
      <w:r>
        <w:t xml:space="preserve">• Reconciliation deadline shortened from 10 to 5 working days after the statement date.</w:t>
      </w:r>
    </w:p>
    <w:p>
      <w:pPr>
        <w:pStyle w:val="ListParagraph"/>
      </w:pPr>
      <w:r>
        <w:t xml:space="preserve">• Cash withdrawals are no longer permitted on any corporate card.</w:t>
      </w:r>
    </w:p>
    <w:p>
      <w:pPr>
        <w:pStyle w:val="Heading2"/>
      </w:pPr>
      <w:r>
        <w:rPr>
          <w:b/>
          <w:sz w:val="26"/>
        </w:rPr>
        <w:t xml:space="preserve">1. Purpose</w:t>
      </w:r>
    </w:p>
    <w:p>
      <w:r>
        <w:t xml:space="preserve">Meridian issues corporate cards to employees who regularly travel or make small business purchases. The card reduces the need for employees to use personal funds and gives Finance better visibility of spend. This policy explains who can hold a card, what it may be used for, and how spend is reconciled.</w:t>
      </w:r>
    </w:p>
    <w:p>
      <w:pPr>
        <w:pStyle w:val="Heading2"/>
      </w:pPr>
      <w:r>
        <w:rPr>
          <w:b/>
          <w:sz w:val="26"/>
        </w:rPr>
        <w:t xml:space="preserve">2. Card programme</w:t>
      </w:r>
    </w:p>
    <w:p>
      <w:r>
        <w:t xml:space="preserve">Cards are issued by Northgate Commercial Card and are billed centrally to Meridian. The card is a company liability card: Meridian pays the balance, but the cardholder is accountable for every transaction.</w:t>
      </w:r>
    </w:p>
    <w:p>
      <w:pPr>
        <w:pStyle w:val="Heading2"/>
      </w:pPr>
      <w:r>
        <w:rPr>
          <w:b/>
          <w:sz w:val="26"/>
        </w:rPr>
        <w:t xml:space="preserve">3. Eligibility and application</w:t>
      </w:r>
    </w:p>
    <w:p>
      <w:r>
        <w:t xml:space="preserve">Cards are available to employees who travel on business at least four times a year, or whose role requires regular low-value purchasing. Applications are made on a Corporate Card Application (F-505) through Atlas &gt; Cards, approved by the budget holder and the Group Financial Controller. New cardholders must confirm they have read this policy before the card is activated.</w:t>
      </w:r>
    </w:p>
    <w:p>
      <w:pPr>
        <w:pStyle w:val="Heading2"/>
      </w:pPr>
      <w:r>
        <w:rPr>
          <w:b/>
          <w:sz w:val="26"/>
        </w:rPr>
        <w:t xml:space="preserve">4. Limits</w:t>
      </w:r>
    </w:p>
    <w:tbl>
      <w:tblPr>
        <w:tblStyle w:val="TableGrid"/>
        <w:tblW w:w="0" w:type="auto"/>
      </w:tblPr>
      <w:tr>
        <w:tc>
          <w:tcPr>
            <w:tcW w:w="0" w:type="auto"/>
          </w:tcPr>
          <w:p>
            <w:r>
              <w:rPr>
                <w:b/>
              </w:rPr>
              <w:t xml:space="preserve">Limit</w:t>
            </w:r>
          </w:p>
        </w:tc>
        <w:tc>
          <w:tcPr>
            <w:tcW w:w="0" w:type="auto"/>
          </w:tcPr>
          <w:p>
            <w:r>
              <w:rPr>
                <w:b/>
              </w:rPr>
              <w:t xml:space="preserve">Amount</w:t>
            </w:r>
          </w:p>
        </w:tc>
      </w:tr>
      <w:tr>
        <w:tc>
          <w:tcPr>
            <w:tcW w:w="0" w:type="auto"/>
          </w:tcPr>
          <w:p>
            <w:r>
              <w:t xml:space="preserve">Single transaction</w:t>
            </w:r>
          </w:p>
        </w:tc>
        <w:tc>
          <w:tcPr>
            <w:tcW w:w="0" w:type="auto"/>
          </w:tcPr>
          <w:p>
            <w:r>
              <w:t xml:space="preserve">£2,500</w:t>
            </w:r>
          </w:p>
        </w:tc>
      </w:tr>
      <w:tr>
        <w:tc>
          <w:tcPr>
            <w:tcW w:w="0" w:type="auto"/>
          </w:tcPr>
          <w:p>
            <w:r>
              <w:t xml:space="preserve">Monthly spend</w:t>
            </w:r>
          </w:p>
        </w:tc>
        <w:tc>
          <w:tcPr>
            <w:tcW w:w="0" w:type="auto"/>
          </w:tcPr>
          <w:p>
            <w:r>
              <w:t xml:space="preserve">£7,500</w:t>
            </w:r>
          </w:p>
        </w:tc>
      </w:tr>
      <w:tr>
        <w:tc>
          <w:tcPr>
            <w:tcW w:w="0" w:type="auto"/>
          </w:tcPr>
          <w:p>
            <w:r>
              <w:t xml:space="preserve">Cash withdrawals</w:t>
            </w:r>
          </w:p>
        </w:tc>
        <w:tc>
          <w:tcPr>
            <w:tcW w:w="0" w:type="auto"/>
          </w:tcPr>
          <w:p>
            <w:r>
              <w:t xml:space="preserve">Not permitted</w:t>
            </w:r>
          </w:p>
        </w:tc>
      </w:tr>
    </w:tbl>
    <w:p/>
    <w:p>
      <w:r>
        <w:t xml:space="preserve">Limits for cards issued in Rotterdam, Austin and Penang are set at the local-currency equivalent at the Group budget exchange rate. Temporary limit increases for a specific trip may be requested from cards@meridian-instruments.example with budget holder approval. A purchase that would exceed the single transaction limit must not be put on the card.</w:t>
      </w:r>
    </w:p>
    <w:p>
      <w:pPr>
        <w:pStyle w:val="Heading2"/>
      </w:pPr>
      <w:r>
        <w:rPr>
          <w:b/>
          <w:sz w:val="26"/>
        </w:rPr>
        <w:t xml:space="preserve">5. Permitted use</w:t>
      </w:r>
    </w:p>
    <w:p>
      <w:r>
        <w:t xml:space="preserve">The card may be used for business travel, accommodation, meals within the limits of the Travel and Expense Policy (POL-FIN-007), conference fees, and low-value purchases where no purchase order is practical. Purchases of goods or services from regular suppliers, and any purchase above the single transaction limit, must go through a purchase requisition under the Procurement Manual (POL-FIN-012) and be approved under the Delegation of Authority (POL-FIN-003).</w:t>
      </w:r>
    </w:p>
    <w:p>
      <w:r>
        <w:t xml:space="preserve">Cash withdrawals are blocked on all cards. Where cash is unavoidable while travelling, pay personally and claim through Atlas &gt; Expenses &gt; New Claim with a receipt.</w:t>
      </w:r>
    </w:p>
    <w:p>
      <w:pPr>
        <w:pStyle w:val="Heading2"/>
      </w:pPr>
      <w:r>
        <w:rPr>
          <w:b/>
          <w:sz w:val="26"/>
        </w:rPr>
        <w:t xml:space="preserve">6. Prohibited use</w:t>
      </w:r>
    </w:p>
    <w:p>
      <w:pPr>
        <w:pStyle w:val="ListParagraph"/>
      </w:pPr>
      <w:r>
        <w:t xml:space="preserve">• Personal purchases of any kind, even if repaid.</w:t>
      </w:r>
    </w:p>
    <w:p>
      <w:pPr>
        <w:pStyle w:val="ListParagraph"/>
      </w:pPr>
      <w:r>
        <w:t xml:space="preserve">• Splitting a transaction to stay under the single transaction limit.</w:t>
      </w:r>
    </w:p>
    <w:p>
      <w:pPr>
        <w:pStyle w:val="ListParagraph"/>
      </w:pPr>
      <w:r>
        <w:t xml:space="preserve">• Payments to suppliers who have not been onboarded where a purchase order should be used.</w:t>
      </w:r>
    </w:p>
    <w:p>
      <w:pPr>
        <w:pStyle w:val="ListParagraph"/>
      </w:pPr>
      <w:r>
        <w:t xml:space="preserve">• Gift cards or vouchers.</w:t>
      </w:r>
    </w:p>
    <w:p>
      <w:pPr>
        <w:pStyle w:val="ListParagraph"/>
      </w:pPr>
      <w:r>
        <w:t xml:space="preserve">• Cash withdrawals or cash-equivalent transactions.</w:t>
      </w:r>
    </w:p>
    <w:p>
      <w:pPr>
        <w:pStyle w:val="Heading2"/>
      </w:pPr>
      <w:r>
        <w:rPr>
          <w:b/>
          <w:sz w:val="26"/>
        </w:rPr>
        <w:t xml:space="preserve">7. Reconciliation</w:t>
      </w:r>
    </w:p>
    <w:p>
      <w:r>
        <w:t xml:space="preserve">Statements are issued monthly. Cardholders must reconcile every transaction in Atlas &gt; Cards &gt; Reconcile Statement within 5 working days of the statement date, attaching receipts and assigning a cost centre and business purpose. Reconciled statements are approved by the cardholder's line manager.</w:t>
      </w:r>
    </w:p>
    <w:p>
      <w:pPr>
        <w:pStyle w:val="Heading2"/>
      </w:pPr>
      <w:r>
        <w:rPr>
          <w:b/>
          <w:sz w:val="26"/>
        </w:rPr>
        <w:t xml:space="preserve">8. Lost or stolen cards</w:t>
      </w:r>
    </w:p>
    <w:p>
      <w:r>
        <w:t xml:space="preserve">Report a lost or stolen card to Northgate Commercial Card immediately using the number on the back of the card, and inform cards@meridian-instruments.example the same day.</w:t>
      </w:r>
    </w:p>
    <w:p>
      <w:pPr>
        <w:pStyle w:val="Heading2"/>
      </w:pPr>
      <w:r>
        <w:rPr>
          <w:b/>
          <w:sz w:val="26"/>
        </w:rPr>
        <w:t xml:space="preserve">9. Non-compliance</w:t>
      </w:r>
    </w:p>
    <w:p>
      <w:r>
        <w:t xml:space="preserve">Unreconciled statements after the deadline will lead to suspension of the card. Personal or improper use may result in withdrawal of the card, recovery of the amount through payroll, and action under the Disciplinary and Grievance Procedure (POL-HR-040).</w:t>
      </w:r>
    </w:p>
    <w:p>
      <w:pPr>
        <w:pStyle w:val="Heading2"/>
      </w:pPr>
      <w:r>
        <w:rPr>
          <w:b/>
          <w:sz w:val="26"/>
        </w:rPr>
        <w:t xml:space="preserve">10. Leaving Meridian</w:t>
      </w:r>
    </w:p>
    <w:p>
      <w:r>
        <w:t xml:space="preserve">Cards must be returned to the line manager and cancelled on or before the last working day, and any outstanding transactions reconciled.</w:t>
      </w:r>
    </w:p>
    <w:sectPr/>
  </w:body>
</w:document>
</file>

<file path=word/styles.xml><?xml version="1.0" encoding="utf-8"?>
<w:styles xmlns:w="http://schemas.openxmlformats.org/wordprocessingml/2006/main">
  <w:style w:type="paragraph" w:default="1" w:styleId="Normal">
    <w:name w:val="Normal"/>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ListParagraph">
    <w:name w:val="List Paragraph"/>
    <w:basedOn w:val="Normal"/>
  </w:style>
  <w:style w:type="table" w:styleId="TableGrid">
    <w:name w:val="Table Gri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Corporate Card Policy (v2, 2025)</dc:title>
  <dc:creator>Meridian Instruments</dc:creator>
</cp:coreProperties>
</file>