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Procurement Manual</w:t>
      </w:r>
    </w:p>
    <w:p>
      <w:r>
        <w:t xml:space="preserve">Policy code: POL-FIN-012. Owner: Graham Ellery, Head of Procurement (cost centre CC-1210). Approved by: Tomasz Wierzbicki, Chief Financial Officer. Effective date: 1 May 2025. Applies to: all Meridian Instruments Ltd entities and sites (Leeds, Rotterdam, Austin and Penang).</w:t>
      </w:r>
    </w:p>
    <w:p>
      <w:pPr>
        <w:pStyle w:val="Heading2"/>
      </w:pPr>
      <w:r>
        <w:rPr>
          <w:b/>
          <w:sz w:val="26"/>
        </w:rPr>
        <w:t xml:space="preserve">1. Purpose and scope</w:t>
      </w:r>
    </w:p>
    <w:p>
      <w:r>
        <w:t xml:space="preserve">1.1 This manual sets out how Meridian Instruments buys goods and services. It covers everything from the moment a need is identified through to the point a supplier is paid, and it applies to every employee, contractor and agency worker who commits Meridian money to a third party.</w:t>
      </w:r>
    </w:p>
    <w:p>
      <w:r>
        <w:t xml:space="preserve">1.2 The manual applies to indirect spend (for example professional services, facilities, IT hardware and software, marketing, travel services, laboratory consumables and temporary labour) and to direct spend on components and materials that go into Halcyon, Tessera and Lumen products. Where the rules for direct materials differ, this is stated in section 4.6.</w:t>
      </w:r>
    </w:p>
    <w:p>
      <w:r>
        <w:t xml:space="preserve">1.3 The manual does not cover employee expense claims for travel and subsistence, which are governed by POL-FIN-007 Travel and Expense Policy, or purchases made on a corporate card, which are governed by POL-FIN-009 Corporate Card Policy. Where a purchase is not permitted on a corporate card it must follow this manual.</w:t>
      </w:r>
    </w:p>
    <w:p>
      <w:r>
        <w:t xml:space="preserve">1.4 Financial approval limits are not set in this manual. They are set in POL-FIN-003 Delegation of Authority and Approval Matrix, which must be read alongside this document. Where this manual says a requisition must be "approved in line with the Delegation of Authority", the approver is whoever holds the relevant authority under the current version of POL-FIN-003.</w:t>
      </w:r>
    </w:p>
    <w:p>
      <w:r>
        <w:t xml:space="preserve">1.5 Local law takes precedence where it imposes stricter requirements. Rotterdam staff should note that public-sector customers in the Netherlands may impose their own procurement obligations on Meridian through contract terms; Sales EMEA (CC-4100) will flag these where relevant.</w:t>
      </w:r>
    </w:p>
    <w:p>
      <w:pPr>
        <w:pStyle w:val="Heading2"/>
      </w:pPr>
      <w:r>
        <w:rPr>
          <w:b/>
          <w:sz w:val="26"/>
        </w:rPr>
        <w:t xml:space="preserve">2. Principles</w:t>
      </w:r>
    </w:p>
    <w:p>
      <w:r>
        <w:t xml:space="preserve">2.1 Meridian buys in a way that is fair, transparent and accountable. Every purchasing decision should be one we would be comfortable explaining to an auditor, a customer or a journalist.</w:t>
      </w:r>
    </w:p>
    <w:p>
      <w:r>
        <w:t xml:space="preserve">2.2 The core principles are:</w:t>
      </w:r>
    </w:p>
    <w:p>
      <w:pPr>
        <w:pStyle w:val="ListParagraph"/>
      </w:pPr>
      <w:r>
        <w:t xml:space="preserve">• Value for money, which means the best combination of whole-life cost, quality, delivery and risk, not simply the lowest price.</w:t>
      </w:r>
    </w:p>
    <w:p>
      <w:pPr>
        <w:pStyle w:val="ListParagraph"/>
      </w:pPr>
      <w:r>
        <w:t xml:space="preserve">• Fair competition, so that capable suppliers have a genuine opportunity to win our business.</w:t>
      </w:r>
    </w:p>
    <w:p>
      <w:pPr>
        <w:pStyle w:val="ListParagraph"/>
      </w:pPr>
      <w:r>
        <w:t xml:space="preserve">• Separation of duties, so that no single person can requisition, approve, receipt and pay for the same purchase.</w:t>
      </w:r>
    </w:p>
    <w:p>
      <w:pPr>
        <w:pStyle w:val="ListParagraph"/>
      </w:pPr>
      <w:r>
        <w:t xml:space="preserve">• Compliance with the Code of Conduct (POL-CORP-001), in particular the rules on conflicts of interest, anti-bribery and gifts and hospitality.</w:t>
      </w:r>
    </w:p>
    <w:p>
      <w:pPr>
        <w:pStyle w:val="ListParagraph"/>
      </w:pPr>
      <w:r>
        <w:t xml:space="preserve">• Responsible sourcing, including our commitments under the Modern Slavery and Human Trafficking Statement.</w:t>
      </w:r>
    </w:p>
    <w:p>
      <w:pPr>
        <w:pStyle w:val="ListParagraph"/>
      </w:pPr>
      <w:r>
        <w:t xml:space="preserve">• Good records, so that every decision can be traced in Atlas.</w:t>
      </w:r>
    </w:p>
    <w:p>
      <w:r>
        <w:t xml:space="preserve">2.3 "No PO, no pay" applies throughout the Group. Suppliers are told that invoices without a valid purchase order number will be returned unpaid. The only exceptions are the categories listed in clause 4.5 and emergency purchases under clause 9.6.</w:t>
      </w:r>
    </w:p>
    <w:p>
      <w:r>
        <w:t xml:space="preserve">2.4 Anyone who is unsure how to buy something should ask before committing. The Procurement team can be reached at procurement@meridian-instruments.example and responds to general queries within two working days.</w:t>
      </w:r>
    </w:p>
    <w:p>
      <w:pPr>
        <w:pStyle w:val="Heading2"/>
      </w:pPr>
      <w:r>
        <w:rPr>
          <w:b/>
          <w:sz w:val="26"/>
        </w:rPr>
        <w:t xml:space="preserve">3. Roles and responsibilities</w:t>
      </w:r>
    </w:p>
    <w:p>
      <w:r>
        <w:t xml:space="preserve">3.1 Requisitioner. The person who identifies the need, prepares the specification, raises the purchase requisition in Atlas and receipts the goods or services when they arrive.</w:t>
      </w:r>
    </w:p>
    <w:p>
      <w:r>
        <w:t xml:space="preserve">3.2 Budget holder. The person accountable for the cost centre that will bear the cost. Budget holders confirm that funds are available and that the purchase is a legitimate business need. Their wider responsibilities are described in the Budget Holder Guide.</w:t>
      </w:r>
    </w:p>
    <w:p>
      <w:r>
        <w:t xml:space="preserve">3.3 Approver. The person with authority under POL-FIN-003 to commit the organisation for the value concerned. The approver must not be the requisitioner.</w:t>
      </w:r>
    </w:p>
    <w:p>
      <w:r>
        <w:t xml:space="preserve">3.4 Procurement team (CC-1210). Based in Leeds with category buyers supporting Rotterdam, Austin and Penang. Procurement runs competitive tenders, negotiates contracts, maintains the supplier master data in Atlas, manages the preferred supplier lists and approves exceptions within its authority.</w:t>
      </w:r>
    </w:p>
    <w:p>
      <w:r>
        <w:t xml:space="preserve">3.5 Accounts Payable. Part of Finance (CC-1200). Accounts Payable matches invoices to purchase orders and goods receipts, and makes payments. Accounts Payable does not create or amend supplier records; that is done by Procurement master data staff to preserve separation of duties.</w:t>
      </w:r>
    </w:p>
    <w:p>
      <w:r>
        <w:t xml:space="preserve">3.6 Legal and Compliance (CC-5200). Reviews non-standard contract terms, data processing agreements and any arrangement that raises trade compliance, competition or anti-bribery concerns.</w:t>
      </w:r>
    </w:p>
    <w:p>
      <w:r>
        <w:t xml:space="preserve">3.7 IT and IT Security (CC-1300 and CC-1310). All software, cloud services and IT hardware purchases must be reviewed by IT before a purchase order is issued. Any service that will hold Meridian data requires an IT Security assessment led by Mei-Ling Tan's team.</w:t>
      </w:r>
    </w:p>
    <w:p>
      <w:r>
        <w:t xml:space="preserve">3.8 Site support. Each site has a named category buyer who acts as the first point of contact for local requisitioners. The buyers cover the following areas:</w:t>
      </w:r>
    </w:p>
    <w:tbl>
      <w:tblPr>
        <w:tblStyle w:val="TableGrid"/>
        <w:tblW w:w="0" w:type="auto"/>
      </w:tblPr>
      <w:tr>
        <w:tc>
          <w:tcPr>
            <w:tcW w:w="0" w:type="auto"/>
          </w:tcPr>
          <w:p>
            <w:r>
              <w:rPr>
                <w:b/>
              </w:rPr>
              <w:t xml:space="preserve">Site</w:t>
            </w:r>
          </w:p>
        </w:tc>
        <w:tc>
          <w:tcPr>
            <w:tcW w:w="0" w:type="auto"/>
          </w:tcPr>
          <w:p>
            <w:r>
              <w:rPr>
                <w:b/>
              </w:rPr>
              <w:t xml:space="preserve">Main categories supported</w:t>
            </w:r>
          </w:p>
        </w:tc>
        <w:tc>
          <w:tcPr>
            <w:tcW w:w="0" w:type="auto"/>
          </w:tcPr>
          <w:p>
            <w:r>
              <w:rPr>
                <w:b/>
              </w:rPr>
              <w:t xml:space="preserve">Working hours</w:t>
            </w:r>
          </w:p>
        </w:tc>
      </w:tr>
      <w:tr>
        <w:tc>
          <w:tcPr>
            <w:tcW w:w="0" w:type="auto"/>
          </w:tcPr>
          <w:p>
            <w:r>
              <w:t xml:space="preserve">Leeds</w:t>
            </w:r>
          </w:p>
        </w:tc>
        <w:tc>
          <w:tcPr>
            <w:tcW w:w="0" w:type="auto"/>
          </w:tcPr>
          <w:p>
            <w:r>
              <w:t xml:space="preserve">Group indirect, IT, professional services</w:t>
            </w:r>
          </w:p>
        </w:tc>
        <w:tc>
          <w:tcPr>
            <w:tcW w:w="0" w:type="auto"/>
          </w:tcPr>
          <w:p>
            <w:r>
              <w:t xml:space="preserve">08:30–17:00 UK</w:t>
            </w:r>
          </w:p>
        </w:tc>
      </w:tr>
      <w:tr>
        <w:tc>
          <w:tcPr>
            <w:tcW w:w="0" w:type="auto"/>
          </w:tcPr>
          <w:p>
            <w:r>
              <w:t xml:space="preserve">Rotterdam</w:t>
            </w:r>
          </w:p>
        </w:tc>
        <w:tc>
          <w:tcPr>
            <w:tcW w:w="0" w:type="auto"/>
          </w:tcPr>
          <w:p>
            <w:r>
              <w:t xml:space="preserve">Lumen components, EMEA logistics</w:t>
            </w:r>
          </w:p>
        </w:tc>
        <w:tc>
          <w:tcPr>
            <w:tcW w:w="0" w:type="auto"/>
          </w:tcPr>
          <w:p>
            <w:r>
              <w:t xml:space="preserve">08:30–17:00 CET</w:t>
            </w:r>
          </w:p>
        </w:tc>
      </w:tr>
      <w:tr>
        <w:tc>
          <w:tcPr>
            <w:tcW w:w="0" w:type="auto"/>
          </w:tcPr>
          <w:p>
            <w:r>
              <w:t xml:space="preserve">Austin</w:t>
            </w:r>
          </w:p>
        </w:tc>
        <w:tc>
          <w:tcPr>
            <w:tcW w:w="0" w:type="auto"/>
          </w:tcPr>
          <w:p>
            <w:r>
              <w:t xml:space="preserve">TesseraCloud hosting, US services</w:t>
            </w:r>
          </w:p>
        </w:tc>
        <w:tc>
          <w:tcPr>
            <w:tcW w:w="0" w:type="auto"/>
          </w:tcPr>
          <w:p>
            <w:r>
              <w:t xml:space="preserve">08:00–17:00 CT</w:t>
            </w:r>
          </w:p>
        </w:tc>
      </w:tr>
      <w:tr>
        <w:tc>
          <w:tcPr>
            <w:tcW w:w="0" w:type="auto"/>
          </w:tcPr>
          <w:p>
            <w:r>
              <w:t xml:space="preserve">Penang</w:t>
            </w:r>
          </w:p>
        </w:tc>
        <w:tc>
          <w:tcPr>
            <w:tcW w:w="0" w:type="auto"/>
          </w:tcPr>
          <w:p>
            <w:r>
              <w:t xml:space="preserve">Direct materials, labour agencies</w:t>
            </w:r>
          </w:p>
        </w:tc>
        <w:tc>
          <w:tcPr>
            <w:tcW w:w="0" w:type="auto"/>
          </w:tcPr>
          <w:p>
            <w:r>
              <w:t xml:space="preserve">08:00–17:00 MYT</w:t>
            </w:r>
          </w:p>
        </w:tc>
      </w:tr>
    </w:tbl>
    <w:p/>
    <w:p>
      <w:r>
        <w:t xml:space="preserve">3.9 Contract owners. Every contract in the Atlas repository has a named contract owner, normally the budget holder for the main cost centre. The contract owner manages supplier performance, holds regular review meetings for significant suppliers, and decides with Procurement whether to renew, retender or exit when the contract approaches expiry.</w:t>
      </w:r>
    </w:p>
    <w:p>
      <w:pPr>
        <w:pStyle w:val="Heading2"/>
      </w:pPr>
      <w:r>
        <w:rPr>
          <w:b/>
          <w:sz w:val="26"/>
        </w:rPr>
        <w:t xml:space="preserve">4. From requisition to purchase order</w:t>
      </w:r>
    </w:p>
    <w:p>
      <w:r>
        <w:t xml:space="preserve">4.1 All purchases are raised in Atlas using Atlas &gt; Procurement &gt; Purchase Requisition. The requisition must include a clear description, quantity, estimated value, required delivery date, cost centre, nominal code and the proposed supplier (if known). Supporting quotes and specifications are attached to the requisition.</w:t>
      </w:r>
    </w:p>
    <w:p>
      <w:r>
        <w:t xml:space="preserve">4.2 Values are entered in the currency the supplier will invoice in. Atlas converts to GBP for approval routing using the Group budget exchange rates for the year. For FY2025/26 those rates are GBP 1 = EUR 1.17 = USD 1.27 = MYR 5.90.</w:t>
      </w:r>
    </w:p>
    <w:p>
      <w:r>
        <w:t xml:space="preserve">4.3 Once the requisition is approved in line with the Delegation of Authority, Atlas generates a purchase order. Purchase order numbers are ten digits beginning with 45 and are shown in the form PO-45xxxxxxxx. Only the purchase order, not the requisition, is a commitment to the supplier.</w:t>
      </w:r>
    </w:p>
    <w:p>
      <w:r>
        <w:t xml:space="preserve">4.4 Requisitions must be raised before the commitment is made. Placing an order verbally or by email and raising the requisition afterwards ("retrospective ordering") is a breach of this manual unless the emergency route in clause 9.6 applies. Repeated retrospective ordering is reported monthly to the Group Financial Controller, Oliver Pratt.</w:t>
      </w:r>
    </w:p>
    <w:p>
      <w:r>
        <w:t xml:space="preserve">4.5 The following categories do not require a purchase order, because they are paid through other controlled routes: payroll and payroll taxes; statutory payments to tax authorities; utility bills set up by Facilities under master agreements; rent and service charges under signed leases; and intercompany recharges.</w:t>
      </w:r>
    </w:p>
    <w:p>
      <w:r>
        <w:t xml:space="preserve">4.6 Direct materials for manufacturing at Penang (CC-3100) and Leeds (CC-3200) are ordered through planned orders generated by the materials requirement planning module in Atlas against framework agreements negotiated by Procurement. Buyers release call-offs within the agreed framework; new parts, new suppliers or changes to framework pricing follow the full process in this manual.</w:t>
      </w:r>
    </w:p>
    <w:p>
      <w:r>
        <w:t xml:space="preserve">4.7 Software, software-as-a-service and cloud subscriptions are a growing share of indirect spend and carry particular risks around data, licensing and automatic renewal. Before raising a requisition for any software, the requisitioner must check the IT software catalogue in Beacon; if an approved product already meets the need, it must be used. New software requires an IT architecture review and, where it will process personal or customer data, an IT Security assessment and a data processing agreement reviewed by Legal and Compliance. Free trials that require acceptance of online terms are still contracts and must not be accepted by individuals without IT approval. Subscriptions must be bought on a purchase order rather than on a corporate card unless IT has specifically authorised the card route for that service.</w:t>
      </w:r>
    </w:p>
    <w:p>
      <w:r>
        <w:t xml:space="preserve">4.8 Laboratory and test equipment for the Halcyon, Tessera and Lumen engineering teams (CC-2100, CC-2200 and CC-2300) is often specialised. Engineering managers should involve the category buyer at the specification stage so that calibration, service contracts and spare parts can be negotiated at the same time as the equipment itself. Service contracts bought separately after installation are usually more expensive.</w:t>
      </w:r>
    </w:p>
    <w:p>
      <w:r>
        <w:t xml:space="preserve">4.9 Capital expenditure must additionally be supported by form F-420 Capital Expenditure Request. The F-420 thresholds and approvers are set in POL-FIN-003. Procurement will not issue a purchase order for a capital item until the approved F-420 reference is recorded on the requisition.</w:t>
      </w:r>
    </w:p>
    <w:p>
      <w:pPr>
        <w:pStyle w:val="Heading2"/>
      </w:pPr>
      <w:r>
        <w:rPr>
          <w:b/>
          <w:sz w:val="26"/>
        </w:rPr>
        <w:t xml:space="preserve">5. Competition and quotations</w:t>
      </w:r>
    </w:p>
    <w:p>
      <w:r>
        <w:t xml:space="preserve">5.1 Competition is the normal way to demonstrate value for money. The level of competition required depends on the total value of the purchase, which means the full expected value over the life of the contract, including all options, renewals and extensions, excluding VAT or sales tax.</w:t>
      </w:r>
    </w:p>
    <w:p>
      <w:r>
        <w:t xml:space="preserve">5.2 The minimum competition requirements are:</w:t>
      </w:r>
    </w:p>
    <w:tbl>
      <w:tblPr>
        <w:tblStyle w:val="TableGrid"/>
        <w:tblW w:w="0" w:type="auto"/>
      </w:tblPr>
      <w:tr>
        <w:tc>
          <w:tcPr>
            <w:tcW w:w="0" w:type="auto"/>
          </w:tcPr>
          <w:p>
            <w:r>
              <w:rPr>
                <w:b/>
              </w:rPr>
              <w:t xml:space="preserve">Total value</w:t>
            </w:r>
          </w:p>
        </w:tc>
        <w:tc>
          <w:tcPr>
            <w:tcW w:w="0" w:type="auto"/>
          </w:tcPr>
          <w:p>
            <w:r>
              <w:rPr>
                <w:b/>
              </w:rPr>
              <w:t xml:space="preserve">Requirement</w:t>
            </w:r>
          </w:p>
        </w:tc>
        <w:tc>
          <w:tcPr>
            <w:tcW w:w="0" w:type="auto"/>
          </w:tcPr>
          <w:p>
            <w:r>
              <w:rPr>
                <w:b/>
              </w:rPr>
              <w:t xml:space="preserve">Run by</w:t>
            </w:r>
          </w:p>
        </w:tc>
      </w:tr>
      <w:tr>
        <w:tc>
          <w:tcPr>
            <w:tcW w:w="0" w:type="auto"/>
          </w:tcPr>
          <w:p>
            <w:r>
              <w:t xml:space="preserve">Under £10,000</w:t>
            </w:r>
          </w:p>
        </w:tc>
        <w:tc>
          <w:tcPr>
            <w:tcW w:w="0" w:type="auto"/>
          </w:tcPr>
          <w:p>
            <w:r>
              <w:t xml:space="preserve">One quote</w:t>
            </w:r>
          </w:p>
        </w:tc>
        <w:tc>
          <w:tcPr>
            <w:tcW w:w="0" w:type="auto"/>
          </w:tcPr>
          <w:p>
            <w:r>
              <w:t xml:space="preserve">Requisitioner</w:t>
            </w:r>
          </w:p>
        </w:tc>
      </w:tr>
      <w:tr>
        <w:tc>
          <w:tcPr>
            <w:tcW w:w="0" w:type="auto"/>
          </w:tcPr>
          <w:p>
            <w:r>
              <w:t xml:space="preserve">£10,000 to £75,000</w:t>
            </w:r>
          </w:p>
        </w:tc>
        <w:tc>
          <w:tcPr>
            <w:tcW w:w="0" w:type="auto"/>
          </w:tcPr>
          <w:p>
            <w:r>
              <w:t xml:space="preserve">Three written quotes</w:t>
            </w:r>
          </w:p>
        </w:tc>
        <w:tc>
          <w:tcPr>
            <w:tcW w:w="0" w:type="auto"/>
          </w:tcPr>
          <w:p>
            <w:r>
              <w:t xml:space="preserve">Requisitioner with Procurement support</w:t>
            </w:r>
          </w:p>
        </w:tc>
      </w:tr>
      <w:tr>
        <w:tc>
          <w:tcPr>
            <w:tcW w:w="0" w:type="auto"/>
          </w:tcPr>
          <w:p>
            <w:r>
              <w:t xml:space="preserve">Over £75,000</w:t>
            </w:r>
          </w:p>
        </w:tc>
        <w:tc>
          <w:tcPr>
            <w:tcW w:w="0" w:type="auto"/>
          </w:tcPr>
          <w:p>
            <w:r>
              <w:t xml:space="preserve">Formal tender</w:t>
            </w:r>
          </w:p>
        </w:tc>
        <w:tc>
          <w:tcPr>
            <w:tcW w:w="0" w:type="auto"/>
          </w:tcPr>
          <w:p>
            <w:r>
              <w:t xml:space="preserve">Procurement</w:t>
            </w:r>
          </w:p>
        </w:tc>
      </w:tr>
    </w:tbl>
    <w:p/>
    <w:p>
      <w:r>
        <w:t xml:space="preserve">A formal tender (request for proposal) must allow bidders a minimum 14-day response window from issue of the tender documents. Procurement may set a longer period for complex requirements and will usually do so where site visits or technical demonstrations are needed.</w:t>
      </w:r>
    </w:p>
    <w:p>
      <w:r>
        <w:t xml:space="preserve">5.3 Written quotes must be on the supplier's letterhead or from its official email domain, must describe the same scope and must be valid on the date the requisition is raised. Quotes are attached to the requisition in Atlas.</w:t>
      </w:r>
    </w:p>
    <w:p>
      <w:r>
        <w:t xml:space="preserve">5.4 Where fewer than the required number of quotes can be obtained, the requisitioner must record the reasons on the requisition. If only one supplier can realistically provide the goods or services, the single-source process in clause 9.4 applies.</w:t>
      </w:r>
    </w:p>
    <w:p>
      <w:r>
        <w:t xml:space="preserve">5.5 Order splitting is prohibited. A requirement must not be divided into smaller orders, spread across cost centres or phased artificially in order to avoid a competition threshold or an approval limit. Atlas runs a monthly report of multiple requisitions to the same supplier within 30 days, and Procurement reviews any pattern that suggests splitting. Deliberate splitting is treated as a disciplinary matter.</w:t>
      </w:r>
    </w:p>
    <w:p>
      <w:r>
        <w:t xml:space="preserve">5.6 Preferred supplier lists exist for common categories such as IT hardware, temporary labour, travel management, office supplies, calibration gases and courier services. Buying from a preferred supplier at the pre-negotiated rate satisfies the quotation requirement for orders below the formal tender threshold.</w:t>
      </w:r>
    </w:p>
    <w:p>
      <w:pPr>
        <w:pStyle w:val="Heading2"/>
      </w:pPr>
      <w:r>
        <w:rPr>
          <w:b/>
          <w:sz w:val="26"/>
        </w:rPr>
        <w:t xml:space="preserve">6. Approval of requisitions</w:t>
      </w:r>
    </w:p>
    <w:p>
      <w:r>
        <w:t xml:space="preserve">6.1 Every requisition is routed for approval automatically in Atlas. The routing depends on the converted GBP value and the cost centre. The limits are set out in POL-FIN-003 Delegation of Authority and Approval Matrix; this manual does not repeat them because they change more often than the manual.</w:t>
      </w:r>
    </w:p>
    <w:p>
      <w:r>
        <w:t xml:space="preserve">6.2 Approvers must satisfy themselves that the purchase is necessary, that the competition requirements in section 5 have been met or properly waived, that budget is available and that the supplier has been onboarded.</w:t>
      </w:r>
    </w:p>
    <w:p>
      <w:r>
        <w:t xml:space="preserve">6.3 Approvals cannot be delegated by forwarding emails. Approvers who will be absent must set a delegate in Atlas, and the delegate must hold at least the same level of authority.</w:t>
      </w:r>
    </w:p>
    <w:p>
      <w:r>
        <w:t xml:space="preserve">6.4 Approvers may not approve requisitions for their own benefit, for suppliers in which they have a declared interest, or for purchases they have raised themselves. Conflicts of interest are declared on form F-150 under the Code of Conduct.</w:t>
      </w:r>
    </w:p>
    <w:p>
      <w:pPr>
        <w:pStyle w:val="Heading2"/>
      </w:pPr>
      <w:r>
        <w:rPr>
          <w:b/>
          <w:sz w:val="26"/>
        </w:rPr>
        <w:t xml:space="preserve">7. Supplier onboarding and master data</w:t>
      </w:r>
    </w:p>
    <w:p>
      <w:r>
        <w:t xml:space="preserve">7.1 A supplier must be set up in Atlas before a purchase order can be issued. The requisitioner requests a new supplier using Atlas &gt; Suppliers &gt; New Supplier Request, which creates form F-410 New Supplier Request. The F-410 asks for the business case for a new supplier, company registration details, tax identifiers, bank details on the supplier's letterhead, insurance certificates and contact details.</w:t>
      </w:r>
    </w:p>
    <w:p>
      <w:r>
        <w:t xml:space="preserve">7.2 Procurement carries out proportionate due diligence before approving a new supplier. As a minimum this includes sanctions and denied-party screening, a check of company registration and a check of financial standing. For higher-risk categories (labour agencies, logistics providers operating in high-risk countries and suppliers who will handle Meridian data) additional questionnaires are required. Denied-party screening is repeated automatically every night for all active suppliers.</w:t>
      </w:r>
    </w:p>
    <w:p>
      <w:r>
        <w:t xml:space="preserve">7.3 Supplier bank details are one of the most common targets for fraud. Any new bank details, and any request to change existing bank details, must be verified by call-back to a known telephone number held on file or independently sourced, never a number supplied in the request itself. The change must then be entered by one member of the master data team and approved by a second (a two-person check). After a change of bank details, the first payment to the new account is held for 5 working days before release so that the supplier can be contacted again if anything looks wrong. Requests to change bank details that arrive by email only, or that are marked urgent, should be treated with particular suspicion and reported to IT Security via Beacon.</w:t>
      </w:r>
    </w:p>
    <w:p>
      <w:r>
        <w:t xml:space="preserve">7.4 Suppliers that have not been used for 18 months are made inactive in Atlas. Reactivation requires a fresh F-410 check of bank and registration details.</w:t>
      </w:r>
    </w:p>
    <w:p>
      <w:r>
        <w:t xml:space="preserve">7.5 Individuals engaged as self-employed contractors must be assessed for employment status before engagement. In the UK this includes an off-payroll working determination. People (CC-1100) and Finance jointly own this assessment.</w:t>
      </w:r>
    </w:p>
    <w:p>
      <w:pPr>
        <w:pStyle w:val="Heading2"/>
      </w:pPr>
      <w:r>
        <w:rPr>
          <w:b/>
          <w:sz w:val="26"/>
        </w:rPr>
        <w:t xml:space="preserve">8. Contracts and signatories</w:t>
      </w:r>
    </w:p>
    <w:p>
      <w:r>
        <w:t xml:space="preserve">8.1 A purchase order with Meridian's standard terms and conditions of purchase is sufficient for straightforward purchases. Where a supplier insists on its own terms, or where the purchase involves services over several months, intellectual property, data processing, software licences or liability risk, a written contract is required and Legal and Compliance must review it.</w:t>
      </w:r>
    </w:p>
    <w:p>
      <w:r>
        <w:t xml:space="preserve">8.2 Only authorised signatories may sign contracts on behalf of Meridian. The authority to sign depends on the total contract value over its full term. Contracts over £250,000 must be signed by the CFO or the CEO. Contracts below that value may be signed by the approver who holds the equivalent authority under POL-FIN-003, provided Legal and Compliance has cleared any non-standard terms. Signing a contract without authority may leave the individual personally exposed and will be treated as a serious breach.</w:t>
      </w:r>
    </w:p>
    <w:p>
      <w:r>
        <w:t xml:space="preserve">8.3 Electronic signatures are the default. Signed contracts are uploaded to the contract repository in Atlas and linked to the supplier record and purchase order. The repository records the expiry date, and Atlas notifies the contract owner 90 days before expiry.</w:t>
      </w:r>
    </w:p>
    <w:p>
      <w:r>
        <w:t xml:space="preserve">8.4 Contract variations, extensions and renewals are new commitments. They require a new or amended requisition and approval for the incremental value, and the competition rules in section 5 apply to the combined value.</w:t>
      </w:r>
    </w:p>
    <w:p>
      <w:r>
        <w:t xml:space="preserve">8.5 Letters of intent should be avoided. Where one is unavoidable, it must be capped in value, time-limited and reviewed by Legal and Compliance.</w:t>
      </w:r>
    </w:p>
    <w:p>
      <w:pPr>
        <w:pStyle w:val="Heading2"/>
      </w:pPr>
      <w:r>
        <w:rPr>
          <w:b/>
          <w:sz w:val="26"/>
        </w:rPr>
        <w:t xml:space="preserve">9. Exceptions</w:t>
      </w:r>
    </w:p>
    <w:p>
      <w:r>
        <w:t xml:space="preserve">9.1 This section describes the limited circumstances in which the normal rules can be departed from. Exceptions must be requested before the commitment is made, except for genuine emergencies under clause 9.6.</w:t>
      </w:r>
    </w:p>
    <w:p>
      <w:r>
        <w:t xml:space="preserve">9.2 An exception is not justified by poor planning, by a preference for a particular supplier, or by a budget deadline approaching. Procurement will challenge exceptions that appear to be driven by these reasons.</w:t>
      </w:r>
    </w:p>
    <w:p>
      <w:r>
        <w:t xml:space="preserve">9.3 All approved exceptions are logged by Procurement and reported quarterly to the Audit Committee together with the value of spend involved.</w:t>
      </w:r>
    </w:p>
    <w:p>
      <w:r>
        <w:t xml:space="preserve">9.4 Single-source purchases. Where the competition required by clause 5.2 cannot be carried out because only one supplier can meet the requirement, the requisitioner must complete form F-412 Single Source Justification and attach it to the requisition. Acceptable reasons include proprietary technology or spare parts available only from the original manufacturer, compatibility with installed equipment such as the calibration rigs used for Halcyon HX-200 series testing, regulatory approval tied to a named supplier, or a genuine absence of competition demonstrated by market research. The F-412 is approved by the Head of Procurement for purchases up to £75,000 and by the CFO for purchases above £75,000. This approval is in addition to, not instead of, the normal financial approval of the requisition under POL-FIN-003. Single-source approvals are valid for the specific requirement only and do not create a standing exemption for the supplier.</w:t>
      </w:r>
    </w:p>
    <w:p>
      <w:r>
        <w:t xml:space="preserve">9.5 Framework call-offs. Orders placed against a framework agreement awarded by competitive tender do not need further quotes, provided the call-off falls within the scope and pricing of the framework.</w:t>
      </w:r>
    </w:p>
    <w:p>
      <w:r>
        <w:t xml:space="preserve">9.6 Emergency purchases. In a genuine emergency, where there is an immediate risk to health and safety, to the environment, to the security of Meridian systems or to continuity of customer supply, a manager may commit spend without a purchase order. A retrospective purchase order must be raised in Atlas within 3 working days, marked as an emergency, with a short explanation. Emergency purchases are reviewed by Procurement every month and the Group Financial Controller follows up any that do not appear to be genuine emergencies.</w:t>
      </w:r>
    </w:p>
    <w:p>
      <w:r>
        <w:t xml:space="preserve">9.7 Purchases from related parties, current or former employees, or businesses in which an employee or close family member has an interest require prior review by Legal and Compliance regardless of value.</w:t>
      </w:r>
    </w:p>
    <w:p>
      <w:pPr>
        <w:pStyle w:val="Heading2"/>
      </w:pPr>
      <w:r>
        <w:rPr>
          <w:b/>
          <w:sz w:val="26"/>
        </w:rPr>
        <w:t xml:space="preserve">10. Sustainability and ethical sourcing</w:t>
      </w:r>
    </w:p>
    <w:p>
      <w:r>
        <w:t xml:space="preserve">10.1 Meridian expects its suppliers to meet the standards in the Supplier Code of Conduct, which covers labour rights, health and safety, environment, business ethics and information security. Acceptance of the Supplier Code is part of the F-410 onboarding process.</w:t>
      </w:r>
    </w:p>
    <w:p>
      <w:r>
        <w:t xml:space="preserve">10.2 Forced labour, child labour and the charging of recruitment fees to workers are not tolerated anywhere in our supply chain. Labour agencies supplying workers to Penang must confirm in writing that they follow the Employer Pays Principle. More detail on the risk assessment and audit programme is published in the Modern Slavery and Human Trafficking Statement.</w:t>
      </w:r>
    </w:p>
    <w:p>
      <w:r>
        <w:t xml:space="preserve">10.3 Environmental considerations form part of the evaluation criteria for tenders above the formal tender threshold, typically weighted at between 10% and 15% of the total score. Criteria may include packaging, carbon reporting, take-back of end-of-life equipment and use of recycled materials.</w:t>
      </w:r>
    </w:p>
    <w:p>
      <w:r>
        <w:t xml:space="preserve">10.4 Suppliers with an annual spend over £500,000 must complete the Supplier Sustainability Questionnaire (SSQ) annually. Procurement issues the SSQ each June and expects responses within 30 days. Suppliers that score poorly are given an improvement plan, and repeated failure to engage is taken into account when contracts come up for renewal. Category buyers may also request an SSQ from smaller suppliers in high-risk categories.</w:t>
      </w:r>
    </w:p>
    <w:p>
      <w:r>
        <w:t xml:space="preserve">10.5 Conflict minerals. Several components used in Meridian products, including certain connectors and sensor housings, may contain tin, tantalum, tungsten or gold. Direct materials suppliers must provide a completed conflict minerals reporting template on request and must source these minerals responsibly. The Penang quality team (CC-3110) maintains the smelter data for the product bill of materials.</w:t>
      </w:r>
    </w:p>
    <w:p>
      <w:r>
        <w:t xml:space="preserve">10.6 Meridian aims to use local suppliers where they offer value for money, particularly for services at Rotterdam, Austin and Penang, to reduce transport emissions and support the communities around our sites.</w:t>
      </w:r>
    </w:p>
    <w:p>
      <w:pPr>
        <w:pStyle w:val="Heading2"/>
      </w:pPr>
      <w:r>
        <w:rPr>
          <w:b/>
          <w:sz w:val="26"/>
        </w:rPr>
        <w:t xml:space="preserve">11. Invoices and payment</w:t>
      </w:r>
    </w:p>
    <w:p>
      <w:r>
        <w:t xml:space="preserve">11.1 Suppliers submit invoices to the Accounts Payable mailbox for the Meridian entity that placed the order. The addresses, invoice content requirements and payment run schedule are set out in the Supplier Invoicing Guide, which is issued to every supplier during onboarding.</w:t>
      </w:r>
    </w:p>
    <w:p>
      <w:r>
        <w:t xml:space="preserve">11.2 Meridian's standard payment terms are 45 days from receipt of a valid invoice. UK SMEs are paid on 30 days. A valid invoice is one that quotes a correct purchase order number, matches the goods receipt within tolerance and contains the information required by law. Payment terms shorter than the standard require approval from the Group Financial Controller and are only granted where there is a clear commercial benefit such as an early payment discount.</w:t>
      </w:r>
    </w:p>
    <w:p>
      <w:r>
        <w:t xml:space="preserve">11.3 Requisitioners must receipt goods and services in Atlas promptly. An invoice cannot be paid until a goods receipt has been recorded, and late receipting is the most common cause of late payment to suppliers.</w:t>
      </w:r>
    </w:p>
    <w:p>
      <w:r>
        <w:t xml:space="preserve">11.4 Price or quantity differences outside tolerance (2% or £250, whichever is lower) are returned to the requisitioner to resolve with the supplier. Accounts Payable will not pay an invoice that exceeds the purchase order value without an approved purchase order amendment.</w:t>
      </w:r>
    </w:p>
    <w:p>
      <w:r>
        <w:t xml:space="preserve">11.5 Prepayments and deposits are discouraged. Where a supplier requires payment in advance, the requisitioner must obtain approval from the Group Financial Controller and Procurement will assess whether security such as a bank guarantee is needed.</w:t>
      </w:r>
    </w:p>
    <w:p>
      <w:pPr>
        <w:pStyle w:val="Heading2"/>
      </w:pPr>
      <w:r>
        <w:rPr>
          <w:b/>
          <w:sz w:val="26"/>
        </w:rPr>
        <w:t xml:space="preserve">12. Records, audit and compliance</w:t>
      </w:r>
    </w:p>
    <w:p>
      <w:r>
        <w:t xml:space="preserve">12.1 All procurement records, including requisitions, quotes, tender evaluations, F-410, F-412 and F-420 forms, contracts and correspondence, are held in Atlas. Retention periods follow POL-CORP-008 Records Retention Schedule.</w:t>
      </w:r>
    </w:p>
    <w:p>
      <w:r>
        <w:t xml:space="preserve">12.2 Internal Audit reviews procurement compliance each year and publishes findings to the Audit Committee. Areas routinely tested include order splitting, retrospective orders, single-source justifications, bank detail changes and segregation of duties.</w:t>
      </w:r>
    </w:p>
    <w:p>
      <w:r>
        <w:t xml:space="preserve">12.3 Breaches of this manual may result in withdrawal of purchasing rights and may be dealt with under POL-HR-040 Disciplinary and Grievance Procedure. Concerns about possible fraud or misconduct in purchasing can be raised through the Speak Up channels described in POL-CORP-004.</w:t>
      </w:r>
    </w:p>
    <w:p>
      <w:r>
        <w:t xml:space="preserve">12.4 Training. Everyone with purchasing or approval rights in Atlas must complete the Procurement Essentials e-learning module within 30 days of the rights being granted and every two years after that.</w:t>
      </w:r>
    </w:p>
    <w:p>
      <w:r>
        <w:t xml:space="preserve">12.5 This manual is reviewed annually by the Head of Procurement. Questions should be sent to procurement@meridian-instruments.example.</w:t>
      </w:r>
    </w:p>
    <w:tbl>
      <w:tblPr>
        <w:tblStyle w:val="TableGrid"/>
        <w:tblW w:w="0" w:type="auto"/>
      </w:tblPr>
      <w:tr>
        <w:tc>
          <w:tcPr>
            <w:tcW w:w="0" w:type="auto"/>
          </w:tcPr>
          <w:p>
            <w:r>
              <w:rPr>
                <w:b/>
              </w:rPr>
              <w:t xml:space="preserve">Version</w:t>
            </w:r>
          </w:p>
        </w:tc>
        <w:tc>
          <w:tcPr>
            <w:tcW w:w="0" w:type="auto"/>
          </w:tcPr>
          <w:p>
            <w:r>
              <w:rPr>
                <w:b/>
              </w:rPr>
              <w:t xml:space="preserve">Date</w:t>
            </w:r>
          </w:p>
        </w:tc>
        <w:tc>
          <w:tcPr>
            <w:tcW w:w="0" w:type="auto"/>
          </w:tcPr>
          <w:p>
            <w:r>
              <w:rPr>
                <w:b/>
              </w:rPr>
              <w:t xml:space="preserve">Change</w:t>
            </w:r>
          </w:p>
        </w:tc>
      </w:tr>
      <w:tr>
        <w:tc>
          <w:tcPr>
            <w:tcW w:w="0" w:type="auto"/>
          </w:tcPr>
          <w:p>
            <w:r>
              <w:t xml:space="preserve">1.0</w:t>
            </w:r>
          </w:p>
        </w:tc>
        <w:tc>
          <w:tcPr>
            <w:tcW w:w="0" w:type="auto"/>
          </w:tcPr>
          <w:p>
            <w:r>
              <w:t xml:space="preserve">1 May 2025</w:t>
            </w:r>
          </w:p>
        </w:tc>
        <w:tc>
          <w:tcPr>
            <w:tcW w:w="0" w:type="auto"/>
          </w:tcPr>
          <w:p>
            <w:r>
              <w:t xml:space="preserve">New consolidated manual replacing site purchasing procedures</w:t>
            </w:r>
          </w:p>
        </w:tc>
      </w:tr>
    </w:tbl>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Procurement Manual</dc:title>
  <dc:creator>Meridian Instruments</dc:creator>
</cp:coreProperties>
</file>