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Malaysia Statutory Contributions and Medical Benefits Guide</w:t>
      </w:r>
    </w:p>
    <w:p>
      <w:r>
        <w:t xml:space="preserve">Applies to: employees of Meridian Instruments (Malaysia) Sdn. Bhd. in Penang Effective: 1 January 2025 Contacts: payroll-my@meridian-instruments.example (contributions), benefits@meridian-instruments.example (medical)</w:t>
      </w:r>
    </w:p>
    <w:p>
      <w:pPr>
        <w:pStyle w:val="Heading2"/>
      </w:pPr>
      <w:r>
        <w:rPr>
          <w:b/>
          <w:sz w:val="26"/>
        </w:rPr>
        <w:t xml:space="preserve">1. Overview</w:t>
      </w:r>
    </w:p>
    <w:p>
      <w:r>
        <w:t xml:space="preserve">Every month, Meridian deducts statutory contributions from your salary and pays employer contributions on your behalf. This guide explains the Employees Provident Fund (EPF), SOCSO, EIS, monthly tax deductions (PCB) and the HRD Corp levy, and then describes the medical benefits available to Penang employees. All contributions for a pay month are remitted by the 15th of the following month, as shown in the Payroll Calendar FY2025/26 - Malaysia.</w:t>
      </w:r>
    </w:p>
    <w:p>
      <w:pPr>
        <w:pStyle w:val="Heading2"/>
      </w:pPr>
      <w:r>
        <w:rPr>
          <w:b/>
          <w:sz w:val="26"/>
        </w:rPr>
        <w:t xml:space="preserve">2. Employees Provident Fund (EPF)</w:t>
      </w:r>
    </w:p>
    <w:p>
      <w:r>
        <w:t xml:space="preserve">EPF is Malaysia's retirement savings scheme. Contributions are calculated on your monthly wages, including basic salary, fixed allowances and bonuses as defined by the EPF Act. Overtime payments are not subject to EPF.</w:t>
      </w:r>
    </w:p>
    <w:tbl>
      <w:tblPr>
        <w:tblStyle w:val="TableGrid"/>
        <w:tblW w:w="0" w:type="auto"/>
      </w:tblPr>
      <w:tr>
        <w:tc>
          <w:tcPr>
            <w:tcW w:w="0" w:type="auto"/>
          </w:tcPr>
          <w:p>
            <w:r>
              <w:rPr>
                <w:b/>
              </w:rPr>
              <w:t xml:space="preserve">Contributor</w:t>
            </w:r>
          </w:p>
        </w:tc>
        <w:tc>
          <w:tcPr>
            <w:tcW w:w="0" w:type="auto"/>
          </w:tcPr>
          <w:p>
            <w:r>
              <w:rPr>
                <w:b/>
              </w:rPr>
              <w:t xml:space="preserve">Statutory rate</w:t>
            </w:r>
          </w:p>
        </w:tc>
        <w:tc>
          <w:tcPr>
            <w:tcW w:w="0" w:type="auto"/>
          </w:tcPr>
          <w:p>
            <w:r>
              <w:rPr>
                <w:b/>
              </w:rPr>
              <w:t xml:space="preserve">Meridian rate</w:t>
            </w:r>
          </w:p>
        </w:tc>
      </w:tr>
      <w:tr>
        <w:tc>
          <w:tcPr>
            <w:tcW w:w="0" w:type="auto"/>
          </w:tcPr>
          <w:p>
            <w:r>
              <w:t xml:space="preserve">Employee</w:t>
            </w:r>
          </w:p>
        </w:tc>
        <w:tc>
          <w:tcPr>
            <w:tcW w:w="0" w:type="auto"/>
          </w:tcPr>
          <w:p>
            <w:r>
              <w:t xml:space="preserve">11%</w:t>
            </w:r>
          </w:p>
        </w:tc>
        <w:tc>
          <w:tcPr>
            <w:tcW w:w="0" w:type="auto"/>
          </w:tcPr>
          <w:p>
            <w:r>
              <w:t xml:space="preserve">11%</w:t>
            </w:r>
          </w:p>
        </w:tc>
      </w:tr>
      <w:tr>
        <w:tc>
          <w:tcPr>
            <w:tcW w:w="0" w:type="auto"/>
          </w:tcPr>
          <w:p>
            <w:r>
              <w:t xml:space="preserve">Employer (wages up to RM 5,000)</w:t>
            </w:r>
          </w:p>
        </w:tc>
        <w:tc>
          <w:tcPr>
            <w:tcW w:w="0" w:type="auto"/>
          </w:tcPr>
          <w:p>
            <w:r>
              <w:t xml:space="preserve">13%</w:t>
            </w:r>
          </w:p>
        </w:tc>
        <w:tc>
          <w:tcPr>
            <w:tcW w:w="0" w:type="auto"/>
          </w:tcPr>
          <w:p>
            <w:r>
              <w:t xml:space="preserve">16%</w:t>
            </w:r>
          </w:p>
        </w:tc>
      </w:tr>
      <w:tr>
        <w:tc>
          <w:tcPr>
            <w:tcW w:w="0" w:type="auto"/>
          </w:tcPr>
          <w:p>
            <w:r>
              <w:t xml:space="preserve">Employer (wages above RM 5,000)</w:t>
            </w:r>
          </w:p>
        </w:tc>
        <w:tc>
          <w:tcPr>
            <w:tcW w:w="0" w:type="auto"/>
          </w:tcPr>
          <w:p>
            <w:r>
              <w:t xml:space="preserve">12%</w:t>
            </w:r>
          </w:p>
        </w:tc>
        <w:tc>
          <w:tcPr>
            <w:tcW w:w="0" w:type="auto"/>
          </w:tcPr>
          <w:p>
            <w:r>
              <w:t xml:space="preserve">16%</w:t>
            </w:r>
          </w:p>
        </w:tc>
      </w:tr>
    </w:tbl>
    <w:p/>
    <w:p>
      <w:r>
        <w:t xml:space="preserve">Meridian tops up the employer contribution to 16% for all employees, regardless of salary. The top-up is paid into your EPF account together with the statutory contribution, so there is nothing you need to do to receive it.</w:t>
      </w:r>
    </w:p>
    <w:p>
      <w:r>
        <w:t xml:space="preserve">You may elect to contribute more than 11% by submitting the EPF Borang KWSP 17A (Khas) through payroll-my@meridian-instruments.example before the monthly change cut-off. Employees aged 60 and above follow the reduced statutory rates, and Meridian pays a 6% employer rate plus the top-up to 16%.</w:t>
      </w:r>
    </w:p>
    <w:p>
      <w:pPr>
        <w:pStyle w:val="Heading2"/>
      </w:pPr>
      <w:r>
        <w:rPr>
          <w:b/>
          <w:sz w:val="26"/>
        </w:rPr>
        <w:t xml:space="preserve">3. SOCSO</w:t>
      </w:r>
    </w:p>
    <w:p>
      <w:r>
        <w:t xml:space="preserve">The Social Security Organisation (SOCSO, also called PERKESO) provides protection for employment injury and invalidity. Contributions are made under the Employment Injury Scheme and the Invalidity Scheme according to the statutory contribution tables, based on wages up to the SOCSO wage ceiling of RM 6,000 per month. Meridian pays the employer share and deducts the employee share each month.</w:t>
      </w:r>
    </w:p>
    <w:p>
      <w:pPr>
        <w:pStyle w:val="Heading2"/>
      </w:pPr>
      <w:r>
        <w:rPr>
          <w:b/>
          <w:sz w:val="26"/>
        </w:rPr>
        <w:t xml:space="preserve">4. Employment Insurance System (EIS)</w:t>
      </w:r>
    </w:p>
    <w:p>
      <w:r>
        <w:t xml:space="preserve">EIS provides financial assistance and job-search support to employees who lose their jobs. Employer and employee each contribute approximately 0.2% of monthly wages according to the statutory table, subject to the same RM 6,000 wage ceiling.</w:t>
      </w:r>
    </w:p>
    <w:p>
      <w:pPr>
        <w:pStyle w:val="Heading2"/>
      </w:pPr>
      <w:r>
        <w:rPr>
          <w:b/>
          <w:sz w:val="26"/>
        </w:rPr>
        <w:t xml:space="preserve">5. Monthly tax deduction (PCB)</w:t>
      </w:r>
    </w:p>
    <w:p>
      <w:r>
        <w:t xml:space="preserve">PCB (Potongan Cukai Bulanan) is the monthly tax deduction made from your salary against your annual income tax. PCB is calculated using the LHDN formula, taking account of the tax reliefs you declare. Submit Form TP1 to payroll-my@meridian-instruments.example to claim reliefs through PCB, and Form TP3 if you joined Meridian part-way through the year. Your Form EA is available in Keel &gt; My Pay &gt; Tax Documents by the end of February each year.</w:t>
      </w:r>
    </w:p>
    <w:p>
      <w:pPr>
        <w:pStyle w:val="Heading2"/>
      </w:pPr>
      <w:r>
        <w:rPr>
          <w:b/>
          <w:sz w:val="26"/>
        </w:rPr>
        <w:t xml:space="preserve">6. HRD Corp levy</w:t>
      </w:r>
    </w:p>
    <w:p>
      <w:r>
        <w:t xml:space="preserve">Meridian is registered with Human Resource Development Corporation (HRD Corp) and pays a levy of 1% of monthly wages for each Malaysian employee. The levy is an employer cost and is not deducted from your salary. Approved external training for Penang employees can be funded from the HRD Corp levy; see the Learning and Development Policy (POL-HR-035).</w:t>
      </w:r>
    </w:p>
    <w:p>
      <w:pPr>
        <w:pStyle w:val="Heading2"/>
      </w:pPr>
      <w:r>
        <w:rPr>
          <w:b/>
          <w:sz w:val="26"/>
        </w:rPr>
        <w:t xml:space="preserve">7. Medical benefits</w:t>
      </w:r>
    </w:p>
    <w:p>
      <w:pPr>
        <w:pStyle w:val="Heading3"/>
      </w:pPr>
      <w:r>
        <w:rPr>
          <w:b/>
          <w:sz w:val="22"/>
        </w:rPr>
        <w:t xml:space="preserve">Outpatient panel clinics</w:t>
      </w:r>
    </w:p>
    <w:p>
      <w:r>
        <w:t xml:space="preserve">Penang employees can visit any of Meridian's panel GP clinics in Penang and Kedah without paying at the clinic, by showing their Meridian medical card. Outpatient GP treatment is covered up to RM 1,500 per employee per calendar year, including consultation and prescribed medicine.</w:t>
      </w:r>
    </w:p>
    <w:p>
      <w:pPr>
        <w:pStyle w:val="Heading3"/>
      </w:pPr>
      <w:r>
        <w:rPr>
          <w:b/>
          <w:sz w:val="22"/>
        </w:rPr>
        <w:t xml:space="preserve">Non-panel clinics</w:t>
      </w:r>
    </w:p>
    <w:p>
      <w:r>
        <w:t xml:space="preserve">If you visit a non-panel clinic, for example when outside Penang, you can claim reimbursement through Keel &gt; Claims &gt; Medical. Upload the itemised receipt and your medical certificate within 30 days of the visit. Non-panel claims count toward the same RM 1,500 annual limit. Claims approved by the payroll cut-off are reimbursed with that month's salary.</w:t>
      </w:r>
    </w:p>
    <w:p>
      <w:pPr>
        <w:pStyle w:val="Heading3"/>
      </w:pPr>
      <w:r>
        <w:rPr>
          <w:b/>
          <w:sz w:val="22"/>
        </w:rPr>
        <w:t xml:space="preserve">Hospitalisation and surgery</w:t>
      </w:r>
    </w:p>
    <w:p>
      <w:r>
        <w:t xml:space="preserve">All employees are covered by group hospitalisation and surgical (GHS) insurance from their first day, with a room and board entitlement of RM 250 per night for G1–G5 and RM 400 per night for G6 and above. Present your medical card at the hospital admission desk for a guarantee letter. Specialist consultations require a referral from a panel GP.</w:t>
      </w:r>
    </w:p>
    <w:p>
      <w:pPr>
        <w:pStyle w:val="Heading3"/>
      </w:pPr>
      <w:r>
        <w:rPr>
          <w:b/>
          <w:sz w:val="22"/>
        </w:rPr>
        <w:t xml:space="preserve">Exclusions</w:t>
      </w:r>
    </w:p>
    <w:p>
      <w:r>
        <w:t xml:space="preserve">Cosmetic treatment, supplements, spectacles and dental treatment other than emergency extractions are not covered by the outpatient benefit.</w:t>
      </w:r>
    </w:p>
    <w:p>
      <w:pPr>
        <w:pStyle w:val="Heading2"/>
      </w:pPr>
      <w:r>
        <w:rPr>
          <w:b/>
          <w:sz w:val="26"/>
        </w:rPr>
        <w:t xml:space="preserve">8. Questions</w:t>
      </w:r>
    </w:p>
    <w:p>
      <w:r>
        <w:t xml:space="preserve">Contribution and payslip questions go to payroll-my@meridian-instruments.example. Medical card, panel clinic and claim questions go to benefits@meridian-instruments.example. A comparison with benefits at other sites is available in the Benefits Comparison by Country 2025.</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Malaysia Statutory Contributions and Medical Benefits Guide</dc:title>
  <dc:creator>Meridian Instruments</dc:creator>
</cp:coreProperties>
</file>